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6D273" w14:textId="77777777" w:rsidR="00A37FAE" w:rsidRDefault="00A37FAE">
      <w:pPr>
        <w:spacing w:line="360" w:lineRule="auto"/>
        <w:jc w:val="center"/>
        <w:rPr>
          <w:rFonts w:ascii="Times New Roman" w:hAnsi="Times New Roman"/>
          <w:b/>
          <w:sz w:val="28"/>
          <w:szCs w:val="28"/>
        </w:rPr>
      </w:pPr>
    </w:p>
    <w:p w14:paraId="5E748F6B" w14:textId="77777777" w:rsidR="00A37FAE" w:rsidRDefault="00000000">
      <w:pPr>
        <w:spacing w:line="360" w:lineRule="auto"/>
        <w:jc w:val="center"/>
        <w:rPr>
          <w:rFonts w:ascii="Times New Roman" w:hAnsi="Times New Roman"/>
          <w:b/>
          <w:sz w:val="28"/>
          <w:szCs w:val="28"/>
        </w:rPr>
      </w:pPr>
      <w:r>
        <w:rPr>
          <w:rFonts w:ascii="Times New Roman" w:hAnsi="Times New Roman"/>
          <w:b/>
          <w:sz w:val="28"/>
          <w:szCs w:val="28"/>
        </w:rPr>
        <w:t>山东龙大美食股份有限公司</w:t>
      </w:r>
    </w:p>
    <w:p w14:paraId="38AEEFA3" w14:textId="77777777" w:rsidR="00A37FAE" w:rsidRDefault="00000000">
      <w:pPr>
        <w:spacing w:line="360" w:lineRule="auto"/>
        <w:jc w:val="center"/>
        <w:rPr>
          <w:rFonts w:ascii="Times New Roman" w:hAnsi="Times New Roman"/>
          <w:sz w:val="36"/>
          <w:szCs w:val="36"/>
        </w:rPr>
      </w:pPr>
      <w:r>
        <w:rPr>
          <w:rFonts w:ascii="Times New Roman" w:hAnsi="Times New Roman"/>
          <w:b/>
          <w:sz w:val="28"/>
          <w:szCs w:val="28"/>
        </w:rPr>
        <w:t>董事会战略委员会工作制度</w:t>
      </w:r>
    </w:p>
    <w:p w14:paraId="2A2C0C0B" w14:textId="77777777" w:rsidR="00A37FAE" w:rsidRDefault="00A37FAE">
      <w:pPr>
        <w:spacing w:line="360" w:lineRule="auto"/>
        <w:jc w:val="center"/>
        <w:rPr>
          <w:rFonts w:ascii="Times New Roman" w:hAnsi="Times New Roman"/>
          <w:sz w:val="24"/>
        </w:rPr>
      </w:pPr>
    </w:p>
    <w:p w14:paraId="76D6D4F0" w14:textId="77777777" w:rsidR="00A37FAE" w:rsidRDefault="00000000">
      <w:pPr>
        <w:spacing w:line="360" w:lineRule="auto"/>
        <w:jc w:val="center"/>
        <w:rPr>
          <w:rFonts w:ascii="Times New Roman" w:hAnsi="Times New Roman"/>
          <w:sz w:val="24"/>
          <w:szCs w:val="24"/>
        </w:rPr>
      </w:pPr>
      <w:r>
        <w:rPr>
          <w:rFonts w:ascii="Times New Roman" w:hAnsi="Times New Roman"/>
          <w:sz w:val="24"/>
          <w:szCs w:val="24"/>
        </w:rPr>
        <w:t>第一章　总则</w:t>
      </w:r>
    </w:p>
    <w:p w14:paraId="2AB3FE50" w14:textId="77777777" w:rsidR="00A37FAE" w:rsidRDefault="00A37FAE">
      <w:pPr>
        <w:spacing w:line="360" w:lineRule="auto"/>
        <w:ind w:firstLineChars="200" w:firstLine="480"/>
        <w:rPr>
          <w:rFonts w:ascii="Times New Roman" w:hAnsi="Times New Roman"/>
          <w:sz w:val="24"/>
          <w:szCs w:val="24"/>
        </w:rPr>
      </w:pPr>
    </w:p>
    <w:p w14:paraId="5630181B"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第一条　为适应公司战略发展需要，增强公司核心竞争力，确定公司发展规划，健全投资决策程序，加强决策科学性，提高重大投资决策的效率和决策的质量，完善公司治理结构，根据《中华人民共和国公司法》《上市公司治理准则》等有关法律、行政法规、规范性文件和《山东龙大美食股份有限公司章程》（以下简称</w:t>
      </w:r>
      <w:r>
        <w:rPr>
          <w:rFonts w:ascii="Times New Roman" w:hAnsi="Times New Roman"/>
          <w:sz w:val="24"/>
          <w:szCs w:val="24"/>
        </w:rPr>
        <w:t>“</w:t>
      </w:r>
      <w:r>
        <w:rPr>
          <w:rFonts w:ascii="Times New Roman" w:hAnsi="Times New Roman"/>
          <w:sz w:val="24"/>
          <w:szCs w:val="24"/>
        </w:rPr>
        <w:t>《公司章程》</w:t>
      </w:r>
      <w:r>
        <w:rPr>
          <w:rFonts w:ascii="Times New Roman" w:hAnsi="Times New Roman"/>
          <w:sz w:val="24"/>
          <w:szCs w:val="24"/>
        </w:rPr>
        <w:t>”</w:t>
      </w:r>
      <w:r>
        <w:rPr>
          <w:rFonts w:ascii="Times New Roman" w:hAnsi="Times New Roman"/>
          <w:sz w:val="24"/>
          <w:szCs w:val="24"/>
        </w:rPr>
        <w:t>）的规定，结合公司实际情况，制定本工作制度。</w:t>
      </w:r>
    </w:p>
    <w:p w14:paraId="0E19A3DF"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第二条　战略委员会是公司董事会下设的专门委员会，对董事会负责。</w:t>
      </w:r>
    </w:p>
    <w:p w14:paraId="08B0503F"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第三条　战略委员会主要负责对公司长期发展战略和重大投资决策进行研究并提出建议。</w:t>
      </w:r>
    </w:p>
    <w:p w14:paraId="6F033722" w14:textId="77777777" w:rsidR="00A37FAE" w:rsidRDefault="00A37FAE">
      <w:pPr>
        <w:spacing w:line="360" w:lineRule="auto"/>
        <w:ind w:firstLineChars="200" w:firstLine="480"/>
        <w:rPr>
          <w:rFonts w:ascii="Times New Roman" w:hAnsi="Times New Roman"/>
          <w:sz w:val="24"/>
          <w:szCs w:val="24"/>
        </w:rPr>
      </w:pPr>
    </w:p>
    <w:p w14:paraId="696700AB" w14:textId="5FD0EB4A" w:rsidR="00A37FAE" w:rsidRDefault="00000000">
      <w:pPr>
        <w:spacing w:line="360" w:lineRule="auto"/>
        <w:jc w:val="center"/>
        <w:rPr>
          <w:rFonts w:ascii="Times New Roman" w:hAnsi="Times New Roman"/>
          <w:sz w:val="24"/>
          <w:szCs w:val="24"/>
        </w:rPr>
      </w:pPr>
      <w:r>
        <w:rPr>
          <w:rFonts w:ascii="Times New Roman" w:hAnsi="Times New Roman"/>
          <w:sz w:val="24"/>
          <w:szCs w:val="24"/>
        </w:rPr>
        <w:t>第二章　战略委员会</w:t>
      </w:r>
      <w:r w:rsidR="00594FCA">
        <w:rPr>
          <w:rFonts w:ascii="Times New Roman" w:hAnsi="Times New Roman" w:hint="eastAsia"/>
          <w:sz w:val="24"/>
          <w:szCs w:val="24"/>
        </w:rPr>
        <w:t>委员</w:t>
      </w:r>
    </w:p>
    <w:p w14:paraId="2F91A0ED" w14:textId="77777777" w:rsidR="00A37FAE" w:rsidRDefault="00A37FAE">
      <w:pPr>
        <w:spacing w:line="360" w:lineRule="auto"/>
        <w:ind w:firstLineChars="200" w:firstLine="480"/>
        <w:rPr>
          <w:rFonts w:ascii="Times New Roman" w:hAnsi="Times New Roman"/>
          <w:sz w:val="24"/>
          <w:szCs w:val="24"/>
        </w:rPr>
      </w:pPr>
    </w:p>
    <w:p w14:paraId="00D760CB"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第四条　战略委员会由</w:t>
      </w:r>
      <w:r>
        <w:rPr>
          <w:rFonts w:ascii="Times New Roman" w:hAnsi="Times New Roman"/>
          <w:sz w:val="24"/>
          <w:szCs w:val="24"/>
        </w:rPr>
        <w:t>3</w:t>
      </w:r>
      <w:r>
        <w:rPr>
          <w:rFonts w:ascii="Times New Roman" w:hAnsi="Times New Roman"/>
          <w:sz w:val="24"/>
          <w:szCs w:val="24"/>
        </w:rPr>
        <w:t>名公司董事组成，其中包括一名独立董事。</w:t>
      </w:r>
    </w:p>
    <w:p w14:paraId="61A9042A"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第五条　战略委员会委员由董事长、二分之一以上独立董事或者全体董事的三分之一提名，并由董事会选举产生。战略委员会设召集人一名，负责主持委员会工作，由董事长担任。</w:t>
      </w:r>
    </w:p>
    <w:p w14:paraId="2C11B6D9"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第六条　战略委员会委员任期与董事任期一致。委员任期届满后，可连选连任。期间如有委员不再担任本公司董事职务，自动失去委员资格，为使战略委员会的人员组成符合本工作制度的要求，董事会应根据本工作制度及时补足委员人数。在董事会根据本工作制度及时补足委员人数之前，原委员仍按本工作制度履行相关职权。</w:t>
      </w:r>
    </w:p>
    <w:p w14:paraId="3EA05DE0" w14:textId="77777777" w:rsidR="00A37FAE" w:rsidRDefault="00A37FAE">
      <w:pPr>
        <w:spacing w:line="360" w:lineRule="auto"/>
        <w:rPr>
          <w:rFonts w:ascii="Times New Roman" w:hAnsi="Times New Roman"/>
          <w:sz w:val="24"/>
          <w:szCs w:val="24"/>
        </w:rPr>
      </w:pPr>
    </w:p>
    <w:p w14:paraId="293E3950" w14:textId="77777777" w:rsidR="00A37FAE" w:rsidRDefault="00000000">
      <w:pPr>
        <w:spacing w:line="360" w:lineRule="auto"/>
        <w:jc w:val="center"/>
        <w:rPr>
          <w:rFonts w:ascii="Times New Roman" w:hAnsi="Times New Roman"/>
          <w:sz w:val="24"/>
          <w:szCs w:val="24"/>
        </w:rPr>
      </w:pPr>
      <w:r>
        <w:rPr>
          <w:rFonts w:ascii="Times New Roman" w:hAnsi="Times New Roman"/>
          <w:sz w:val="24"/>
          <w:szCs w:val="24"/>
        </w:rPr>
        <w:t>第三章　职责权限</w:t>
      </w:r>
    </w:p>
    <w:p w14:paraId="53296ADB" w14:textId="77777777" w:rsidR="00A37FAE" w:rsidRDefault="00A37FAE">
      <w:pPr>
        <w:spacing w:line="360" w:lineRule="auto"/>
        <w:ind w:firstLineChars="200" w:firstLine="480"/>
        <w:rPr>
          <w:rFonts w:ascii="Times New Roman" w:hAnsi="Times New Roman"/>
          <w:sz w:val="24"/>
          <w:szCs w:val="24"/>
        </w:rPr>
      </w:pPr>
    </w:p>
    <w:p w14:paraId="76F5479F"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lastRenderedPageBreak/>
        <w:t>第七条　战略委员会的职责权限如下：</w:t>
      </w:r>
    </w:p>
    <w:p w14:paraId="3AC98677"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（一）对公司长期发展战略和重大投资决策进行研究并提出建议；</w:t>
      </w:r>
    </w:p>
    <w:p w14:paraId="603845B1"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（二）对须经董事会批准的重大投资融资方案进行研究并提出建议；</w:t>
      </w:r>
    </w:p>
    <w:p w14:paraId="69D6758F"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（三）对须经董事会批准的重大资本运作、资产经营项目进行研究并提出建议；</w:t>
      </w:r>
    </w:p>
    <w:p w14:paraId="6368DC1E"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（四）对其他影响公司发展的重大事项进行研究并提出建议；</w:t>
      </w:r>
    </w:p>
    <w:p w14:paraId="48D15DB0"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（五）对以上事项的实施进行检查；</w:t>
      </w:r>
    </w:p>
    <w:p w14:paraId="23040D45"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（六）董事会授权的其他事宜。</w:t>
      </w:r>
    </w:p>
    <w:p w14:paraId="6D7DCBDB" w14:textId="77777777" w:rsidR="00A37FAE" w:rsidRDefault="00A37FAE">
      <w:pPr>
        <w:spacing w:line="360" w:lineRule="auto"/>
        <w:rPr>
          <w:rFonts w:ascii="Times New Roman" w:hAnsi="Times New Roman"/>
          <w:sz w:val="24"/>
          <w:szCs w:val="24"/>
        </w:rPr>
      </w:pPr>
    </w:p>
    <w:p w14:paraId="0E028ED1" w14:textId="77777777" w:rsidR="00A37FAE" w:rsidRDefault="00000000">
      <w:pPr>
        <w:spacing w:line="360" w:lineRule="auto"/>
        <w:jc w:val="center"/>
        <w:rPr>
          <w:rFonts w:ascii="Times New Roman" w:hAnsi="Times New Roman"/>
          <w:sz w:val="24"/>
          <w:szCs w:val="24"/>
        </w:rPr>
      </w:pPr>
      <w:r>
        <w:rPr>
          <w:rFonts w:ascii="Times New Roman" w:hAnsi="Times New Roman"/>
          <w:sz w:val="24"/>
          <w:szCs w:val="24"/>
        </w:rPr>
        <w:t>第四章　议事规则</w:t>
      </w:r>
    </w:p>
    <w:p w14:paraId="132D9DF4" w14:textId="77777777" w:rsidR="00A37FAE" w:rsidRDefault="00A37FAE">
      <w:pPr>
        <w:spacing w:line="360" w:lineRule="auto"/>
        <w:ind w:firstLineChars="200" w:firstLine="480"/>
        <w:rPr>
          <w:rFonts w:ascii="Times New Roman" w:hAnsi="Times New Roman"/>
          <w:sz w:val="24"/>
          <w:szCs w:val="24"/>
        </w:rPr>
      </w:pPr>
    </w:p>
    <w:p w14:paraId="58114BB1"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第八条　战略委员会会议按需召开，于会议召开前五日通知全体委员并提供相关资料和信息，</w:t>
      </w:r>
      <w:r>
        <w:rPr>
          <w:rFonts w:ascii="Times New Roman" w:hAnsi="Times New Roman"/>
          <w:sz w:val="24"/>
        </w:rPr>
        <w:t>若出现紧急情况需即刻</w:t>
      </w:r>
      <w:proofErr w:type="gramStart"/>
      <w:r>
        <w:rPr>
          <w:rFonts w:ascii="Times New Roman" w:hAnsi="Times New Roman"/>
          <w:sz w:val="24"/>
        </w:rPr>
        <w:t>作出</w:t>
      </w:r>
      <w:proofErr w:type="gramEnd"/>
      <w:r>
        <w:rPr>
          <w:rFonts w:ascii="Times New Roman" w:hAnsi="Times New Roman"/>
          <w:sz w:val="24"/>
        </w:rPr>
        <w:t>决议的，为公司利益之目的，召开临时会议可不受本款通知方式及通知时限的限制，但召集人应当在会议上</w:t>
      </w:r>
      <w:proofErr w:type="gramStart"/>
      <w:r>
        <w:rPr>
          <w:rFonts w:ascii="Times New Roman" w:hAnsi="Times New Roman"/>
          <w:sz w:val="24"/>
        </w:rPr>
        <w:t>作出</w:t>
      </w:r>
      <w:proofErr w:type="gramEnd"/>
      <w:r>
        <w:rPr>
          <w:rFonts w:ascii="Times New Roman" w:hAnsi="Times New Roman"/>
          <w:sz w:val="24"/>
        </w:rPr>
        <w:t>说明。</w:t>
      </w:r>
    </w:p>
    <w:p w14:paraId="2A91AC07"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第九条　战略委员会会议由召集人主持，召集人不能出席时可委托其他一名委员主持。</w:t>
      </w:r>
    </w:p>
    <w:p w14:paraId="31816382"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第十条　会议通知应至少包括以下内容：</w:t>
      </w:r>
    </w:p>
    <w:p w14:paraId="4BD33955"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（一）会议召开时间、地点；</w:t>
      </w:r>
    </w:p>
    <w:p w14:paraId="014B5A2F"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（二）会议期限；</w:t>
      </w:r>
    </w:p>
    <w:p w14:paraId="42CF6A8E"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（三）会议需要讨论的议题；</w:t>
      </w:r>
    </w:p>
    <w:p w14:paraId="2A37AD3E"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（四）会议联系人及联系方式；</w:t>
      </w:r>
    </w:p>
    <w:p w14:paraId="34FDF8CB"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（五）会议通知的日期。</w:t>
      </w:r>
    </w:p>
    <w:p w14:paraId="0E3E5259"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第十一条　战略委员会会议应由三分之二以上的委员出席方可举行；每一名委员有一票表决权；会议</w:t>
      </w:r>
      <w:proofErr w:type="gramStart"/>
      <w:r>
        <w:rPr>
          <w:rFonts w:ascii="Times New Roman" w:hAnsi="Times New Roman"/>
          <w:sz w:val="24"/>
          <w:szCs w:val="24"/>
        </w:rPr>
        <w:t>作出</w:t>
      </w:r>
      <w:proofErr w:type="gramEnd"/>
      <w:r>
        <w:rPr>
          <w:rFonts w:ascii="Times New Roman" w:hAnsi="Times New Roman"/>
          <w:sz w:val="24"/>
          <w:szCs w:val="24"/>
        </w:rPr>
        <w:t>的决议，必须经全体委员的过半数通过。</w:t>
      </w:r>
    </w:p>
    <w:p w14:paraId="07E9E891"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第十二条　战略委员会委员可以亲自出席会议，也可以委托其他委员代为出席会议并行使表决权。</w:t>
      </w:r>
    </w:p>
    <w:p w14:paraId="338BBA0D"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委托其他委员代为出席会议并行使表决权的，应向会议主持人提交授权委托书，授权委托书应不迟于会议表决前提交给会议主持人。</w:t>
      </w:r>
    </w:p>
    <w:p w14:paraId="126D411E" w14:textId="77777777" w:rsidR="00A37FAE" w:rsidRDefault="00A37FAE">
      <w:pPr>
        <w:spacing w:line="360" w:lineRule="auto"/>
        <w:ind w:firstLineChars="200" w:firstLine="480"/>
        <w:rPr>
          <w:rFonts w:ascii="Times New Roman" w:hAnsi="Times New Roman"/>
          <w:sz w:val="24"/>
          <w:szCs w:val="24"/>
        </w:rPr>
      </w:pPr>
    </w:p>
    <w:p w14:paraId="0467DED0"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lastRenderedPageBreak/>
        <w:t>第十三条　授权委托书应由委托人和被委托人签名，应至少包括以下内容：</w:t>
      </w:r>
    </w:p>
    <w:p w14:paraId="1FDB8CE8"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（一）委托人姓名；</w:t>
      </w:r>
    </w:p>
    <w:p w14:paraId="44B974BA"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（二）被委托人姓名；</w:t>
      </w:r>
    </w:p>
    <w:p w14:paraId="19BFD23F"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（三）代理委托事项；</w:t>
      </w:r>
    </w:p>
    <w:p w14:paraId="6EF18A15"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（四）对会议议题行使投票权的指示（赞成、反对、弃权）以及未作具体指示时，被委托人是否可按自己意思表决的说明；</w:t>
      </w:r>
    </w:p>
    <w:p w14:paraId="434B479B"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（五）授权委托的期限；</w:t>
      </w:r>
    </w:p>
    <w:p w14:paraId="3A06E870"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（六）授权委托书签署日期。</w:t>
      </w:r>
    </w:p>
    <w:p w14:paraId="360FF671"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第十四条　战略委员会委员既不亲自出席会议，也未委托其他委员代为出席会议的，视为未出席相关会议。委员连续两次不出席会议的，视为不能适当履行职权，公司董事会可以撤销其委员职务。</w:t>
      </w:r>
    </w:p>
    <w:p w14:paraId="1D6E1A28"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第十五条　战略委员会会议表决方式为举手或投票表决。</w:t>
      </w:r>
    </w:p>
    <w:p w14:paraId="23EE207D"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第十六条　战略委员会会议</w:t>
      </w:r>
      <w:bookmarkStart w:id="0" w:name="_Hlk155102787"/>
      <w:r>
        <w:rPr>
          <w:rFonts w:ascii="Times New Roman" w:hAnsi="Times New Roman"/>
          <w:sz w:val="24"/>
          <w:szCs w:val="24"/>
        </w:rPr>
        <w:t>以现场召开为原则。在保证全体参会董事能够充分沟通并表达意见的前提下，必要时可以依照程序采用视频、电话、书面议案会议或者其他方式召开</w:t>
      </w:r>
      <w:bookmarkEnd w:id="0"/>
      <w:r>
        <w:rPr>
          <w:rFonts w:ascii="Times New Roman" w:hAnsi="Times New Roman"/>
          <w:sz w:val="24"/>
          <w:szCs w:val="24"/>
        </w:rPr>
        <w:t>。</w:t>
      </w:r>
    </w:p>
    <w:p w14:paraId="0161187B"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第十七条　战略委员会会议以书面议案的方式召开时，书面议案以传真、特快专递、电子邮件或专人送达等方式送达全体委员，委员对议案进行表决后，将原件寄回公司存档。如果签字同意的委员符合本工作制度规定的人数，该议案即成为委员会决议。</w:t>
      </w:r>
    </w:p>
    <w:p w14:paraId="04F4DB96"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第十八条　战略委员会召开会议，必要时亦可邀请公司其他董事、审计委员会委员、总经理和其他高级管理人员列席会议。如有必要，战略委员会可以聘请中介机构为其决策提供专业意见，费用由公司支付。</w:t>
      </w:r>
    </w:p>
    <w:p w14:paraId="4098C61C"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第十九条　战略委员会会议应有会议记录，并在会后形成呈报董事会的会议记录以及会议决议并向董事会呈报（</w:t>
      </w:r>
      <w:proofErr w:type="gramStart"/>
      <w:r>
        <w:rPr>
          <w:rFonts w:ascii="Times New Roman" w:hAnsi="Times New Roman"/>
          <w:sz w:val="24"/>
          <w:szCs w:val="24"/>
        </w:rPr>
        <w:t>除非受</w:t>
      </w:r>
      <w:proofErr w:type="gramEnd"/>
      <w:r>
        <w:rPr>
          <w:rFonts w:ascii="Times New Roman" w:hAnsi="Times New Roman"/>
          <w:sz w:val="24"/>
          <w:szCs w:val="24"/>
        </w:rPr>
        <w:t>法律或监管限制所限而不能作此呈报外）。与会全体委员在会议记录和决议上签字。与会委员对会议决议持异议的，应在会议记录上予以注明。会议记录由公司董事会秘书保存，在公司存续期间，保存期不得少于十年。</w:t>
      </w:r>
    </w:p>
    <w:p w14:paraId="3FF5037C"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第二十条　会议记录应至少包括以下内容：</w:t>
      </w:r>
    </w:p>
    <w:p w14:paraId="3593886F"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（一）会议召开的日期、地点和召集人姓名；</w:t>
      </w:r>
    </w:p>
    <w:p w14:paraId="77E5E2BD"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lastRenderedPageBreak/>
        <w:t>（二）出席会议人员的姓名，受他人委托出席会议的应特别注明；</w:t>
      </w:r>
    </w:p>
    <w:p w14:paraId="49385363"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（三）会议议程；</w:t>
      </w:r>
    </w:p>
    <w:p w14:paraId="10E3D802"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（四）委员发言要点；</w:t>
      </w:r>
    </w:p>
    <w:p w14:paraId="0FE26C71"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（五）每一决议事项或议案的表决方式和载明赞成、反对或弃权的票数的表决结果；</w:t>
      </w:r>
    </w:p>
    <w:p w14:paraId="7C66E8DD"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（六）其他应当在会议记录中说明和记载的事项。</w:t>
      </w:r>
    </w:p>
    <w:p w14:paraId="130060DF"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第二十一条　战略委员会会议通过的议案及表决结果，委员会委员或公司董事会秘书应不迟于会议决议生效之次日向公司董事会通报（除非因法律或监管所限而无法作此汇报外）。</w:t>
      </w:r>
    </w:p>
    <w:p w14:paraId="109104C9"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第二十二条　出席会议的人员均对会议所议事项有保密义务，不得擅自披露有关信息。</w:t>
      </w:r>
    </w:p>
    <w:p w14:paraId="26714838" w14:textId="77777777" w:rsidR="00A37FAE" w:rsidRDefault="00A37FAE">
      <w:pPr>
        <w:spacing w:line="360" w:lineRule="auto"/>
        <w:ind w:firstLineChars="200" w:firstLine="480"/>
        <w:rPr>
          <w:rFonts w:ascii="Times New Roman" w:hAnsi="Times New Roman"/>
          <w:sz w:val="24"/>
          <w:szCs w:val="24"/>
        </w:rPr>
      </w:pPr>
    </w:p>
    <w:p w14:paraId="62EC64D5" w14:textId="77777777" w:rsidR="00A37FAE" w:rsidRDefault="00000000">
      <w:pPr>
        <w:spacing w:line="360" w:lineRule="auto"/>
        <w:jc w:val="center"/>
        <w:rPr>
          <w:rFonts w:ascii="Times New Roman" w:hAnsi="Times New Roman"/>
          <w:sz w:val="24"/>
          <w:szCs w:val="24"/>
        </w:rPr>
      </w:pPr>
      <w:r>
        <w:rPr>
          <w:rFonts w:ascii="Times New Roman" w:hAnsi="Times New Roman"/>
          <w:sz w:val="24"/>
          <w:szCs w:val="24"/>
        </w:rPr>
        <w:t>第五章　附则</w:t>
      </w:r>
    </w:p>
    <w:p w14:paraId="21E52D13" w14:textId="77777777" w:rsidR="00A37FAE" w:rsidRDefault="00A37FAE">
      <w:pPr>
        <w:spacing w:line="360" w:lineRule="auto"/>
        <w:ind w:firstLineChars="200" w:firstLine="480"/>
        <w:rPr>
          <w:rFonts w:ascii="Times New Roman" w:hAnsi="Times New Roman"/>
          <w:sz w:val="24"/>
          <w:szCs w:val="24"/>
        </w:rPr>
      </w:pPr>
    </w:p>
    <w:p w14:paraId="6FFF08BE"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第二十三条　本工作制度自公司董事会审议通过后生效。</w:t>
      </w:r>
    </w:p>
    <w:p w14:paraId="25FF4EDF"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第二十四条　本工作制度未尽事宜，按相关法律、法规和《公司章程》的规定执行；本工作制度如与法律、行政法规、部门规章、规范性文件、中国证券监督管理委员会或深圳证券交易所制定的规则和《公司章程》不一致的，以有效的法律、行政法规、部门规章、规范性文件、中国证券监督管理委员会或深圳证券交易所制定的规则和《公司章程》为准，并立即修订本工作制度</w:t>
      </w:r>
      <w:r>
        <w:rPr>
          <w:rFonts w:ascii="Times New Roman" w:hAnsi="Times New Roman" w:hint="eastAsia"/>
          <w:sz w:val="24"/>
          <w:szCs w:val="24"/>
        </w:rPr>
        <w:t>，</w:t>
      </w:r>
      <w:r>
        <w:rPr>
          <w:rFonts w:ascii="Times New Roman" w:hAnsi="Times New Roman"/>
          <w:sz w:val="24"/>
          <w:szCs w:val="24"/>
        </w:rPr>
        <w:t>报董事会审议通过。</w:t>
      </w:r>
    </w:p>
    <w:p w14:paraId="4E817F94" w14:textId="77777777" w:rsidR="00A37FA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第二十五条　本工作制度由董事会负责解释。</w:t>
      </w:r>
    </w:p>
    <w:p w14:paraId="59081DF1" w14:textId="77777777" w:rsidR="00A37FAE" w:rsidRDefault="00A37FAE">
      <w:pPr>
        <w:spacing w:line="360" w:lineRule="auto"/>
        <w:ind w:firstLineChars="1900" w:firstLine="4560"/>
        <w:rPr>
          <w:rFonts w:ascii="Times New Roman" w:hAnsi="Times New Roman"/>
          <w:sz w:val="24"/>
        </w:rPr>
      </w:pPr>
    </w:p>
    <w:p w14:paraId="277183D7" w14:textId="77777777" w:rsidR="00A37FAE" w:rsidRDefault="00000000">
      <w:pPr>
        <w:spacing w:line="360" w:lineRule="auto"/>
        <w:jc w:val="right"/>
        <w:rPr>
          <w:rFonts w:ascii="Times New Roman" w:hAnsi="Times New Roman"/>
          <w:b/>
          <w:bCs/>
          <w:sz w:val="24"/>
          <w:szCs w:val="24"/>
        </w:rPr>
      </w:pPr>
      <w:r>
        <w:rPr>
          <w:rFonts w:ascii="Times New Roman" w:hAnsi="Times New Roman"/>
          <w:b/>
          <w:bCs/>
          <w:sz w:val="24"/>
          <w:szCs w:val="24"/>
        </w:rPr>
        <w:t>山东龙大美食股份有限公司</w:t>
      </w:r>
    </w:p>
    <w:p w14:paraId="48DB880D" w14:textId="77777777" w:rsidR="00A37FAE" w:rsidRDefault="00000000">
      <w:pPr>
        <w:spacing w:line="360" w:lineRule="auto"/>
        <w:ind w:firstLineChars="2600" w:firstLine="6264"/>
        <w:rPr>
          <w:rFonts w:ascii="Times New Roman" w:hAnsi="Times New Roman"/>
          <w:b/>
          <w:bCs/>
          <w:sz w:val="24"/>
          <w:szCs w:val="24"/>
        </w:rPr>
      </w:pPr>
      <w:r>
        <w:rPr>
          <w:rFonts w:ascii="Times New Roman" w:hAnsi="Times New Roman"/>
          <w:b/>
          <w:bCs/>
          <w:sz w:val="24"/>
          <w:szCs w:val="24"/>
        </w:rPr>
        <w:t>2025</w:t>
      </w:r>
      <w:r>
        <w:rPr>
          <w:rFonts w:ascii="Times New Roman" w:hAnsi="Times New Roman"/>
          <w:b/>
          <w:bCs/>
          <w:sz w:val="24"/>
          <w:szCs w:val="24"/>
        </w:rPr>
        <w:t>年</w:t>
      </w:r>
      <w:r>
        <w:rPr>
          <w:rFonts w:ascii="Times New Roman" w:hAnsi="Times New Roman" w:hint="eastAsia"/>
          <w:b/>
          <w:bCs/>
          <w:sz w:val="24"/>
          <w:szCs w:val="24"/>
        </w:rPr>
        <w:t>10</w:t>
      </w:r>
      <w:r>
        <w:rPr>
          <w:rFonts w:ascii="Times New Roman" w:hAnsi="Times New Roman"/>
          <w:b/>
          <w:bCs/>
          <w:sz w:val="24"/>
          <w:szCs w:val="24"/>
        </w:rPr>
        <w:t>月</w:t>
      </w:r>
      <w:r>
        <w:rPr>
          <w:rFonts w:ascii="Times New Roman" w:hAnsi="Times New Roman"/>
          <w:b/>
          <w:bCs/>
          <w:sz w:val="24"/>
          <w:szCs w:val="24"/>
        </w:rPr>
        <w:t xml:space="preserve">   </w:t>
      </w:r>
    </w:p>
    <w:p w14:paraId="28FF365D" w14:textId="77777777" w:rsidR="00A37FAE" w:rsidRDefault="00A37FAE">
      <w:pPr>
        <w:spacing w:line="360" w:lineRule="auto"/>
        <w:ind w:firstLineChars="200" w:firstLine="480"/>
        <w:rPr>
          <w:rFonts w:ascii="Times New Roman" w:hAnsi="Times New Roman"/>
          <w:sz w:val="24"/>
          <w:szCs w:val="24"/>
        </w:rPr>
      </w:pPr>
    </w:p>
    <w:sectPr w:rsidR="00A37FA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A2526" w14:textId="77777777" w:rsidR="0092152E" w:rsidRDefault="0092152E">
      <w:r>
        <w:separator/>
      </w:r>
    </w:p>
  </w:endnote>
  <w:endnote w:type="continuationSeparator" w:id="0">
    <w:p w14:paraId="358D3BE2" w14:textId="77777777" w:rsidR="0092152E" w:rsidRDefault="0092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D2F4" w14:textId="77777777" w:rsidR="00BB27EF" w:rsidRDefault="00BB27E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58A2" w14:textId="77777777" w:rsidR="00A37FAE" w:rsidRPr="00BB27EF" w:rsidRDefault="00000000">
    <w:pPr>
      <w:pStyle w:val="a7"/>
      <w:jc w:val="center"/>
      <w:rPr>
        <w:rFonts w:ascii="Times New Roman" w:hAnsi="Times New Roman"/>
      </w:rPr>
    </w:pPr>
    <w:r w:rsidRPr="00BB27EF">
      <w:rPr>
        <w:rFonts w:ascii="Times New Roman" w:hAnsi="Times New Roman"/>
      </w:rPr>
      <w:fldChar w:fldCharType="begin"/>
    </w:r>
    <w:r w:rsidRPr="00BB27EF">
      <w:rPr>
        <w:rFonts w:ascii="Times New Roman" w:hAnsi="Times New Roman"/>
      </w:rPr>
      <w:instrText xml:space="preserve"> PAGE   \* MERGEFORMAT </w:instrText>
    </w:r>
    <w:r w:rsidRPr="00BB27EF">
      <w:rPr>
        <w:rFonts w:ascii="Times New Roman" w:hAnsi="Times New Roman"/>
      </w:rPr>
      <w:fldChar w:fldCharType="separate"/>
    </w:r>
    <w:r w:rsidRPr="00BB27EF">
      <w:rPr>
        <w:rFonts w:ascii="Times New Roman" w:hAnsi="Times New Roman"/>
        <w:lang w:val="zh-CN"/>
      </w:rPr>
      <w:t>4</w:t>
    </w:r>
    <w:r w:rsidRPr="00BB27EF">
      <w:rPr>
        <w:rFonts w:ascii="Times New Roman" w:hAnsi="Times New Roman"/>
      </w:rPr>
      <w:fldChar w:fldCharType="end"/>
    </w:r>
  </w:p>
  <w:p w14:paraId="4FF41A90" w14:textId="77777777" w:rsidR="00A37FAE" w:rsidRDefault="00A37FAE">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45FC" w14:textId="77777777" w:rsidR="00BB27EF" w:rsidRDefault="00BB27E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E6B1D" w14:textId="77777777" w:rsidR="0092152E" w:rsidRDefault="0092152E">
      <w:r>
        <w:separator/>
      </w:r>
    </w:p>
  </w:footnote>
  <w:footnote w:type="continuationSeparator" w:id="0">
    <w:p w14:paraId="2662EB6F" w14:textId="77777777" w:rsidR="0092152E" w:rsidRDefault="00921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7674A" w14:textId="77777777" w:rsidR="00BB27EF" w:rsidRDefault="00BB27E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9DD4" w14:textId="77777777" w:rsidR="00A37FAE" w:rsidRDefault="00000000">
    <w:pPr>
      <w:pStyle w:val="a9"/>
      <w:ind w:firstLineChars="500" w:firstLine="900"/>
      <w:jc w:val="both"/>
    </w:pPr>
    <w:r>
      <w:rPr>
        <w:rFonts w:hint="eastAsia"/>
        <w:noProof/>
        <w:lang w:val="zh-CN"/>
      </w:rPr>
      <w:drawing>
        <wp:anchor distT="0" distB="0" distL="114300" distR="114300" simplePos="0" relativeHeight="251659264" behindDoc="0" locked="0" layoutInCell="1" allowOverlap="1" wp14:anchorId="1192D421" wp14:editId="48E0B680">
          <wp:simplePos x="0" y="0"/>
          <wp:positionH relativeFrom="column">
            <wp:posOffset>15240</wp:posOffset>
          </wp:positionH>
          <wp:positionV relativeFrom="paragraph">
            <wp:posOffset>-88265</wp:posOffset>
          </wp:positionV>
          <wp:extent cx="561975" cy="248920"/>
          <wp:effectExtent l="0" t="0" r="0" b="825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61975" cy="248920"/>
                  </a:xfrm>
                  <a:prstGeom prst="rect">
                    <a:avLst/>
                  </a:prstGeom>
                  <a:noFill/>
                  <a:ln>
                    <a:noFill/>
                  </a:ln>
                </pic:spPr>
              </pic:pic>
            </a:graphicData>
          </a:graphic>
        </wp:anchor>
      </w:drawing>
    </w:r>
    <w:r>
      <w:rPr>
        <w:rFonts w:hint="eastAsia"/>
      </w:rPr>
      <w:t>山东龙大美食股份有限公司</w:t>
    </w:r>
    <w:r>
      <w:rPr>
        <w:rFonts w:hint="eastAsia"/>
      </w:rPr>
      <w:t xml:space="preserve"> </w:t>
    </w:r>
    <w:r>
      <w:t xml:space="preserve">                                 </w:t>
    </w:r>
    <w:r>
      <w:rPr>
        <w:rFonts w:hint="eastAsia"/>
      </w:rPr>
      <w:t>董事会战略委员会工作制度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6DB40" w14:textId="77777777" w:rsidR="00BB27EF" w:rsidRDefault="00BB27EF">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E0NDAzNzA0ZDBmMGM5MmE3NmU3MzliOGJhODAxMTMifQ=="/>
  </w:docVars>
  <w:rsids>
    <w:rsidRoot w:val="00197654"/>
    <w:rsid w:val="00013520"/>
    <w:rsid w:val="00017B8F"/>
    <w:rsid w:val="00045F9B"/>
    <w:rsid w:val="00061964"/>
    <w:rsid w:val="00061B73"/>
    <w:rsid w:val="00077390"/>
    <w:rsid w:val="00094730"/>
    <w:rsid w:val="000A690C"/>
    <w:rsid w:val="000D36AE"/>
    <w:rsid w:val="000D3805"/>
    <w:rsid w:val="000F0E44"/>
    <w:rsid w:val="00101FCB"/>
    <w:rsid w:val="00114382"/>
    <w:rsid w:val="00124CA5"/>
    <w:rsid w:val="001252F7"/>
    <w:rsid w:val="00127E50"/>
    <w:rsid w:val="00197654"/>
    <w:rsid w:val="001A5852"/>
    <w:rsid w:val="001A6039"/>
    <w:rsid w:val="001F07D6"/>
    <w:rsid w:val="002000F5"/>
    <w:rsid w:val="00242F35"/>
    <w:rsid w:val="002740E0"/>
    <w:rsid w:val="00285F94"/>
    <w:rsid w:val="002F25E0"/>
    <w:rsid w:val="00304064"/>
    <w:rsid w:val="0032786D"/>
    <w:rsid w:val="00350634"/>
    <w:rsid w:val="00386487"/>
    <w:rsid w:val="00397DDA"/>
    <w:rsid w:val="003A15D3"/>
    <w:rsid w:val="003D5E08"/>
    <w:rsid w:val="003E1D57"/>
    <w:rsid w:val="003E6DFF"/>
    <w:rsid w:val="004044D1"/>
    <w:rsid w:val="004219FA"/>
    <w:rsid w:val="00426E9A"/>
    <w:rsid w:val="00435DA4"/>
    <w:rsid w:val="0044301A"/>
    <w:rsid w:val="0046295E"/>
    <w:rsid w:val="00472252"/>
    <w:rsid w:val="00482B80"/>
    <w:rsid w:val="004A4E35"/>
    <w:rsid w:val="004E1E4F"/>
    <w:rsid w:val="004E2F66"/>
    <w:rsid w:val="004F7F3E"/>
    <w:rsid w:val="00540B64"/>
    <w:rsid w:val="00551AE0"/>
    <w:rsid w:val="00594FCA"/>
    <w:rsid w:val="0059533F"/>
    <w:rsid w:val="005A5447"/>
    <w:rsid w:val="005E2B5F"/>
    <w:rsid w:val="005F0617"/>
    <w:rsid w:val="005F646E"/>
    <w:rsid w:val="00645B65"/>
    <w:rsid w:val="00652495"/>
    <w:rsid w:val="00664A87"/>
    <w:rsid w:val="00694558"/>
    <w:rsid w:val="00694947"/>
    <w:rsid w:val="006B1D7E"/>
    <w:rsid w:val="006B4D84"/>
    <w:rsid w:val="006C2676"/>
    <w:rsid w:val="006C2C37"/>
    <w:rsid w:val="006E3C3B"/>
    <w:rsid w:val="00723274"/>
    <w:rsid w:val="0072569D"/>
    <w:rsid w:val="00775F23"/>
    <w:rsid w:val="00792F58"/>
    <w:rsid w:val="007A6686"/>
    <w:rsid w:val="007B6C7D"/>
    <w:rsid w:val="007C10C6"/>
    <w:rsid w:val="007C4F4C"/>
    <w:rsid w:val="007D17FB"/>
    <w:rsid w:val="007D70EF"/>
    <w:rsid w:val="007E236B"/>
    <w:rsid w:val="007E7153"/>
    <w:rsid w:val="00811CC6"/>
    <w:rsid w:val="008135F8"/>
    <w:rsid w:val="00836B47"/>
    <w:rsid w:val="0085263F"/>
    <w:rsid w:val="00874EDE"/>
    <w:rsid w:val="008811CA"/>
    <w:rsid w:val="00884B1E"/>
    <w:rsid w:val="008C7F25"/>
    <w:rsid w:val="008D0680"/>
    <w:rsid w:val="008F0FCE"/>
    <w:rsid w:val="0092152E"/>
    <w:rsid w:val="00925331"/>
    <w:rsid w:val="009303A9"/>
    <w:rsid w:val="00937F59"/>
    <w:rsid w:val="00953AFB"/>
    <w:rsid w:val="009703FE"/>
    <w:rsid w:val="00996336"/>
    <w:rsid w:val="009A215A"/>
    <w:rsid w:val="009D242E"/>
    <w:rsid w:val="009D5C52"/>
    <w:rsid w:val="00A02D30"/>
    <w:rsid w:val="00A111F9"/>
    <w:rsid w:val="00A13758"/>
    <w:rsid w:val="00A3234C"/>
    <w:rsid w:val="00A37FAE"/>
    <w:rsid w:val="00A45CF6"/>
    <w:rsid w:val="00A570ED"/>
    <w:rsid w:val="00A651B9"/>
    <w:rsid w:val="00A85066"/>
    <w:rsid w:val="00A86760"/>
    <w:rsid w:val="00A869F9"/>
    <w:rsid w:val="00AA203A"/>
    <w:rsid w:val="00AA407A"/>
    <w:rsid w:val="00AE7FDB"/>
    <w:rsid w:val="00B040CA"/>
    <w:rsid w:val="00B063EB"/>
    <w:rsid w:val="00B42B97"/>
    <w:rsid w:val="00B952CC"/>
    <w:rsid w:val="00BA5488"/>
    <w:rsid w:val="00BB27EF"/>
    <w:rsid w:val="00BC4FA7"/>
    <w:rsid w:val="00BD6D69"/>
    <w:rsid w:val="00BD7820"/>
    <w:rsid w:val="00C03D3C"/>
    <w:rsid w:val="00C246FE"/>
    <w:rsid w:val="00C27559"/>
    <w:rsid w:val="00C41F65"/>
    <w:rsid w:val="00C75BEA"/>
    <w:rsid w:val="00CA05CD"/>
    <w:rsid w:val="00CC6820"/>
    <w:rsid w:val="00D023CE"/>
    <w:rsid w:val="00D35C6F"/>
    <w:rsid w:val="00D50328"/>
    <w:rsid w:val="00D533AB"/>
    <w:rsid w:val="00D62A75"/>
    <w:rsid w:val="00D7386A"/>
    <w:rsid w:val="00DD0452"/>
    <w:rsid w:val="00DE3939"/>
    <w:rsid w:val="00E050F7"/>
    <w:rsid w:val="00E30003"/>
    <w:rsid w:val="00E36C41"/>
    <w:rsid w:val="00E46502"/>
    <w:rsid w:val="00E70212"/>
    <w:rsid w:val="00E83607"/>
    <w:rsid w:val="00E85E5B"/>
    <w:rsid w:val="00E94724"/>
    <w:rsid w:val="00EC3F70"/>
    <w:rsid w:val="00EC6EAA"/>
    <w:rsid w:val="00F37A15"/>
    <w:rsid w:val="00F37E86"/>
    <w:rsid w:val="00F434A0"/>
    <w:rsid w:val="00F435BB"/>
    <w:rsid w:val="00F47FBD"/>
    <w:rsid w:val="00F77ED6"/>
    <w:rsid w:val="00F90E34"/>
    <w:rsid w:val="00FB1050"/>
    <w:rsid w:val="00FB5885"/>
    <w:rsid w:val="05221C28"/>
    <w:rsid w:val="18B916E2"/>
    <w:rsid w:val="347E2F88"/>
    <w:rsid w:val="3A3A206D"/>
    <w:rsid w:val="3FD82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AE2FF2"/>
  <w15:docId w15:val="{ADC6569D-1361-4872-9C2E-A7D2CAE1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Balloon Text"/>
    <w:basedOn w:val="a"/>
    <w:link w:val="a6"/>
    <w:uiPriority w:val="99"/>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1"/>
    <w:unhideWhenUsed/>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ab"/>
    <w:uiPriority w:val="99"/>
    <w:unhideWhenUsed/>
    <w:rPr>
      <w:b/>
      <w:bCs/>
    </w:rPr>
  </w:style>
  <w:style w:type="character" w:styleId="ac">
    <w:name w:val="annotation reference"/>
    <w:uiPriority w:val="99"/>
    <w:unhideWhenUsed/>
    <w:rPr>
      <w:sz w:val="21"/>
      <w:szCs w:val="21"/>
    </w:rPr>
  </w:style>
  <w:style w:type="character" w:customStyle="1" w:styleId="a4">
    <w:name w:val="批注文字 字符"/>
    <w:link w:val="a3"/>
    <w:uiPriority w:val="99"/>
    <w:rPr>
      <w:kern w:val="2"/>
      <w:sz w:val="21"/>
      <w:szCs w:val="22"/>
    </w:rPr>
  </w:style>
  <w:style w:type="character" w:customStyle="1" w:styleId="a6">
    <w:name w:val="批注框文本 字符"/>
    <w:link w:val="a5"/>
    <w:uiPriority w:val="99"/>
    <w:semiHidden/>
    <w:rPr>
      <w:kern w:val="2"/>
      <w:sz w:val="18"/>
      <w:szCs w:val="18"/>
    </w:rPr>
  </w:style>
  <w:style w:type="character" w:customStyle="1" w:styleId="a8">
    <w:name w:val="页脚 字符"/>
    <w:link w:val="a7"/>
    <w:uiPriority w:val="99"/>
    <w:rPr>
      <w:kern w:val="2"/>
      <w:sz w:val="18"/>
      <w:szCs w:val="18"/>
    </w:rPr>
  </w:style>
  <w:style w:type="character" w:customStyle="1" w:styleId="1">
    <w:name w:val="页眉 字符1"/>
    <w:link w:val="a9"/>
    <w:uiPriority w:val="99"/>
    <w:rPr>
      <w:kern w:val="2"/>
      <w:sz w:val="18"/>
      <w:szCs w:val="18"/>
    </w:rPr>
  </w:style>
  <w:style w:type="character" w:customStyle="1" w:styleId="ab">
    <w:name w:val="批注主题 字符"/>
    <w:link w:val="aa"/>
    <w:uiPriority w:val="99"/>
    <w:semiHidden/>
    <w:rPr>
      <w:b/>
      <w:bCs/>
      <w:kern w:val="2"/>
      <w:sz w:val="21"/>
      <w:szCs w:val="22"/>
    </w:rPr>
  </w:style>
  <w:style w:type="character" w:customStyle="1" w:styleId="ad">
    <w:name w:val="页眉 字符"/>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ae">
    <w:uiPriority w:val="99"/>
    <w:semiHidden/>
    <w:rPr>
      <w:kern w:val="2"/>
      <w:sz w:val="21"/>
      <w:szCs w:val="22"/>
    </w:rPr>
  </w:style>
  <w:style w:type="paragraph" w:styleId="af">
    <w:name w:val="Revision"/>
    <w:hidden/>
    <w:uiPriority w:val="99"/>
    <w:unhideWhenUsed/>
    <w:rsid w:val="00594FC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1183</Words>
  <Characters>1184</Characters>
  <Application>Microsoft Office Word</Application>
  <DocSecurity>0</DocSecurity>
  <Lines>59</Lines>
  <Paragraphs>59</Paragraphs>
  <ScaleCrop>false</ScaleCrop>
  <Company>MS</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顺峰饮食酒店管理股份有限公司</dc:title>
  <dc:creator>Administrator</dc:creator>
  <cp:lastModifiedBy>WJ 王静</cp:lastModifiedBy>
  <cp:revision>4</cp:revision>
  <dcterms:created xsi:type="dcterms:W3CDTF">2025-08-13T02:59:00Z</dcterms:created>
  <dcterms:modified xsi:type="dcterms:W3CDTF">2025-10-30T02:08:00Z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81314768AA434B13B4FFAEC566574E48</vt:lpwstr>
  </property>
</Properties>
</file>