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8468" w14:textId="2C67F49E" w:rsidR="006C011D" w:rsidRPr="005A284F" w:rsidRDefault="00B614A5">
      <w:pPr>
        <w:spacing w:before="2400" w:after="0" w:line="773" w:lineRule="exact"/>
        <w:jc w:val="center"/>
        <w:rPr>
          <w:rFonts w:ascii="Times New Roman" w:eastAsia="宋体" w:hAnsi="Times New Roman" w:cs="Times New Roman"/>
          <w:b/>
          <w:bCs/>
          <w:sz w:val="36"/>
          <w:szCs w:val="36"/>
        </w:rPr>
      </w:pPr>
      <w:r w:rsidRPr="0063248C">
        <w:rPr>
          <w:rFonts w:cs="宋体"/>
          <w:b/>
          <w:bCs/>
          <w:noProof/>
          <w:sz w:val="36"/>
          <w:szCs w:val="36"/>
        </w:rPr>
        <w:drawing>
          <wp:anchor distT="0" distB="0" distL="114300" distR="114300" simplePos="0" relativeHeight="251659264" behindDoc="0" locked="0" layoutInCell="1" allowOverlap="1" wp14:anchorId="2B200AF2" wp14:editId="4E366694">
            <wp:simplePos x="0" y="0"/>
            <wp:positionH relativeFrom="column">
              <wp:posOffset>2565400</wp:posOffset>
            </wp:positionH>
            <wp:positionV relativeFrom="paragraph">
              <wp:posOffset>812800</wp:posOffset>
            </wp:positionV>
            <wp:extent cx="952500" cy="523875"/>
            <wp:effectExtent l="0" t="0" r="0"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52500" cy="523875"/>
                    </a:xfrm>
                    <a:prstGeom prst="rect">
                      <a:avLst/>
                    </a:prstGeom>
                    <a:noFill/>
                  </pic:spPr>
                </pic:pic>
              </a:graphicData>
            </a:graphic>
            <wp14:sizeRelH relativeFrom="margin">
              <wp14:pctWidth>0</wp14:pctWidth>
            </wp14:sizeRelH>
            <wp14:sizeRelV relativeFrom="margin">
              <wp14:pctHeight>0</wp14:pctHeight>
            </wp14:sizeRelV>
          </wp:anchor>
        </w:drawing>
      </w:r>
      <w:r w:rsidRPr="005A284F">
        <w:rPr>
          <w:rFonts w:ascii="Times New Roman" w:eastAsia="宋体" w:hAnsi="Times New Roman" w:cs="Times New Roman"/>
          <w:b/>
          <w:bCs/>
          <w:sz w:val="36"/>
          <w:szCs w:val="36"/>
        </w:rPr>
        <w:t>山东龙大美食股份有限公司</w:t>
      </w:r>
    </w:p>
    <w:p w14:paraId="15A17681" w14:textId="77777777" w:rsidR="006C011D" w:rsidRPr="005A284F" w:rsidRDefault="00000000">
      <w:pPr>
        <w:spacing w:before="1000" w:after="0" w:line="320" w:lineRule="exact"/>
        <w:jc w:val="center"/>
        <w:rPr>
          <w:rFonts w:ascii="Times New Roman" w:eastAsia="宋体" w:hAnsi="Times New Roman" w:cs="Times New Roman"/>
          <w:b/>
          <w:bCs/>
          <w:sz w:val="32"/>
          <w:szCs w:val="32"/>
        </w:rPr>
      </w:pPr>
      <w:r w:rsidRPr="005A284F">
        <w:rPr>
          <w:rFonts w:ascii="Times New Roman" w:eastAsia="宋体" w:hAnsi="Times New Roman" w:cs="Times New Roman"/>
          <w:b/>
          <w:bCs/>
          <w:sz w:val="32"/>
          <w:szCs w:val="32"/>
        </w:rPr>
        <w:t>2025</w:t>
      </w:r>
      <w:r w:rsidRPr="005A284F">
        <w:rPr>
          <w:rFonts w:ascii="Times New Roman" w:eastAsia="宋体" w:hAnsi="Times New Roman" w:cs="Times New Roman"/>
          <w:b/>
          <w:bCs/>
          <w:sz w:val="32"/>
          <w:szCs w:val="32"/>
        </w:rPr>
        <w:t>年半年度报告</w:t>
      </w:r>
    </w:p>
    <w:p w14:paraId="6E4BFBEA" w14:textId="77777777" w:rsidR="006C011D" w:rsidRPr="005A284F" w:rsidRDefault="006C011D">
      <w:pPr>
        <w:spacing w:before="1000" w:after="0" w:line="240" w:lineRule="exact"/>
        <w:jc w:val="center"/>
        <w:rPr>
          <w:rFonts w:ascii="Times New Roman" w:eastAsia="宋体" w:hAnsi="Times New Roman" w:cs="Times New Roman"/>
          <w:b/>
          <w:bCs/>
          <w:sz w:val="21"/>
          <w:szCs w:val="21"/>
        </w:rPr>
      </w:pPr>
    </w:p>
    <w:p w14:paraId="740C4407" w14:textId="77777777" w:rsidR="006C011D" w:rsidRPr="005A284F" w:rsidRDefault="006C011D">
      <w:pPr>
        <w:spacing w:before="1000" w:after="1000" w:line="0" w:lineRule="atLeast"/>
        <w:jc w:val="center"/>
        <w:rPr>
          <w:rFonts w:ascii="Times New Roman" w:eastAsia="宋体" w:hAnsi="Times New Roman" w:cs="Times New Roman"/>
        </w:rPr>
      </w:pPr>
    </w:p>
    <w:p w14:paraId="159AC2D9" w14:textId="39166236" w:rsidR="006C011D" w:rsidRPr="005A284F" w:rsidRDefault="005A284F">
      <w:pPr>
        <w:spacing w:before="400" w:after="0" w:line="320" w:lineRule="exact"/>
        <w:jc w:val="center"/>
        <w:rPr>
          <w:rFonts w:ascii="Times New Roman" w:eastAsia="宋体" w:hAnsi="Times New Roman" w:cs="Times New Roman"/>
          <w:b/>
          <w:bCs/>
          <w:sz w:val="32"/>
          <w:szCs w:val="32"/>
        </w:rPr>
      </w:pPr>
      <w:r>
        <w:rPr>
          <w:rFonts w:ascii="Times New Roman" w:eastAsia="宋体" w:hAnsi="Times New Roman" w:cs="Times New Roman" w:hint="eastAsia"/>
          <w:b/>
          <w:bCs/>
          <w:sz w:val="32"/>
          <w:szCs w:val="32"/>
        </w:rPr>
        <w:t>2025</w:t>
      </w:r>
      <w:r>
        <w:rPr>
          <w:rFonts w:ascii="Times New Roman" w:eastAsia="宋体" w:hAnsi="Times New Roman" w:cs="Times New Roman" w:hint="eastAsia"/>
          <w:b/>
          <w:bCs/>
          <w:sz w:val="32"/>
          <w:szCs w:val="32"/>
        </w:rPr>
        <w:t>年</w:t>
      </w:r>
      <w:r>
        <w:rPr>
          <w:rFonts w:ascii="Times New Roman" w:eastAsia="宋体" w:hAnsi="Times New Roman" w:cs="Times New Roman" w:hint="eastAsia"/>
          <w:b/>
          <w:bCs/>
          <w:sz w:val="32"/>
          <w:szCs w:val="32"/>
        </w:rPr>
        <w:t>8</w:t>
      </w:r>
      <w:r>
        <w:rPr>
          <w:rFonts w:ascii="Times New Roman" w:eastAsia="宋体" w:hAnsi="Times New Roman" w:cs="Times New Roman" w:hint="eastAsia"/>
          <w:b/>
          <w:bCs/>
          <w:sz w:val="32"/>
          <w:szCs w:val="32"/>
        </w:rPr>
        <w:t>月</w:t>
      </w:r>
      <w:r>
        <w:rPr>
          <w:rFonts w:ascii="Times New Roman" w:eastAsia="宋体" w:hAnsi="Times New Roman" w:cs="Times New Roman" w:hint="eastAsia"/>
          <w:b/>
          <w:bCs/>
          <w:sz w:val="32"/>
          <w:szCs w:val="32"/>
        </w:rPr>
        <w:t>28</w:t>
      </w:r>
      <w:r>
        <w:rPr>
          <w:rFonts w:ascii="Times New Roman" w:eastAsia="宋体" w:hAnsi="Times New Roman" w:cs="Times New Roman" w:hint="eastAsia"/>
          <w:b/>
          <w:bCs/>
          <w:sz w:val="32"/>
          <w:szCs w:val="32"/>
        </w:rPr>
        <w:t>日</w:t>
      </w:r>
    </w:p>
    <w:p w14:paraId="6D31AD83" w14:textId="77777777" w:rsidR="006C011D" w:rsidRPr="005A284F" w:rsidRDefault="00000000">
      <w:pPr>
        <w:rPr>
          <w:rFonts w:ascii="Times New Roman" w:eastAsia="宋体" w:hAnsi="Times New Roman" w:cs="Times New Roman"/>
        </w:rPr>
      </w:pPr>
      <w:r w:rsidRPr="005A284F">
        <w:rPr>
          <w:rFonts w:ascii="Times New Roman" w:eastAsia="宋体" w:hAnsi="Times New Roman" w:cs="Times New Roman"/>
        </w:rPr>
        <w:br w:type="page"/>
      </w:r>
    </w:p>
    <w:p w14:paraId="25DA5AA6" w14:textId="77777777" w:rsidR="006C011D" w:rsidRPr="005A284F" w:rsidRDefault="00000000">
      <w:pPr>
        <w:pStyle w:val="headingh1"/>
        <w:spacing w:before="340" w:after="330" w:line="773" w:lineRule="exact"/>
        <w:jc w:val="center"/>
        <w:rPr>
          <w:rFonts w:ascii="Times New Roman" w:eastAsia="宋体" w:hAnsi="Times New Roman" w:cs="Times New Roman"/>
          <w:b/>
          <w:bCs/>
          <w:sz w:val="32"/>
          <w:szCs w:val="32"/>
        </w:rPr>
      </w:pPr>
      <w:bookmarkStart w:id="0" w:name="_Toc988889"/>
      <w:r w:rsidRPr="005A284F">
        <w:rPr>
          <w:rFonts w:ascii="Times New Roman" w:eastAsia="宋体" w:hAnsi="Times New Roman" w:cs="Times New Roman"/>
          <w:b/>
          <w:bCs/>
          <w:sz w:val="32"/>
          <w:szCs w:val="32"/>
        </w:rPr>
        <w:lastRenderedPageBreak/>
        <w:t>第一节</w:t>
      </w:r>
      <w:r w:rsidRPr="005A284F">
        <w:rPr>
          <w:rFonts w:ascii="Times New Roman" w:eastAsia="宋体" w:hAnsi="Times New Roman" w:cs="Times New Roman"/>
          <w:b/>
          <w:bCs/>
          <w:sz w:val="32"/>
          <w:szCs w:val="32"/>
        </w:rPr>
        <w:t xml:space="preserve"> </w:t>
      </w:r>
      <w:r w:rsidRPr="005A284F">
        <w:rPr>
          <w:rFonts w:ascii="Times New Roman" w:eastAsia="宋体" w:hAnsi="Times New Roman" w:cs="Times New Roman"/>
          <w:b/>
          <w:bCs/>
          <w:sz w:val="32"/>
          <w:szCs w:val="32"/>
        </w:rPr>
        <w:t>重要提示、目录和释义</w:t>
      </w:r>
      <w:bookmarkEnd w:id="0"/>
    </w:p>
    <w:p w14:paraId="44D4670C" w14:textId="182C4E84" w:rsidR="006C011D" w:rsidRPr="005A284F" w:rsidRDefault="00000000">
      <w:pPr>
        <w:spacing w:before="40" w:after="40" w:line="560" w:lineRule="exact"/>
        <w:ind w:firstLineChars="200" w:firstLine="562"/>
        <w:rPr>
          <w:rFonts w:ascii="Times New Roman" w:eastAsia="宋体" w:hAnsi="Times New Roman" w:cs="Times New Roman"/>
          <w:b/>
          <w:bCs/>
          <w:sz w:val="28"/>
          <w:szCs w:val="28"/>
        </w:rPr>
      </w:pPr>
      <w:r w:rsidRPr="005A284F">
        <w:rPr>
          <w:rFonts w:ascii="Times New Roman" w:eastAsia="宋体" w:hAnsi="Times New Roman" w:cs="Times New Roman"/>
          <w:b/>
          <w:bCs/>
          <w:sz w:val="28"/>
          <w:szCs w:val="28"/>
        </w:rPr>
        <w:t>公司董事会及董事、高级管理人员保证半年度报告内容的真实、准确、完整，不存在虚假记载、误导性陈述或者重大遗漏，并承担个别和连带的法律责任。</w:t>
      </w:r>
    </w:p>
    <w:p w14:paraId="238221E9" w14:textId="77777777" w:rsidR="006C011D" w:rsidRPr="005A284F" w:rsidRDefault="00000000">
      <w:pPr>
        <w:spacing w:after="0" w:line="560" w:lineRule="exact"/>
        <w:ind w:firstLineChars="200" w:firstLine="562"/>
        <w:rPr>
          <w:rFonts w:ascii="Times New Roman" w:eastAsia="宋体" w:hAnsi="Times New Roman" w:cs="Times New Roman"/>
          <w:b/>
          <w:bCs/>
          <w:sz w:val="28"/>
          <w:szCs w:val="28"/>
        </w:rPr>
      </w:pPr>
      <w:r w:rsidRPr="005A284F">
        <w:rPr>
          <w:rFonts w:ascii="Times New Roman" w:eastAsia="宋体" w:hAnsi="Times New Roman" w:cs="Times New Roman"/>
          <w:b/>
          <w:bCs/>
          <w:sz w:val="28"/>
          <w:szCs w:val="28"/>
        </w:rPr>
        <w:t>公司负责人杨晓初、主管会计工作负责人郭锐及会计机构负责人</w:t>
      </w:r>
      <w:r w:rsidRPr="005A284F">
        <w:rPr>
          <w:rFonts w:ascii="Times New Roman" w:eastAsia="宋体" w:hAnsi="Times New Roman" w:cs="Times New Roman"/>
          <w:b/>
          <w:bCs/>
          <w:sz w:val="28"/>
          <w:szCs w:val="28"/>
        </w:rPr>
        <w:t>(</w:t>
      </w:r>
      <w:r w:rsidRPr="005A284F">
        <w:rPr>
          <w:rFonts w:ascii="Times New Roman" w:eastAsia="宋体" w:hAnsi="Times New Roman" w:cs="Times New Roman"/>
          <w:b/>
          <w:bCs/>
          <w:sz w:val="28"/>
          <w:szCs w:val="28"/>
        </w:rPr>
        <w:t>会计主管人员</w:t>
      </w:r>
      <w:r w:rsidRPr="005A284F">
        <w:rPr>
          <w:rFonts w:ascii="Times New Roman" w:eastAsia="宋体" w:hAnsi="Times New Roman" w:cs="Times New Roman"/>
          <w:b/>
          <w:bCs/>
          <w:sz w:val="28"/>
          <w:szCs w:val="28"/>
        </w:rPr>
        <w:t>)</w:t>
      </w:r>
      <w:r w:rsidRPr="005A284F">
        <w:rPr>
          <w:rFonts w:ascii="Times New Roman" w:eastAsia="宋体" w:hAnsi="Times New Roman" w:cs="Times New Roman"/>
          <w:b/>
          <w:bCs/>
          <w:sz w:val="28"/>
          <w:szCs w:val="28"/>
        </w:rPr>
        <w:t>刘璐希声明：保证本半年度报告中财务报告的真实、准确、完整。</w:t>
      </w:r>
    </w:p>
    <w:p w14:paraId="525BA65C" w14:textId="77777777" w:rsidR="006C011D" w:rsidRPr="005A284F" w:rsidRDefault="00000000">
      <w:pPr>
        <w:spacing w:after="0" w:line="560" w:lineRule="exact"/>
        <w:ind w:firstLineChars="200" w:firstLine="562"/>
        <w:rPr>
          <w:rFonts w:ascii="Times New Roman" w:eastAsia="宋体" w:hAnsi="Times New Roman" w:cs="Times New Roman"/>
          <w:b/>
          <w:bCs/>
          <w:sz w:val="28"/>
          <w:szCs w:val="28"/>
        </w:rPr>
      </w:pPr>
      <w:r w:rsidRPr="005A284F">
        <w:rPr>
          <w:rFonts w:ascii="Times New Roman" w:eastAsia="宋体" w:hAnsi="Times New Roman" w:cs="Times New Roman"/>
          <w:b/>
          <w:bCs/>
          <w:sz w:val="28"/>
          <w:szCs w:val="28"/>
        </w:rPr>
        <w:t>所有董事均已出席了审议本次半年报的董事会会议。</w:t>
      </w:r>
    </w:p>
    <w:p w14:paraId="2109F289" w14:textId="77777777" w:rsidR="006C011D" w:rsidRPr="005A284F" w:rsidRDefault="00000000">
      <w:pPr>
        <w:spacing w:after="0" w:line="560" w:lineRule="exact"/>
        <w:ind w:firstLineChars="200" w:firstLine="562"/>
        <w:rPr>
          <w:rFonts w:ascii="Times New Roman" w:eastAsia="宋体" w:hAnsi="Times New Roman" w:cs="Times New Roman"/>
          <w:b/>
          <w:bCs/>
          <w:sz w:val="28"/>
          <w:szCs w:val="28"/>
        </w:rPr>
      </w:pPr>
      <w:r w:rsidRPr="005A284F">
        <w:rPr>
          <w:rFonts w:ascii="Times New Roman" w:eastAsia="宋体" w:hAnsi="Times New Roman" w:cs="Times New Roman"/>
          <w:b/>
          <w:bCs/>
          <w:sz w:val="28"/>
          <w:szCs w:val="28"/>
        </w:rPr>
        <w:t>公司计划不派发现金红利，不送红股，不以公积金转增股本。</w:t>
      </w:r>
    </w:p>
    <w:p w14:paraId="15AA46D1" w14:textId="77777777" w:rsidR="006C011D" w:rsidRPr="005A284F" w:rsidRDefault="00000000">
      <w:pPr>
        <w:rPr>
          <w:rFonts w:ascii="Times New Roman" w:eastAsia="宋体" w:hAnsi="Times New Roman" w:cs="Times New Roman"/>
        </w:rPr>
      </w:pPr>
      <w:r w:rsidRPr="005A284F">
        <w:rPr>
          <w:rFonts w:ascii="Times New Roman" w:eastAsia="宋体" w:hAnsi="Times New Roman" w:cs="Times New Roman"/>
        </w:rPr>
        <w:br w:type="page"/>
      </w:r>
    </w:p>
    <w:p w14:paraId="406B799F" w14:textId="77777777" w:rsidR="006C011D" w:rsidRPr="005A284F" w:rsidRDefault="00000000">
      <w:pPr>
        <w:spacing w:after="0" w:line="720" w:lineRule="exact"/>
        <w:jc w:val="center"/>
        <w:rPr>
          <w:rFonts w:ascii="Times New Roman" w:eastAsia="宋体" w:hAnsi="Times New Roman" w:cs="Times New Roman"/>
          <w:b/>
          <w:bCs/>
          <w:sz w:val="36"/>
          <w:szCs w:val="36"/>
        </w:rPr>
      </w:pPr>
      <w:r w:rsidRPr="005A284F">
        <w:rPr>
          <w:rFonts w:ascii="Times New Roman" w:eastAsia="宋体" w:hAnsi="Times New Roman" w:cs="Times New Roman"/>
          <w:b/>
          <w:bCs/>
          <w:sz w:val="36"/>
          <w:szCs w:val="36"/>
        </w:rPr>
        <w:lastRenderedPageBreak/>
        <w:t>目录</w:t>
      </w:r>
    </w:p>
    <w:p w14:paraId="76259D5A" w14:textId="276F133A" w:rsidR="006C011D" w:rsidRPr="00A2005B" w:rsidRDefault="006C011D" w:rsidP="002F17CB">
      <w:pPr>
        <w:pStyle w:val="TOC1"/>
        <w:rPr>
          <w:rFonts w:ascii="Times New Roman" w:eastAsia="宋体" w:hAnsi="Times New Roman" w:cs="Times New Roman"/>
          <w:noProof/>
        </w:rPr>
      </w:pPr>
      <w:r w:rsidRPr="00A2005B">
        <w:rPr>
          <w:rFonts w:ascii="Times New Roman" w:eastAsia="宋体" w:hAnsi="Times New Roman" w:cs="Times New Roman"/>
        </w:rPr>
        <w:fldChar w:fldCharType="begin"/>
      </w:r>
      <w:r w:rsidRPr="00A2005B">
        <w:rPr>
          <w:rFonts w:ascii="Times New Roman" w:eastAsia="宋体" w:hAnsi="Times New Roman" w:cs="Times New Roman"/>
        </w:rPr>
        <w:instrText xml:space="preserve"> TOC \o "1-2" \h \z \u </w:instrText>
      </w:r>
      <w:r w:rsidRPr="00A2005B">
        <w:rPr>
          <w:rFonts w:ascii="Times New Roman" w:eastAsia="宋体" w:hAnsi="Times New Roman" w:cs="Times New Roman"/>
        </w:rPr>
        <w:fldChar w:fldCharType="separate"/>
      </w:r>
      <w:hyperlink w:anchor="_Toc988889" w:history="1">
        <w:r w:rsidRPr="00A2005B">
          <w:rPr>
            <w:rFonts w:ascii="Times New Roman" w:eastAsia="宋体" w:hAnsi="Times New Roman" w:cs="Times New Roman"/>
            <w:b/>
            <w:bCs/>
            <w:noProof/>
            <w:sz w:val="24"/>
          </w:rPr>
          <w:t>第一节</w:t>
        </w:r>
        <w:r w:rsidRPr="00A2005B">
          <w:rPr>
            <w:rFonts w:ascii="Times New Roman" w:eastAsia="宋体" w:hAnsi="Times New Roman" w:cs="Times New Roman"/>
            <w:b/>
            <w:bCs/>
            <w:noProof/>
            <w:sz w:val="24"/>
          </w:rPr>
          <w:t xml:space="preserve"> </w:t>
        </w:r>
        <w:r w:rsidRPr="00A2005B">
          <w:rPr>
            <w:rFonts w:ascii="Times New Roman" w:eastAsia="宋体" w:hAnsi="Times New Roman" w:cs="Times New Roman"/>
            <w:b/>
            <w:bCs/>
            <w:noProof/>
            <w:sz w:val="24"/>
          </w:rPr>
          <w:t>重要提示、目录和释义</w:t>
        </w:r>
        <w:r w:rsidRPr="00A2005B">
          <w:rPr>
            <w:rFonts w:ascii="Times New Roman" w:eastAsia="宋体" w:hAnsi="Times New Roman" w:cs="Times New Roman"/>
            <w:noProof/>
            <w:webHidden/>
          </w:rPr>
          <w:tab/>
        </w:r>
        <w:r w:rsidRPr="00A2005B">
          <w:rPr>
            <w:rFonts w:ascii="Times New Roman" w:eastAsia="宋体" w:hAnsi="Times New Roman" w:cs="Times New Roman"/>
            <w:noProof/>
            <w:webHidden/>
          </w:rPr>
          <w:fldChar w:fldCharType="begin"/>
        </w:r>
        <w:r w:rsidRPr="00A2005B">
          <w:rPr>
            <w:rFonts w:ascii="Times New Roman" w:eastAsia="宋体" w:hAnsi="Times New Roman" w:cs="Times New Roman"/>
            <w:noProof/>
            <w:webHidden/>
          </w:rPr>
          <w:instrText xml:space="preserve"> PAGEREF _Toc988889 \h </w:instrText>
        </w:r>
        <w:r w:rsidRPr="00A2005B">
          <w:rPr>
            <w:rFonts w:ascii="Times New Roman" w:eastAsia="宋体" w:hAnsi="Times New Roman" w:cs="Times New Roman"/>
            <w:noProof/>
            <w:webHidden/>
          </w:rPr>
        </w:r>
        <w:r w:rsidRPr="00A2005B">
          <w:rPr>
            <w:rFonts w:ascii="Times New Roman" w:eastAsia="宋体" w:hAnsi="Times New Roman" w:cs="Times New Roman"/>
            <w:noProof/>
            <w:webHidden/>
          </w:rPr>
          <w:fldChar w:fldCharType="separate"/>
        </w:r>
        <w:r w:rsidR="00C723FF">
          <w:rPr>
            <w:rFonts w:ascii="Times New Roman" w:eastAsia="宋体" w:hAnsi="Times New Roman" w:cs="Times New Roman"/>
            <w:noProof/>
            <w:webHidden/>
          </w:rPr>
          <w:t>2</w:t>
        </w:r>
        <w:r w:rsidRPr="00A2005B">
          <w:rPr>
            <w:rFonts w:ascii="Times New Roman" w:eastAsia="宋体" w:hAnsi="Times New Roman" w:cs="Times New Roman"/>
            <w:noProof/>
            <w:webHidden/>
          </w:rPr>
          <w:fldChar w:fldCharType="end"/>
        </w:r>
      </w:hyperlink>
    </w:p>
    <w:p w14:paraId="1C1288AC" w14:textId="5951DF35" w:rsidR="006C011D" w:rsidRPr="00A2005B" w:rsidRDefault="006C011D" w:rsidP="002F17CB">
      <w:pPr>
        <w:pStyle w:val="TOC1"/>
        <w:rPr>
          <w:rFonts w:ascii="Times New Roman" w:eastAsia="宋体" w:hAnsi="Times New Roman" w:cs="Times New Roman"/>
          <w:noProof/>
        </w:rPr>
      </w:pPr>
      <w:hyperlink w:anchor="_Toc988890" w:history="1">
        <w:r w:rsidRPr="00A2005B">
          <w:rPr>
            <w:rFonts w:ascii="Times New Roman" w:eastAsia="宋体" w:hAnsi="Times New Roman" w:cs="Times New Roman"/>
            <w:b/>
            <w:bCs/>
            <w:noProof/>
            <w:sz w:val="24"/>
          </w:rPr>
          <w:t>第二节</w:t>
        </w:r>
        <w:r w:rsidRPr="00A2005B">
          <w:rPr>
            <w:rFonts w:ascii="Times New Roman" w:eastAsia="宋体" w:hAnsi="Times New Roman" w:cs="Times New Roman"/>
            <w:b/>
            <w:bCs/>
            <w:noProof/>
            <w:sz w:val="24"/>
          </w:rPr>
          <w:t xml:space="preserve"> </w:t>
        </w:r>
        <w:r w:rsidRPr="00A2005B">
          <w:rPr>
            <w:rFonts w:ascii="Times New Roman" w:eastAsia="宋体" w:hAnsi="Times New Roman" w:cs="Times New Roman"/>
            <w:b/>
            <w:bCs/>
            <w:noProof/>
            <w:sz w:val="24"/>
          </w:rPr>
          <w:t>公司简介和主要财务指标</w:t>
        </w:r>
        <w:r w:rsidRPr="00A2005B">
          <w:rPr>
            <w:rFonts w:ascii="Times New Roman" w:eastAsia="宋体" w:hAnsi="Times New Roman" w:cs="Times New Roman"/>
            <w:noProof/>
            <w:webHidden/>
          </w:rPr>
          <w:tab/>
        </w:r>
        <w:r w:rsidRPr="00A2005B">
          <w:rPr>
            <w:rFonts w:ascii="Times New Roman" w:eastAsia="宋体" w:hAnsi="Times New Roman" w:cs="Times New Roman"/>
            <w:noProof/>
            <w:webHidden/>
          </w:rPr>
          <w:fldChar w:fldCharType="begin"/>
        </w:r>
        <w:r w:rsidRPr="00A2005B">
          <w:rPr>
            <w:rFonts w:ascii="Times New Roman" w:eastAsia="宋体" w:hAnsi="Times New Roman" w:cs="Times New Roman"/>
            <w:noProof/>
            <w:webHidden/>
          </w:rPr>
          <w:instrText xml:space="preserve"> PAGEREF _Toc988890 \h </w:instrText>
        </w:r>
        <w:r w:rsidRPr="00A2005B">
          <w:rPr>
            <w:rFonts w:ascii="Times New Roman" w:eastAsia="宋体" w:hAnsi="Times New Roman" w:cs="Times New Roman"/>
            <w:noProof/>
            <w:webHidden/>
          </w:rPr>
        </w:r>
        <w:r w:rsidRPr="00A2005B">
          <w:rPr>
            <w:rFonts w:ascii="Times New Roman" w:eastAsia="宋体" w:hAnsi="Times New Roman" w:cs="Times New Roman"/>
            <w:noProof/>
            <w:webHidden/>
          </w:rPr>
          <w:fldChar w:fldCharType="separate"/>
        </w:r>
        <w:r w:rsidR="00C723FF">
          <w:rPr>
            <w:rFonts w:ascii="Times New Roman" w:eastAsia="宋体" w:hAnsi="Times New Roman" w:cs="Times New Roman"/>
            <w:noProof/>
            <w:webHidden/>
          </w:rPr>
          <w:t>6</w:t>
        </w:r>
        <w:r w:rsidRPr="00A2005B">
          <w:rPr>
            <w:rFonts w:ascii="Times New Roman" w:eastAsia="宋体" w:hAnsi="Times New Roman" w:cs="Times New Roman"/>
            <w:noProof/>
            <w:webHidden/>
          </w:rPr>
          <w:fldChar w:fldCharType="end"/>
        </w:r>
      </w:hyperlink>
    </w:p>
    <w:p w14:paraId="0E11F572" w14:textId="7F20988E" w:rsidR="006C011D" w:rsidRPr="00A2005B" w:rsidRDefault="006C011D" w:rsidP="002F17CB">
      <w:pPr>
        <w:pStyle w:val="TOC1"/>
        <w:rPr>
          <w:rFonts w:ascii="Times New Roman" w:eastAsia="宋体" w:hAnsi="Times New Roman" w:cs="Times New Roman"/>
          <w:noProof/>
        </w:rPr>
      </w:pPr>
      <w:hyperlink w:anchor="_Toc988902" w:history="1">
        <w:r w:rsidRPr="00A2005B">
          <w:rPr>
            <w:rFonts w:ascii="Times New Roman" w:eastAsia="宋体" w:hAnsi="Times New Roman" w:cs="Times New Roman"/>
            <w:b/>
            <w:bCs/>
            <w:noProof/>
            <w:sz w:val="24"/>
          </w:rPr>
          <w:t>第三节</w:t>
        </w:r>
        <w:r w:rsidRPr="00A2005B">
          <w:rPr>
            <w:rFonts w:ascii="Times New Roman" w:eastAsia="宋体" w:hAnsi="Times New Roman" w:cs="Times New Roman"/>
            <w:b/>
            <w:bCs/>
            <w:noProof/>
            <w:sz w:val="24"/>
          </w:rPr>
          <w:t xml:space="preserve"> </w:t>
        </w:r>
        <w:r w:rsidRPr="00A2005B">
          <w:rPr>
            <w:rFonts w:ascii="Times New Roman" w:eastAsia="宋体" w:hAnsi="Times New Roman" w:cs="Times New Roman"/>
            <w:b/>
            <w:bCs/>
            <w:noProof/>
            <w:sz w:val="24"/>
          </w:rPr>
          <w:t>管理层讨论与分析</w:t>
        </w:r>
        <w:r w:rsidRPr="00A2005B">
          <w:rPr>
            <w:rFonts w:ascii="Times New Roman" w:eastAsia="宋体" w:hAnsi="Times New Roman" w:cs="Times New Roman"/>
            <w:noProof/>
            <w:webHidden/>
          </w:rPr>
          <w:tab/>
        </w:r>
        <w:r w:rsidRPr="00A2005B">
          <w:rPr>
            <w:rFonts w:ascii="Times New Roman" w:eastAsia="宋体" w:hAnsi="Times New Roman" w:cs="Times New Roman"/>
            <w:noProof/>
            <w:webHidden/>
          </w:rPr>
          <w:fldChar w:fldCharType="begin"/>
        </w:r>
        <w:r w:rsidRPr="00A2005B">
          <w:rPr>
            <w:rFonts w:ascii="Times New Roman" w:eastAsia="宋体" w:hAnsi="Times New Roman" w:cs="Times New Roman"/>
            <w:noProof/>
            <w:webHidden/>
          </w:rPr>
          <w:instrText xml:space="preserve"> PAGEREF _Toc988902 \h </w:instrText>
        </w:r>
        <w:r w:rsidRPr="00A2005B">
          <w:rPr>
            <w:rFonts w:ascii="Times New Roman" w:eastAsia="宋体" w:hAnsi="Times New Roman" w:cs="Times New Roman"/>
            <w:noProof/>
            <w:webHidden/>
          </w:rPr>
        </w:r>
        <w:r w:rsidRPr="00A2005B">
          <w:rPr>
            <w:rFonts w:ascii="Times New Roman" w:eastAsia="宋体" w:hAnsi="Times New Roman" w:cs="Times New Roman"/>
            <w:noProof/>
            <w:webHidden/>
          </w:rPr>
          <w:fldChar w:fldCharType="separate"/>
        </w:r>
        <w:r w:rsidR="00C723FF">
          <w:rPr>
            <w:rFonts w:ascii="Times New Roman" w:eastAsia="宋体" w:hAnsi="Times New Roman" w:cs="Times New Roman"/>
            <w:noProof/>
            <w:webHidden/>
          </w:rPr>
          <w:t>9</w:t>
        </w:r>
        <w:r w:rsidRPr="00A2005B">
          <w:rPr>
            <w:rFonts w:ascii="Times New Roman" w:eastAsia="宋体" w:hAnsi="Times New Roman" w:cs="Times New Roman"/>
            <w:noProof/>
            <w:webHidden/>
          </w:rPr>
          <w:fldChar w:fldCharType="end"/>
        </w:r>
      </w:hyperlink>
    </w:p>
    <w:p w14:paraId="6201CA6A" w14:textId="55688098" w:rsidR="006C011D" w:rsidRPr="00A2005B" w:rsidRDefault="006C011D" w:rsidP="002F17CB">
      <w:pPr>
        <w:pStyle w:val="TOC1"/>
        <w:rPr>
          <w:rFonts w:ascii="Times New Roman" w:eastAsia="宋体" w:hAnsi="Times New Roman" w:cs="Times New Roman"/>
          <w:noProof/>
        </w:rPr>
      </w:pPr>
      <w:hyperlink w:anchor="_Toc988931" w:history="1">
        <w:r w:rsidRPr="00A2005B">
          <w:rPr>
            <w:rFonts w:ascii="Times New Roman" w:eastAsia="宋体" w:hAnsi="Times New Roman" w:cs="Times New Roman"/>
            <w:b/>
            <w:bCs/>
            <w:noProof/>
            <w:sz w:val="24"/>
          </w:rPr>
          <w:t>第四节</w:t>
        </w:r>
        <w:r w:rsidRPr="00A2005B">
          <w:rPr>
            <w:rFonts w:ascii="Times New Roman" w:eastAsia="宋体" w:hAnsi="Times New Roman" w:cs="Times New Roman"/>
            <w:b/>
            <w:bCs/>
            <w:noProof/>
            <w:sz w:val="24"/>
          </w:rPr>
          <w:t xml:space="preserve"> </w:t>
        </w:r>
        <w:r w:rsidRPr="00A2005B">
          <w:rPr>
            <w:rFonts w:ascii="Times New Roman" w:eastAsia="宋体" w:hAnsi="Times New Roman" w:cs="Times New Roman"/>
            <w:b/>
            <w:bCs/>
            <w:noProof/>
            <w:sz w:val="24"/>
          </w:rPr>
          <w:t>公司治理、环境和社会</w:t>
        </w:r>
        <w:r w:rsidRPr="00A2005B">
          <w:rPr>
            <w:rFonts w:ascii="Times New Roman" w:eastAsia="宋体" w:hAnsi="Times New Roman" w:cs="Times New Roman"/>
            <w:noProof/>
            <w:webHidden/>
          </w:rPr>
          <w:tab/>
        </w:r>
        <w:r w:rsidRPr="00A2005B">
          <w:rPr>
            <w:rFonts w:ascii="Times New Roman" w:eastAsia="宋体" w:hAnsi="Times New Roman" w:cs="Times New Roman"/>
            <w:noProof/>
            <w:webHidden/>
          </w:rPr>
          <w:fldChar w:fldCharType="begin"/>
        </w:r>
        <w:r w:rsidRPr="00A2005B">
          <w:rPr>
            <w:rFonts w:ascii="Times New Roman" w:eastAsia="宋体" w:hAnsi="Times New Roman" w:cs="Times New Roman"/>
            <w:noProof/>
            <w:webHidden/>
          </w:rPr>
          <w:instrText xml:space="preserve"> PAGEREF _Toc988931 \h </w:instrText>
        </w:r>
        <w:r w:rsidRPr="00A2005B">
          <w:rPr>
            <w:rFonts w:ascii="Times New Roman" w:eastAsia="宋体" w:hAnsi="Times New Roman" w:cs="Times New Roman"/>
            <w:noProof/>
            <w:webHidden/>
          </w:rPr>
        </w:r>
        <w:r w:rsidRPr="00A2005B">
          <w:rPr>
            <w:rFonts w:ascii="Times New Roman" w:eastAsia="宋体" w:hAnsi="Times New Roman" w:cs="Times New Roman"/>
            <w:noProof/>
            <w:webHidden/>
          </w:rPr>
          <w:fldChar w:fldCharType="separate"/>
        </w:r>
        <w:r w:rsidR="00C723FF">
          <w:rPr>
            <w:rFonts w:ascii="Times New Roman" w:eastAsia="宋体" w:hAnsi="Times New Roman" w:cs="Times New Roman"/>
            <w:noProof/>
            <w:webHidden/>
          </w:rPr>
          <w:t>22</w:t>
        </w:r>
        <w:r w:rsidRPr="00A2005B">
          <w:rPr>
            <w:rFonts w:ascii="Times New Roman" w:eastAsia="宋体" w:hAnsi="Times New Roman" w:cs="Times New Roman"/>
            <w:noProof/>
            <w:webHidden/>
          </w:rPr>
          <w:fldChar w:fldCharType="end"/>
        </w:r>
      </w:hyperlink>
    </w:p>
    <w:p w14:paraId="79BF2097" w14:textId="798F4A4B" w:rsidR="006C011D" w:rsidRPr="00A2005B" w:rsidRDefault="006C011D" w:rsidP="002F17CB">
      <w:pPr>
        <w:pStyle w:val="TOC1"/>
        <w:rPr>
          <w:rFonts w:ascii="Times New Roman" w:eastAsia="宋体" w:hAnsi="Times New Roman" w:cs="Times New Roman"/>
          <w:noProof/>
        </w:rPr>
      </w:pPr>
      <w:hyperlink w:anchor="_Toc988937" w:history="1">
        <w:r w:rsidRPr="00A2005B">
          <w:rPr>
            <w:rFonts w:ascii="Times New Roman" w:eastAsia="宋体" w:hAnsi="Times New Roman" w:cs="Times New Roman"/>
            <w:b/>
            <w:bCs/>
            <w:noProof/>
            <w:sz w:val="24"/>
          </w:rPr>
          <w:t>第五节</w:t>
        </w:r>
        <w:r w:rsidRPr="00A2005B">
          <w:rPr>
            <w:rFonts w:ascii="Times New Roman" w:eastAsia="宋体" w:hAnsi="Times New Roman" w:cs="Times New Roman"/>
            <w:b/>
            <w:bCs/>
            <w:noProof/>
            <w:sz w:val="24"/>
          </w:rPr>
          <w:t xml:space="preserve"> </w:t>
        </w:r>
        <w:r w:rsidRPr="00A2005B">
          <w:rPr>
            <w:rFonts w:ascii="Times New Roman" w:eastAsia="宋体" w:hAnsi="Times New Roman" w:cs="Times New Roman"/>
            <w:b/>
            <w:bCs/>
            <w:noProof/>
            <w:sz w:val="24"/>
          </w:rPr>
          <w:t>重要事项</w:t>
        </w:r>
        <w:r w:rsidRPr="00A2005B">
          <w:rPr>
            <w:rFonts w:ascii="Times New Roman" w:eastAsia="宋体" w:hAnsi="Times New Roman" w:cs="Times New Roman"/>
            <w:noProof/>
            <w:webHidden/>
          </w:rPr>
          <w:tab/>
        </w:r>
        <w:r w:rsidRPr="00A2005B">
          <w:rPr>
            <w:rFonts w:ascii="Times New Roman" w:eastAsia="宋体" w:hAnsi="Times New Roman" w:cs="Times New Roman"/>
            <w:noProof/>
            <w:webHidden/>
          </w:rPr>
          <w:fldChar w:fldCharType="begin"/>
        </w:r>
        <w:r w:rsidRPr="00A2005B">
          <w:rPr>
            <w:rFonts w:ascii="Times New Roman" w:eastAsia="宋体" w:hAnsi="Times New Roman" w:cs="Times New Roman"/>
            <w:noProof/>
            <w:webHidden/>
          </w:rPr>
          <w:instrText xml:space="preserve"> PAGEREF _Toc988937 \h </w:instrText>
        </w:r>
        <w:r w:rsidRPr="00A2005B">
          <w:rPr>
            <w:rFonts w:ascii="Times New Roman" w:eastAsia="宋体" w:hAnsi="Times New Roman" w:cs="Times New Roman"/>
            <w:noProof/>
            <w:webHidden/>
          </w:rPr>
        </w:r>
        <w:r w:rsidRPr="00A2005B">
          <w:rPr>
            <w:rFonts w:ascii="Times New Roman" w:eastAsia="宋体" w:hAnsi="Times New Roman" w:cs="Times New Roman"/>
            <w:noProof/>
            <w:webHidden/>
          </w:rPr>
          <w:fldChar w:fldCharType="separate"/>
        </w:r>
        <w:r w:rsidR="00C723FF">
          <w:rPr>
            <w:rFonts w:ascii="Times New Roman" w:eastAsia="宋体" w:hAnsi="Times New Roman" w:cs="Times New Roman"/>
            <w:noProof/>
            <w:webHidden/>
          </w:rPr>
          <w:t>25</w:t>
        </w:r>
        <w:r w:rsidRPr="00A2005B">
          <w:rPr>
            <w:rFonts w:ascii="Times New Roman" w:eastAsia="宋体" w:hAnsi="Times New Roman" w:cs="Times New Roman"/>
            <w:noProof/>
            <w:webHidden/>
          </w:rPr>
          <w:fldChar w:fldCharType="end"/>
        </w:r>
      </w:hyperlink>
    </w:p>
    <w:p w14:paraId="34524A20" w14:textId="7E736135" w:rsidR="006C011D" w:rsidRPr="00A2005B" w:rsidRDefault="006C011D" w:rsidP="002F17CB">
      <w:pPr>
        <w:pStyle w:val="TOC1"/>
        <w:rPr>
          <w:rFonts w:ascii="Times New Roman" w:eastAsia="宋体" w:hAnsi="Times New Roman" w:cs="Times New Roman"/>
          <w:noProof/>
        </w:rPr>
      </w:pPr>
      <w:hyperlink w:anchor="_Toc988966" w:history="1">
        <w:r w:rsidRPr="00A2005B">
          <w:rPr>
            <w:rFonts w:ascii="Times New Roman" w:eastAsia="宋体" w:hAnsi="Times New Roman" w:cs="Times New Roman"/>
            <w:b/>
            <w:bCs/>
            <w:noProof/>
            <w:sz w:val="24"/>
          </w:rPr>
          <w:t>第六节</w:t>
        </w:r>
        <w:r w:rsidRPr="00A2005B">
          <w:rPr>
            <w:rFonts w:ascii="Times New Roman" w:eastAsia="宋体" w:hAnsi="Times New Roman" w:cs="Times New Roman"/>
            <w:b/>
            <w:bCs/>
            <w:noProof/>
            <w:sz w:val="24"/>
          </w:rPr>
          <w:t xml:space="preserve"> </w:t>
        </w:r>
        <w:r w:rsidRPr="00A2005B">
          <w:rPr>
            <w:rFonts w:ascii="Times New Roman" w:eastAsia="宋体" w:hAnsi="Times New Roman" w:cs="Times New Roman"/>
            <w:b/>
            <w:bCs/>
            <w:noProof/>
            <w:sz w:val="24"/>
          </w:rPr>
          <w:t>股份变动及股东情况</w:t>
        </w:r>
        <w:r w:rsidRPr="00A2005B">
          <w:rPr>
            <w:rFonts w:ascii="Times New Roman" w:eastAsia="宋体" w:hAnsi="Times New Roman" w:cs="Times New Roman"/>
            <w:noProof/>
            <w:webHidden/>
          </w:rPr>
          <w:tab/>
        </w:r>
        <w:r w:rsidRPr="00A2005B">
          <w:rPr>
            <w:rFonts w:ascii="Times New Roman" w:eastAsia="宋体" w:hAnsi="Times New Roman" w:cs="Times New Roman"/>
            <w:noProof/>
            <w:webHidden/>
          </w:rPr>
          <w:fldChar w:fldCharType="begin"/>
        </w:r>
        <w:r w:rsidRPr="00A2005B">
          <w:rPr>
            <w:rFonts w:ascii="Times New Roman" w:eastAsia="宋体" w:hAnsi="Times New Roman" w:cs="Times New Roman"/>
            <w:noProof/>
            <w:webHidden/>
          </w:rPr>
          <w:instrText xml:space="preserve"> PAGEREF _Toc988966 \h </w:instrText>
        </w:r>
        <w:r w:rsidRPr="00A2005B">
          <w:rPr>
            <w:rFonts w:ascii="Times New Roman" w:eastAsia="宋体" w:hAnsi="Times New Roman" w:cs="Times New Roman"/>
            <w:noProof/>
            <w:webHidden/>
          </w:rPr>
        </w:r>
        <w:r w:rsidRPr="00A2005B">
          <w:rPr>
            <w:rFonts w:ascii="Times New Roman" w:eastAsia="宋体" w:hAnsi="Times New Roman" w:cs="Times New Roman"/>
            <w:noProof/>
            <w:webHidden/>
          </w:rPr>
          <w:fldChar w:fldCharType="separate"/>
        </w:r>
        <w:r w:rsidR="00C723FF">
          <w:rPr>
            <w:rFonts w:ascii="Times New Roman" w:eastAsia="宋体" w:hAnsi="Times New Roman" w:cs="Times New Roman"/>
            <w:noProof/>
            <w:webHidden/>
          </w:rPr>
          <w:t>35</w:t>
        </w:r>
        <w:r w:rsidRPr="00A2005B">
          <w:rPr>
            <w:rFonts w:ascii="Times New Roman" w:eastAsia="宋体" w:hAnsi="Times New Roman" w:cs="Times New Roman"/>
            <w:noProof/>
            <w:webHidden/>
          </w:rPr>
          <w:fldChar w:fldCharType="end"/>
        </w:r>
      </w:hyperlink>
    </w:p>
    <w:p w14:paraId="53F27E79" w14:textId="6138CCE8" w:rsidR="006C011D" w:rsidRPr="00A2005B" w:rsidRDefault="006C011D" w:rsidP="002F17CB">
      <w:pPr>
        <w:pStyle w:val="TOC1"/>
        <w:rPr>
          <w:rFonts w:ascii="Times New Roman" w:eastAsia="宋体" w:hAnsi="Times New Roman" w:cs="Times New Roman"/>
          <w:noProof/>
        </w:rPr>
      </w:pPr>
      <w:hyperlink w:anchor="_Toc988975" w:history="1">
        <w:r w:rsidRPr="00A2005B">
          <w:rPr>
            <w:rFonts w:ascii="Times New Roman" w:eastAsia="宋体" w:hAnsi="Times New Roman" w:cs="Times New Roman"/>
            <w:b/>
            <w:bCs/>
            <w:noProof/>
            <w:sz w:val="24"/>
          </w:rPr>
          <w:t>第七节</w:t>
        </w:r>
        <w:r w:rsidRPr="00A2005B">
          <w:rPr>
            <w:rFonts w:ascii="Times New Roman" w:eastAsia="宋体" w:hAnsi="Times New Roman" w:cs="Times New Roman"/>
            <w:b/>
            <w:bCs/>
            <w:noProof/>
            <w:sz w:val="24"/>
          </w:rPr>
          <w:t xml:space="preserve"> </w:t>
        </w:r>
        <w:r w:rsidRPr="00A2005B">
          <w:rPr>
            <w:rFonts w:ascii="Times New Roman" w:eastAsia="宋体" w:hAnsi="Times New Roman" w:cs="Times New Roman"/>
            <w:b/>
            <w:bCs/>
            <w:noProof/>
            <w:sz w:val="24"/>
          </w:rPr>
          <w:t>债券相关情况</w:t>
        </w:r>
        <w:r w:rsidRPr="00A2005B">
          <w:rPr>
            <w:rFonts w:ascii="Times New Roman" w:eastAsia="宋体" w:hAnsi="Times New Roman" w:cs="Times New Roman"/>
            <w:noProof/>
            <w:webHidden/>
          </w:rPr>
          <w:tab/>
        </w:r>
        <w:r w:rsidRPr="00A2005B">
          <w:rPr>
            <w:rFonts w:ascii="Times New Roman" w:eastAsia="宋体" w:hAnsi="Times New Roman" w:cs="Times New Roman"/>
            <w:noProof/>
            <w:webHidden/>
          </w:rPr>
          <w:fldChar w:fldCharType="begin"/>
        </w:r>
        <w:r w:rsidRPr="00A2005B">
          <w:rPr>
            <w:rFonts w:ascii="Times New Roman" w:eastAsia="宋体" w:hAnsi="Times New Roman" w:cs="Times New Roman"/>
            <w:noProof/>
            <w:webHidden/>
          </w:rPr>
          <w:instrText xml:space="preserve"> PAGEREF _Toc988975 \h </w:instrText>
        </w:r>
        <w:r w:rsidRPr="00A2005B">
          <w:rPr>
            <w:rFonts w:ascii="Times New Roman" w:eastAsia="宋体" w:hAnsi="Times New Roman" w:cs="Times New Roman"/>
            <w:noProof/>
            <w:webHidden/>
          </w:rPr>
        </w:r>
        <w:r w:rsidRPr="00A2005B">
          <w:rPr>
            <w:rFonts w:ascii="Times New Roman" w:eastAsia="宋体" w:hAnsi="Times New Roman" w:cs="Times New Roman"/>
            <w:noProof/>
            <w:webHidden/>
          </w:rPr>
          <w:fldChar w:fldCharType="separate"/>
        </w:r>
        <w:r w:rsidR="00C723FF">
          <w:rPr>
            <w:rFonts w:ascii="Times New Roman" w:eastAsia="宋体" w:hAnsi="Times New Roman" w:cs="Times New Roman"/>
            <w:noProof/>
            <w:webHidden/>
          </w:rPr>
          <w:t>39</w:t>
        </w:r>
        <w:r w:rsidRPr="00A2005B">
          <w:rPr>
            <w:rFonts w:ascii="Times New Roman" w:eastAsia="宋体" w:hAnsi="Times New Roman" w:cs="Times New Roman"/>
            <w:noProof/>
            <w:webHidden/>
          </w:rPr>
          <w:fldChar w:fldCharType="end"/>
        </w:r>
      </w:hyperlink>
    </w:p>
    <w:p w14:paraId="18EAC16D" w14:textId="058D22DC" w:rsidR="006C011D" w:rsidRPr="00A2005B" w:rsidRDefault="006C011D" w:rsidP="002F17CB">
      <w:pPr>
        <w:pStyle w:val="TOC1"/>
        <w:rPr>
          <w:rFonts w:ascii="Times New Roman" w:eastAsia="宋体" w:hAnsi="Times New Roman" w:cs="Times New Roman"/>
          <w:noProof/>
        </w:rPr>
      </w:pPr>
      <w:hyperlink w:anchor="_Toc988988" w:history="1">
        <w:r w:rsidRPr="00A2005B">
          <w:rPr>
            <w:rFonts w:ascii="Times New Roman" w:eastAsia="宋体" w:hAnsi="Times New Roman" w:cs="Times New Roman"/>
            <w:b/>
            <w:bCs/>
            <w:noProof/>
            <w:sz w:val="24"/>
          </w:rPr>
          <w:t>第八节</w:t>
        </w:r>
        <w:r w:rsidRPr="00A2005B">
          <w:rPr>
            <w:rFonts w:ascii="Times New Roman" w:eastAsia="宋体" w:hAnsi="Times New Roman" w:cs="Times New Roman"/>
            <w:b/>
            <w:bCs/>
            <w:noProof/>
            <w:sz w:val="24"/>
          </w:rPr>
          <w:t xml:space="preserve"> </w:t>
        </w:r>
        <w:r w:rsidRPr="00A2005B">
          <w:rPr>
            <w:rFonts w:ascii="Times New Roman" w:eastAsia="宋体" w:hAnsi="Times New Roman" w:cs="Times New Roman"/>
            <w:b/>
            <w:bCs/>
            <w:noProof/>
            <w:sz w:val="24"/>
          </w:rPr>
          <w:t>财务报告</w:t>
        </w:r>
        <w:r w:rsidRPr="00A2005B">
          <w:rPr>
            <w:rFonts w:ascii="Times New Roman" w:eastAsia="宋体" w:hAnsi="Times New Roman" w:cs="Times New Roman"/>
            <w:noProof/>
            <w:webHidden/>
          </w:rPr>
          <w:tab/>
        </w:r>
        <w:r w:rsidRPr="00A2005B">
          <w:rPr>
            <w:rFonts w:ascii="Times New Roman" w:eastAsia="宋体" w:hAnsi="Times New Roman" w:cs="Times New Roman"/>
            <w:noProof/>
            <w:webHidden/>
          </w:rPr>
          <w:fldChar w:fldCharType="begin"/>
        </w:r>
        <w:r w:rsidRPr="00A2005B">
          <w:rPr>
            <w:rFonts w:ascii="Times New Roman" w:eastAsia="宋体" w:hAnsi="Times New Roman" w:cs="Times New Roman"/>
            <w:noProof/>
            <w:webHidden/>
          </w:rPr>
          <w:instrText xml:space="preserve"> PAGEREF _Toc988988 \h </w:instrText>
        </w:r>
        <w:r w:rsidRPr="00A2005B">
          <w:rPr>
            <w:rFonts w:ascii="Times New Roman" w:eastAsia="宋体" w:hAnsi="Times New Roman" w:cs="Times New Roman"/>
            <w:noProof/>
            <w:webHidden/>
          </w:rPr>
        </w:r>
        <w:r w:rsidRPr="00A2005B">
          <w:rPr>
            <w:rFonts w:ascii="Times New Roman" w:eastAsia="宋体" w:hAnsi="Times New Roman" w:cs="Times New Roman"/>
            <w:noProof/>
            <w:webHidden/>
          </w:rPr>
          <w:fldChar w:fldCharType="separate"/>
        </w:r>
        <w:r w:rsidR="00C723FF">
          <w:rPr>
            <w:rFonts w:ascii="Times New Roman" w:eastAsia="宋体" w:hAnsi="Times New Roman" w:cs="Times New Roman"/>
            <w:noProof/>
            <w:webHidden/>
          </w:rPr>
          <w:t>43</w:t>
        </w:r>
        <w:r w:rsidRPr="00A2005B">
          <w:rPr>
            <w:rFonts w:ascii="Times New Roman" w:eastAsia="宋体" w:hAnsi="Times New Roman" w:cs="Times New Roman"/>
            <w:noProof/>
            <w:webHidden/>
          </w:rPr>
          <w:fldChar w:fldCharType="end"/>
        </w:r>
      </w:hyperlink>
    </w:p>
    <w:p w14:paraId="010B216F" w14:textId="2DA5CFBD" w:rsidR="006C011D" w:rsidRPr="00A2005B" w:rsidRDefault="006C011D" w:rsidP="002F17CB">
      <w:pPr>
        <w:pStyle w:val="TOC1"/>
        <w:rPr>
          <w:rFonts w:ascii="Times New Roman" w:eastAsia="宋体" w:hAnsi="Times New Roman" w:cs="Times New Roman"/>
          <w:noProof/>
        </w:rPr>
      </w:pPr>
      <w:hyperlink w:anchor="_Toc989455" w:history="1">
        <w:r w:rsidRPr="00A2005B">
          <w:rPr>
            <w:rFonts w:ascii="Times New Roman" w:eastAsia="宋体" w:hAnsi="Times New Roman" w:cs="Times New Roman"/>
            <w:b/>
            <w:bCs/>
            <w:noProof/>
            <w:sz w:val="24"/>
          </w:rPr>
          <w:t>第九节</w:t>
        </w:r>
        <w:r w:rsidRPr="00A2005B">
          <w:rPr>
            <w:rFonts w:ascii="Times New Roman" w:eastAsia="宋体" w:hAnsi="Times New Roman" w:cs="Times New Roman"/>
            <w:b/>
            <w:bCs/>
            <w:noProof/>
            <w:sz w:val="24"/>
          </w:rPr>
          <w:t xml:space="preserve"> </w:t>
        </w:r>
        <w:r w:rsidRPr="00A2005B">
          <w:rPr>
            <w:rFonts w:ascii="Times New Roman" w:eastAsia="宋体" w:hAnsi="Times New Roman" w:cs="Times New Roman"/>
            <w:b/>
            <w:bCs/>
            <w:noProof/>
            <w:sz w:val="24"/>
          </w:rPr>
          <w:t>其他报送数据</w:t>
        </w:r>
        <w:r w:rsidRPr="00A2005B">
          <w:rPr>
            <w:rFonts w:ascii="Times New Roman" w:eastAsia="宋体" w:hAnsi="Times New Roman" w:cs="Times New Roman"/>
            <w:noProof/>
            <w:webHidden/>
          </w:rPr>
          <w:tab/>
        </w:r>
        <w:r w:rsidRPr="00A2005B">
          <w:rPr>
            <w:rFonts w:ascii="Times New Roman" w:eastAsia="宋体" w:hAnsi="Times New Roman" w:cs="Times New Roman"/>
            <w:noProof/>
            <w:webHidden/>
          </w:rPr>
          <w:fldChar w:fldCharType="begin"/>
        </w:r>
        <w:r w:rsidRPr="00A2005B">
          <w:rPr>
            <w:rFonts w:ascii="Times New Roman" w:eastAsia="宋体" w:hAnsi="Times New Roman" w:cs="Times New Roman"/>
            <w:noProof/>
            <w:webHidden/>
          </w:rPr>
          <w:instrText xml:space="preserve"> PAGEREF _Toc989455 \h </w:instrText>
        </w:r>
        <w:r w:rsidRPr="00A2005B">
          <w:rPr>
            <w:rFonts w:ascii="Times New Roman" w:eastAsia="宋体" w:hAnsi="Times New Roman" w:cs="Times New Roman"/>
            <w:noProof/>
            <w:webHidden/>
          </w:rPr>
        </w:r>
        <w:r w:rsidRPr="00A2005B">
          <w:rPr>
            <w:rFonts w:ascii="Times New Roman" w:eastAsia="宋体" w:hAnsi="Times New Roman" w:cs="Times New Roman"/>
            <w:noProof/>
            <w:webHidden/>
          </w:rPr>
          <w:fldChar w:fldCharType="separate"/>
        </w:r>
        <w:r w:rsidR="00C723FF">
          <w:rPr>
            <w:rFonts w:ascii="Times New Roman" w:eastAsia="宋体" w:hAnsi="Times New Roman" w:cs="Times New Roman"/>
            <w:noProof/>
            <w:webHidden/>
          </w:rPr>
          <w:t>168</w:t>
        </w:r>
        <w:r w:rsidRPr="00A2005B">
          <w:rPr>
            <w:rFonts w:ascii="Times New Roman" w:eastAsia="宋体" w:hAnsi="Times New Roman" w:cs="Times New Roman"/>
            <w:noProof/>
            <w:webHidden/>
          </w:rPr>
          <w:fldChar w:fldCharType="end"/>
        </w:r>
      </w:hyperlink>
      <w:r w:rsidRPr="00A2005B">
        <w:rPr>
          <w:rFonts w:ascii="Times New Roman" w:eastAsia="宋体" w:hAnsi="Times New Roman" w:cs="Times New Roman"/>
        </w:rPr>
        <w:fldChar w:fldCharType="end"/>
      </w:r>
    </w:p>
    <w:p w14:paraId="230E4098" w14:textId="77777777" w:rsidR="006C011D" w:rsidRPr="005A284F" w:rsidRDefault="00000000">
      <w:pPr>
        <w:rPr>
          <w:rFonts w:ascii="Times New Roman" w:eastAsia="宋体" w:hAnsi="Times New Roman" w:cs="Times New Roman"/>
        </w:rPr>
      </w:pPr>
      <w:r w:rsidRPr="005A284F">
        <w:rPr>
          <w:rFonts w:ascii="Times New Roman" w:eastAsia="宋体" w:hAnsi="Times New Roman" w:cs="Times New Roman"/>
        </w:rPr>
        <w:br w:type="page"/>
      </w:r>
    </w:p>
    <w:p w14:paraId="74D0D392" w14:textId="77777777" w:rsidR="006C011D" w:rsidRPr="005A284F" w:rsidRDefault="00000000">
      <w:pPr>
        <w:spacing w:after="0" w:line="640" w:lineRule="exact"/>
        <w:jc w:val="center"/>
        <w:rPr>
          <w:rFonts w:ascii="Times New Roman" w:eastAsia="宋体" w:hAnsi="Times New Roman" w:cs="Times New Roman"/>
          <w:b/>
          <w:bCs/>
          <w:sz w:val="32"/>
          <w:szCs w:val="32"/>
        </w:rPr>
      </w:pPr>
      <w:r w:rsidRPr="005A284F">
        <w:rPr>
          <w:rFonts w:ascii="Times New Roman" w:eastAsia="宋体" w:hAnsi="Times New Roman" w:cs="Times New Roman"/>
          <w:b/>
          <w:bCs/>
          <w:sz w:val="32"/>
          <w:szCs w:val="32"/>
        </w:rPr>
        <w:lastRenderedPageBreak/>
        <w:t>备查文件目录</w:t>
      </w:r>
    </w:p>
    <w:p w14:paraId="0A5170E8" w14:textId="77777777" w:rsidR="000309B5" w:rsidRPr="005A284F" w:rsidRDefault="00000000">
      <w:pPr>
        <w:pStyle w:val="a3"/>
        <w:spacing w:line="560" w:lineRule="atLeast"/>
        <w:divId w:val="1395664784"/>
        <w:rPr>
          <w:rFonts w:ascii="Times New Roman" w:hAnsi="Times New Roman" w:cs="Times New Roman"/>
          <w:sz w:val="18"/>
          <w:szCs w:val="18"/>
        </w:rPr>
      </w:pPr>
      <w:r w:rsidRPr="005A284F">
        <w:rPr>
          <w:rFonts w:ascii="Times New Roman" w:hAnsi="Times New Roman" w:cs="Times New Roman"/>
          <w:sz w:val="18"/>
          <w:szCs w:val="18"/>
        </w:rPr>
        <w:t>（一）载有公司负责人、主管会计工作负责人、会计机构负责人</w:t>
      </w:r>
      <w:r w:rsidRPr="005A284F">
        <w:rPr>
          <w:rFonts w:ascii="Times New Roman" w:hAnsi="Times New Roman" w:cs="Times New Roman"/>
          <w:sz w:val="18"/>
          <w:szCs w:val="18"/>
        </w:rPr>
        <w:t>(</w:t>
      </w:r>
      <w:r w:rsidRPr="005A284F">
        <w:rPr>
          <w:rFonts w:ascii="Times New Roman" w:hAnsi="Times New Roman" w:cs="Times New Roman"/>
          <w:sz w:val="18"/>
          <w:szCs w:val="18"/>
        </w:rPr>
        <w:t>会计主管人员</w:t>
      </w:r>
      <w:r w:rsidRPr="005A284F">
        <w:rPr>
          <w:rFonts w:ascii="Times New Roman" w:hAnsi="Times New Roman" w:cs="Times New Roman"/>
          <w:sz w:val="18"/>
          <w:szCs w:val="18"/>
        </w:rPr>
        <w:t>)</w:t>
      </w:r>
      <w:r w:rsidRPr="005A284F">
        <w:rPr>
          <w:rFonts w:ascii="Times New Roman" w:hAnsi="Times New Roman" w:cs="Times New Roman"/>
          <w:sz w:val="18"/>
          <w:szCs w:val="18"/>
        </w:rPr>
        <w:t>签名并盖章的财务报表。</w:t>
      </w:r>
    </w:p>
    <w:p w14:paraId="71651C84" w14:textId="77777777" w:rsidR="000309B5" w:rsidRPr="005A284F" w:rsidRDefault="00000000">
      <w:pPr>
        <w:pStyle w:val="a3"/>
        <w:spacing w:line="560" w:lineRule="atLeast"/>
        <w:divId w:val="1395664784"/>
        <w:rPr>
          <w:rFonts w:ascii="Times New Roman" w:hAnsi="Times New Roman" w:cs="Times New Roman"/>
          <w:sz w:val="18"/>
          <w:szCs w:val="18"/>
        </w:rPr>
      </w:pPr>
      <w:r w:rsidRPr="005A284F">
        <w:rPr>
          <w:rFonts w:ascii="Times New Roman" w:hAnsi="Times New Roman" w:cs="Times New Roman"/>
          <w:sz w:val="18"/>
          <w:szCs w:val="18"/>
        </w:rPr>
        <w:t>（二）报告期内公开披露过的所有公司文件的正本及公告的原稿。</w:t>
      </w:r>
    </w:p>
    <w:p w14:paraId="4F03E28C" w14:textId="77777777" w:rsidR="000309B5" w:rsidRPr="005A284F" w:rsidRDefault="00000000">
      <w:pPr>
        <w:pStyle w:val="a3"/>
        <w:spacing w:line="560" w:lineRule="atLeast"/>
        <w:divId w:val="1395664784"/>
        <w:rPr>
          <w:rFonts w:ascii="Times New Roman" w:hAnsi="Times New Roman" w:cs="Times New Roman"/>
          <w:sz w:val="18"/>
          <w:szCs w:val="18"/>
        </w:rPr>
      </w:pPr>
      <w:r w:rsidRPr="005A284F">
        <w:rPr>
          <w:rFonts w:ascii="Times New Roman" w:hAnsi="Times New Roman" w:cs="Times New Roman"/>
          <w:sz w:val="18"/>
          <w:szCs w:val="18"/>
        </w:rPr>
        <w:t>（三）载有公司法定代表人签名的</w:t>
      </w:r>
      <w:r w:rsidRPr="005A284F">
        <w:rPr>
          <w:rFonts w:ascii="Times New Roman" w:hAnsi="Times New Roman" w:cs="Times New Roman"/>
          <w:sz w:val="18"/>
          <w:szCs w:val="18"/>
        </w:rPr>
        <w:t>2025</w:t>
      </w:r>
      <w:r w:rsidRPr="005A284F">
        <w:rPr>
          <w:rFonts w:ascii="Times New Roman" w:hAnsi="Times New Roman" w:cs="Times New Roman"/>
          <w:sz w:val="18"/>
          <w:szCs w:val="18"/>
        </w:rPr>
        <w:t>年半年度报告原件。</w:t>
      </w:r>
    </w:p>
    <w:p w14:paraId="6316F298" w14:textId="77777777" w:rsidR="006C011D" w:rsidRPr="005A284F" w:rsidRDefault="00000000">
      <w:pPr>
        <w:rPr>
          <w:rFonts w:ascii="Times New Roman" w:eastAsia="宋体" w:hAnsi="Times New Roman" w:cs="Times New Roman"/>
        </w:rPr>
      </w:pPr>
      <w:r w:rsidRPr="005A284F">
        <w:rPr>
          <w:rFonts w:ascii="Times New Roman" w:eastAsia="宋体" w:hAnsi="Times New Roman" w:cs="Times New Roman"/>
        </w:rPr>
        <w:br w:type="page"/>
      </w:r>
    </w:p>
    <w:p w14:paraId="026593FA" w14:textId="77777777" w:rsidR="006C011D" w:rsidRPr="005A284F" w:rsidRDefault="00000000">
      <w:pPr>
        <w:spacing w:before="40" w:after="40" w:line="640" w:lineRule="exact"/>
        <w:jc w:val="center"/>
        <w:rPr>
          <w:rFonts w:ascii="Times New Roman" w:eastAsia="宋体" w:hAnsi="Times New Roman" w:cs="Times New Roman"/>
          <w:b/>
          <w:bCs/>
          <w:sz w:val="32"/>
          <w:szCs w:val="32"/>
        </w:rPr>
      </w:pPr>
      <w:r w:rsidRPr="005A284F">
        <w:rPr>
          <w:rFonts w:ascii="Times New Roman" w:eastAsia="宋体" w:hAnsi="Times New Roman" w:cs="Times New Roman"/>
          <w:b/>
          <w:bCs/>
          <w:sz w:val="32"/>
          <w:szCs w:val="32"/>
        </w:rPr>
        <w:lastRenderedPageBreak/>
        <w:t>释义</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319"/>
        <w:gridCol w:w="1000"/>
        <w:gridCol w:w="4320"/>
      </w:tblGrid>
      <w:tr w:rsidR="006C011D" w:rsidRPr="005A284F" w14:paraId="59C4744D" w14:textId="77777777">
        <w:trPr>
          <w:trHeight w:val="240"/>
        </w:trPr>
        <w:tc>
          <w:tcPr>
            <w:tcW w:w="4320" w:type="dxa"/>
            <w:tcBorders>
              <w:top w:val="single" w:sz="2" w:space="0" w:color="auto"/>
              <w:left w:val="single" w:sz="2" w:space="0" w:color="auto"/>
              <w:bottom w:val="single" w:sz="2" w:space="0" w:color="auto"/>
              <w:right w:val="single" w:sz="2" w:space="0" w:color="auto"/>
            </w:tcBorders>
            <w:shd w:val="clear" w:color="auto" w:fill="D3D3D3"/>
            <w:vAlign w:val="center"/>
          </w:tcPr>
          <w:p w14:paraId="0DEAA0B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释义项</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14:paraId="7D2507A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指</w:t>
            </w:r>
          </w:p>
        </w:tc>
        <w:tc>
          <w:tcPr>
            <w:tcW w:w="4320" w:type="dxa"/>
            <w:tcBorders>
              <w:top w:val="single" w:sz="2" w:space="0" w:color="auto"/>
              <w:left w:val="single" w:sz="2" w:space="0" w:color="auto"/>
              <w:bottom w:val="single" w:sz="2" w:space="0" w:color="auto"/>
              <w:right w:val="single" w:sz="2" w:space="0" w:color="auto"/>
            </w:tcBorders>
            <w:shd w:val="clear" w:color="auto" w:fill="D3D3D3"/>
            <w:vAlign w:val="center"/>
          </w:tcPr>
          <w:p w14:paraId="10A30A0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释义内容</w:t>
            </w:r>
          </w:p>
        </w:tc>
      </w:tr>
      <w:tr w:rsidR="006C011D" w:rsidRPr="005A284F" w14:paraId="79859DD0" w14:textId="77777777">
        <w:trPr>
          <w:trHeight w:val="240"/>
        </w:trPr>
        <w:tc>
          <w:tcPr>
            <w:tcW w:w="4320" w:type="dxa"/>
            <w:tcBorders>
              <w:top w:val="single" w:sz="2" w:space="0" w:color="auto"/>
              <w:left w:val="single" w:sz="2" w:space="0" w:color="auto"/>
              <w:bottom w:val="single" w:sz="2" w:space="0" w:color="auto"/>
              <w:right w:val="single" w:sz="2" w:space="0" w:color="auto"/>
            </w:tcBorders>
            <w:vAlign w:val="center"/>
          </w:tcPr>
          <w:p w14:paraId="60AE8BE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公司、本公司、龙大美食</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14:paraId="233B212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14:paraId="2E727F2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山东龙大美食股份有限公司</w:t>
            </w:r>
          </w:p>
        </w:tc>
      </w:tr>
      <w:tr w:rsidR="006C011D" w:rsidRPr="005A284F" w14:paraId="59157C05" w14:textId="77777777">
        <w:trPr>
          <w:trHeight w:val="240"/>
        </w:trPr>
        <w:tc>
          <w:tcPr>
            <w:tcW w:w="4320" w:type="dxa"/>
            <w:tcBorders>
              <w:top w:val="single" w:sz="2" w:space="0" w:color="auto"/>
              <w:left w:val="single" w:sz="2" w:space="0" w:color="auto"/>
              <w:bottom w:val="single" w:sz="2" w:space="0" w:color="auto"/>
              <w:right w:val="single" w:sz="2" w:space="0" w:color="auto"/>
            </w:tcBorders>
            <w:vAlign w:val="center"/>
          </w:tcPr>
          <w:p w14:paraId="160424C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14:paraId="3804D09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14:paraId="2BC253C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蓝润发展控股集团有限公司，本公司控股股东</w:t>
            </w:r>
          </w:p>
        </w:tc>
      </w:tr>
      <w:tr w:rsidR="006C011D" w:rsidRPr="005A284F" w14:paraId="3CAF9D2C" w14:textId="77777777">
        <w:trPr>
          <w:trHeight w:val="240"/>
        </w:trPr>
        <w:tc>
          <w:tcPr>
            <w:tcW w:w="4320" w:type="dxa"/>
            <w:tcBorders>
              <w:top w:val="single" w:sz="2" w:space="0" w:color="auto"/>
              <w:left w:val="single" w:sz="2" w:space="0" w:color="auto"/>
              <w:bottom w:val="single" w:sz="2" w:space="0" w:color="auto"/>
              <w:right w:val="single" w:sz="2" w:space="0" w:color="auto"/>
            </w:tcBorders>
            <w:vAlign w:val="center"/>
          </w:tcPr>
          <w:p w14:paraId="2843AD8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龙大牧原</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14:paraId="4764C22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14:paraId="7F78144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河南龙大牧原肉食品有限公司，本公司控股子公司</w:t>
            </w:r>
          </w:p>
        </w:tc>
      </w:tr>
      <w:tr w:rsidR="006C011D" w:rsidRPr="005A284F" w14:paraId="1055D952" w14:textId="77777777">
        <w:trPr>
          <w:trHeight w:val="240"/>
        </w:trPr>
        <w:tc>
          <w:tcPr>
            <w:tcW w:w="4320" w:type="dxa"/>
            <w:tcBorders>
              <w:top w:val="single" w:sz="2" w:space="0" w:color="auto"/>
              <w:left w:val="single" w:sz="2" w:space="0" w:color="auto"/>
              <w:bottom w:val="single" w:sz="2" w:space="0" w:color="auto"/>
              <w:right w:val="single" w:sz="2" w:space="0" w:color="auto"/>
            </w:tcBorders>
            <w:vAlign w:val="center"/>
          </w:tcPr>
          <w:p w14:paraId="382D7AA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潍坊振祥</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14:paraId="43C8029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14:paraId="6B17EFC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潍坊振祥食品有限公司，本公司控股子公司</w:t>
            </w:r>
          </w:p>
        </w:tc>
      </w:tr>
      <w:tr w:rsidR="006C011D" w:rsidRPr="005A284F" w14:paraId="238BA447" w14:textId="77777777">
        <w:trPr>
          <w:trHeight w:val="240"/>
        </w:trPr>
        <w:tc>
          <w:tcPr>
            <w:tcW w:w="4320" w:type="dxa"/>
            <w:tcBorders>
              <w:top w:val="single" w:sz="2" w:space="0" w:color="auto"/>
              <w:left w:val="single" w:sz="2" w:space="0" w:color="auto"/>
              <w:bottom w:val="single" w:sz="2" w:space="0" w:color="auto"/>
              <w:right w:val="single" w:sz="2" w:space="0" w:color="auto"/>
            </w:tcBorders>
            <w:vAlign w:val="center"/>
          </w:tcPr>
          <w:p w14:paraId="487ECB5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中国证监会</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14:paraId="434CD84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14:paraId="7611CA5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中国证券监督管理委员会</w:t>
            </w:r>
          </w:p>
        </w:tc>
      </w:tr>
      <w:tr w:rsidR="006C011D" w:rsidRPr="005A284F" w14:paraId="7B98440E" w14:textId="77777777">
        <w:trPr>
          <w:trHeight w:val="240"/>
        </w:trPr>
        <w:tc>
          <w:tcPr>
            <w:tcW w:w="4320" w:type="dxa"/>
            <w:tcBorders>
              <w:top w:val="single" w:sz="2" w:space="0" w:color="auto"/>
              <w:left w:val="single" w:sz="2" w:space="0" w:color="auto"/>
              <w:bottom w:val="single" w:sz="2" w:space="0" w:color="auto"/>
              <w:right w:val="single" w:sz="2" w:space="0" w:color="auto"/>
            </w:tcBorders>
            <w:vAlign w:val="center"/>
          </w:tcPr>
          <w:p w14:paraId="3F29EE4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报告期</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14:paraId="46A6829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14:paraId="7CEBC2A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日至</w:t>
            </w: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6</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30</w:t>
            </w:r>
            <w:r w:rsidRPr="005A284F">
              <w:rPr>
                <w:rFonts w:ascii="Times New Roman" w:eastAsia="宋体" w:hAnsi="Times New Roman" w:cs="Times New Roman"/>
                <w:sz w:val="18"/>
                <w:szCs w:val="18"/>
              </w:rPr>
              <w:t>日</w:t>
            </w:r>
          </w:p>
        </w:tc>
      </w:tr>
      <w:tr w:rsidR="006C011D" w:rsidRPr="005A284F" w14:paraId="503433E1" w14:textId="77777777">
        <w:trPr>
          <w:trHeight w:val="240"/>
        </w:trPr>
        <w:tc>
          <w:tcPr>
            <w:tcW w:w="4320" w:type="dxa"/>
            <w:tcBorders>
              <w:top w:val="single" w:sz="2" w:space="0" w:color="auto"/>
              <w:left w:val="single" w:sz="2" w:space="0" w:color="auto"/>
              <w:bottom w:val="single" w:sz="2" w:space="0" w:color="auto"/>
              <w:right w:val="single" w:sz="2" w:space="0" w:color="auto"/>
            </w:tcBorders>
            <w:vAlign w:val="center"/>
          </w:tcPr>
          <w:p w14:paraId="1B77CBC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元、万元</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14:paraId="5DD1E43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14:paraId="582CF80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人民币元、万元</w:t>
            </w:r>
          </w:p>
        </w:tc>
      </w:tr>
    </w:tbl>
    <w:p w14:paraId="7DB72AEE" w14:textId="77777777" w:rsidR="006C011D" w:rsidRPr="005A284F" w:rsidRDefault="00000000">
      <w:pPr>
        <w:rPr>
          <w:rFonts w:ascii="Times New Roman" w:eastAsia="宋体" w:hAnsi="Times New Roman" w:cs="Times New Roman"/>
        </w:rPr>
      </w:pPr>
      <w:r w:rsidRPr="005A284F">
        <w:rPr>
          <w:rFonts w:ascii="Times New Roman" w:eastAsia="宋体" w:hAnsi="Times New Roman" w:cs="Times New Roman"/>
        </w:rPr>
        <w:br w:type="page"/>
      </w:r>
    </w:p>
    <w:p w14:paraId="76F6F7C0" w14:textId="77777777" w:rsidR="006C011D" w:rsidRPr="005A284F" w:rsidRDefault="00000000">
      <w:pPr>
        <w:pStyle w:val="headingh1"/>
        <w:spacing w:before="340" w:after="330" w:line="773" w:lineRule="exact"/>
        <w:jc w:val="center"/>
        <w:rPr>
          <w:rFonts w:ascii="Times New Roman" w:eastAsia="宋体" w:hAnsi="Times New Roman" w:cs="Times New Roman"/>
          <w:b/>
          <w:bCs/>
          <w:sz w:val="32"/>
          <w:szCs w:val="32"/>
        </w:rPr>
      </w:pPr>
      <w:bookmarkStart w:id="1" w:name="_Toc988890"/>
      <w:r w:rsidRPr="005A284F">
        <w:rPr>
          <w:rFonts w:ascii="Times New Roman" w:eastAsia="宋体" w:hAnsi="Times New Roman" w:cs="Times New Roman"/>
          <w:b/>
          <w:bCs/>
          <w:sz w:val="32"/>
          <w:szCs w:val="32"/>
        </w:rPr>
        <w:lastRenderedPageBreak/>
        <w:t>第二节</w:t>
      </w:r>
      <w:r w:rsidRPr="005A284F">
        <w:rPr>
          <w:rFonts w:ascii="Times New Roman" w:eastAsia="宋体" w:hAnsi="Times New Roman" w:cs="Times New Roman"/>
          <w:b/>
          <w:bCs/>
          <w:sz w:val="32"/>
          <w:szCs w:val="32"/>
        </w:rPr>
        <w:t xml:space="preserve"> </w:t>
      </w:r>
      <w:r w:rsidRPr="005A284F">
        <w:rPr>
          <w:rFonts w:ascii="Times New Roman" w:eastAsia="宋体" w:hAnsi="Times New Roman" w:cs="Times New Roman"/>
          <w:b/>
          <w:bCs/>
          <w:sz w:val="32"/>
          <w:szCs w:val="32"/>
        </w:rPr>
        <w:t>公司简介和主要财务指标</w:t>
      </w:r>
      <w:bookmarkEnd w:id="1"/>
    </w:p>
    <w:p w14:paraId="7B8B745C"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2" w:name="_Toc988891"/>
      <w:r w:rsidRPr="005A284F">
        <w:rPr>
          <w:rFonts w:ascii="Times New Roman" w:eastAsia="宋体" w:hAnsi="Times New Roman" w:cs="Times New Roman"/>
          <w:b/>
          <w:bCs/>
          <w:sz w:val="24"/>
          <w:szCs w:val="24"/>
        </w:rPr>
        <w:t>一、公司简介</w:t>
      </w:r>
      <w:bookmarkEnd w:id="2"/>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6C011D" w:rsidRPr="005A284F" w14:paraId="50E485ED"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FFBF81E"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股票简称</w:t>
            </w:r>
          </w:p>
        </w:tc>
        <w:tc>
          <w:tcPr>
            <w:tcW w:w="2410" w:type="dxa"/>
            <w:tcBorders>
              <w:top w:val="single" w:sz="2" w:space="0" w:color="auto"/>
              <w:left w:val="single" w:sz="2" w:space="0" w:color="auto"/>
              <w:bottom w:val="single" w:sz="2" w:space="0" w:color="auto"/>
              <w:right w:val="single" w:sz="2" w:space="0" w:color="auto"/>
            </w:tcBorders>
            <w:vAlign w:val="center"/>
          </w:tcPr>
          <w:p w14:paraId="706A52C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龙大美食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9F60810"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股票代码</w:t>
            </w:r>
          </w:p>
        </w:tc>
        <w:tc>
          <w:tcPr>
            <w:tcW w:w="2410" w:type="dxa"/>
            <w:tcBorders>
              <w:top w:val="single" w:sz="2" w:space="0" w:color="auto"/>
              <w:left w:val="single" w:sz="2" w:space="0" w:color="auto"/>
              <w:bottom w:val="single" w:sz="2" w:space="0" w:color="auto"/>
              <w:right w:val="single" w:sz="2" w:space="0" w:color="auto"/>
            </w:tcBorders>
            <w:vAlign w:val="center"/>
          </w:tcPr>
          <w:p w14:paraId="2EA0262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002726</w:t>
            </w:r>
          </w:p>
        </w:tc>
      </w:tr>
      <w:tr w:rsidR="006C011D" w:rsidRPr="005A284F" w14:paraId="0CD80BA9"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9F2B42E"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变更前的股票简称（如有）</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1EF735C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公司股票简称于</w:t>
            </w:r>
            <w:r w:rsidRPr="005A284F">
              <w:rPr>
                <w:rFonts w:ascii="Times New Roman" w:eastAsia="宋体" w:hAnsi="Times New Roman" w:cs="Times New Roman"/>
                <w:sz w:val="18"/>
                <w:szCs w:val="18"/>
              </w:rPr>
              <w:t>2021</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24</w:t>
            </w:r>
            <w:r w:rsidRPr="005A284F">
              <w:rPr>
                <w:rFonts w:ascii="Times New Roman" w:eastAsia="宋体" w:hAnsi="Times New Roman" w:cs="Times New Roman"/>
                <w:sz w:val="18"/>
                <w:szCs w:val="18"/>
              </w:rPr>
              <w:t>日由</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龙大肉食</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变更为</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龙大美食</w:t>
            </w:r>
            <w:r w:rsidRPr="005A284F">
              <w:rPr>
                <w:rFonts w:ascii="Times New Roman" w:eastAsia="宋体" w:hAnsi="Times New Roman" w:cs="Times New Roman"/>
                <w:sz w:val="18"/>
                <w:szCs w:val="18"/>
              </w:rPr>
              <w:t>”</w:t>
            </w:r>
          </w:p>
        </w:tc>
      </w:tr>
      <w:tr w:rsidR="006C011D" w:rsidRPr="005A284F" w14:paraId="4E9674A4"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744147B"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股票上市证券交易所</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69D2947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深圳证券交易所</w:t>
            </w:r>
          </w:p>
        </w:tc>
      </w:tr>
      <w:tr w:rsidR="006C011D" w:rsidRPr="005A284F" w14:paraId="5E1C1F5C"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D05A87E"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公司的中文名称</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5D1DDFB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山东龙大美食股份有限公司</w:t>
            </w:r>
          </w:p>
        </w:tc>
      </w:tr>
      <w:tr w:rsidR="006C011D" w:rsidRPr="005A284F" w14:paraId="55A948BA"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7EBE8E1"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公司的中文简称（如有）</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3052057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龙大美食</w:t>
            </w:r>
          </w:p>
        </w:tc>
      </w:tr>
      <w:tr w:rsidR="006C011D" w:rsidRPr="005A284F" w14:paraId="0DAACAF7"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A57E9E0"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公司的外文名称（如有）</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79B41C3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Shandong Longda Meishi CO.,Ltd.</w:t>
            </w:r>
          </w:p>
        </w:tc>
      </w:tr>
      <w:tr w:rsidR="006C011D" w:rsidRPr="005A284F" w14:paraId="3A4F1B92"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C3911B6"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公司的外文名称缩写（如有）</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646964D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LONGDA</w:t>
            </w:r>
          </w:p>
        </w:tc>
      </w:tr>
      <w:tr w:rsidR="006C011D" w:rsidRPr="005A284F" w14:paraId="5267B4D5"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7E18D1B"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公司的法定代表人</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72EEE8D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杨晓初</w:t>
            </w:r>
          </w:p>
        </w:tc>
      </w:tr>
    </w:tbl>
    <w:p w14:paraId="6F912DB6"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3" w:name="_Toc988892"/>
      <w:r w:rsidRPr="005A284F">
        <w:rPr>
          <w:rFonts w:ascii="Times New Roman" w:eastAsia="宋体" w:hAnsi="Times New Roman" w:cs="Times New Roman"/>
          <w:b/>
          <w:bCs/>
          <w:sz w:val="24"/>
          <w:szCs w:val="24"/>
        </w:rPr>
        <w:t>二、联系人和联系方式</w:t>
      </w:r>
      <w:bookmarkEnd w:id="3"/>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0AABCB5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939342" w14:textId="77777777" w:rsidR="006C011D" w:rsidRPr="005A284F" w:rsidRDefault="006C011D">
            <w:pPr>
              <w:rPr>
                <w:rFonts w:ascii="Times New Roman" w:eastAsia="宋体"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85136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董事会秘书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47559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证券事务代表</w:t>
            </w:r>
          </w:p>
        </w:tc>
      </w:tr>
      <w:tr w:rsidR="006C011D" w:rsidRPr="005A284F" w14:paraId="5B872CC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A48CA3"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姓名</w:t>
            </w:r>
          </w:p>
        </w:tc>
        <w:tc>
          <w:tcPr>
            <w:tcW w:w="3213" w:type="dxa"/>
            <w:tcBorders>
              <w:top w:val="single" w:sz="2" w:space="0" w:color="auto"/>
              <w:left w:val="single" w:sz="2" w:space="0" w:color="auto"/>
              <w:bottom w:val="single" w:sz="2" w:space="0" w:color="auto"/>
              <w:right w:val="single" w:sz="2" w:space="0" w:color="auto"/>
            </w:tcBorders>
            <w:vAlign w:val="center"/>
          </w:tcPr>
          <w:p w14:paraId="72B446B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张瑞</w:t>
            </w:r>
          </w:p>
        </w:tc>
        <w:tc>
          <w:tcPr>
            <w:tcW w:w="3213" w:type="dxa"/>
            <w:tcBorders>
              <w:top w:val="single" w:sz="2" w:space="0" w:color="auto"/>
              <w:left w:val="single" w:sz="2" w:space="0" w:color="auto"/>
              <w:bottom w:val="single" w:sz="2" w:space="0" w:color="auto"/>
              <w:right w:val="single" w:sz="2" w:space="0" w:color="auto"/>
            </w:tcBorders>
            <w:vAlign w:val="center"/>
          </w:tcPr>
          <w:p w14:paraId="0909E44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彭威</w:t>
            </w:r>
          </w:p>
        </w:tc>
      </w:tr>
      <w:tr w:rsidR="006C011D" w:rsidRPr="005A284F" w14:paraId="43CB184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CD4526"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联系地址</w:t>
            </w:r>
          </w:p>
        </w:tc>
        <w:tc>
          <w:tcPr>
            <w:tcW w:w="3213" w:type="dxa"/>
            <w:tcBorders>
              <w:top w:val="single" w:sz="2" w:space="0" w:color="auto"/>
              <w:left w:val="single" w:sz="2" w:space="0" w:color="auto"/>
              <w:bottom w:val="single" w:sz="2" w:space="0" w:color="auto"/>
              <w:right w:val="single" w:sz="2" w:space="0" w:color="auto"/>
            </w:tcBorders>
            <w:vAlign w:val="center"/>
          </w:tcPr>
          <w:p w14:paraId="3CE2BCD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山东省莱阳市龙门东路</w:t>
            </w:r>
            <w:r w:rsidRPr="005A284F">
              <w:rPr>
                <w:rFonts w:ascii="Times New Roman" w:eastAsia="宋体" w:hAnsi="Times New Roman" w:cs="Times New Roman"/>
                <w:sz w:val="18"/>
                <w:szCs w:val="18"/>
              </w:rPr>
              <w:t>99</w:t>
            </w:r>
            <w:r w:rsidRPr="005A284F">
              <w:rPr>
                <w:rFonts w:ascii="Times New Roman" w:eastAsia="宋体" w:hAnsi="Times New Roman" w:cs="Times New Roman"/>
                <w:sz w:val="18"/>
                <w:szCs w:val="18"/>
              </w:rPr>
              <w:t>号</w:t>
            </w:r>
          </w:p>
        </w:tc>
        <w:tc>
          <w:tcPr>
            <w:tcW w:w="3213" w:type="dxa"/>
            <w:tcBorders>
              <w:top w:val="single" w:sz="2" w:space="0" w:color="auto"/>
              <w:left w:val="single" w:sz="2" w:space="0" w:color="auto"/>
              <w:bottom w:val="single" w:sz="2" w:space="0" w:color="auto"/>
              <w:right w:val="single" w:sz="2" w:space="0" w:color="auto"/>
            </w:tcBorders>
            <w:vAlign w:val="center"/>
          </w:tcPr>
          <w:p w14:paraId="6174401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山东省莱阳市龙门东路</w:t>
            </w:r>
            <w:r w:rsidRPr="005A284F">
              <w:rPr>
                <w:rFonts w:ascii="Times New Roman" w:eastAsia="宋体" w:hAnsi="Times New Roman" w:cs="Times New Roman"/>
                <w:sz w:val="18"/>
                <w:szCs w:val="18"/>
              </w:rPr>
              <w:t>99</w:t>
            </w:r>
            <w:r w:rsidRPr="005A284F">
              <w:rPr>
                <w:rFonts w:ascii="Times New Roman" w:eastAsia="宋体" w:hAnsi="Times New Roman" w:cs="Times New Roman"/>
                <w:sz w:val="18"/>
                <w:szCs w:val="18"/>
              </w:rPr>
              <w:t>号</w:t>
            </w:r>
          </w:p>
        </w:tc>
      </w:tr>
      <w:tr w:rsidR="006C011D" w:rsidRPr="005A284F" w14:paraId="203469A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6F53E7"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电话</w:t>
            </w:r>
          </w:p>
        </w:tc>
        <w:tc>
          <w:tcPr>
            <w:tcW w:w="3213" w:type="dxa"/>
            <w:tcBorders>
              <w:top w:val="single" w:sz="2" w:space="0" w:color="auto"/>
              <w:left w:val="single" w:sz="2" w:space="0" w:color="auto"/>
              <w:bottom w:val="single" w:sz="2" w:space="0" w:color="auto"/>
              <w:right w:val="single" w:sz="2" w:space="0" w:color="auto"/>
            </w:tcBorders>
            <w:vAlign w:val="center"/>
          </w:tcPr>
          <w:p w14:paraId="06F2A54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0535-7717760</w:t>
            </w:r>
          </w:p>
        </w:tc>
        <w:tc>
          <w:tcPr>
            <w:tcW w:w="3213" w:type="dxa"/>
            <w:tcBorders>
              <w:top w:val="single" w:sz="2" w:space="0" w:color="auto"/>
              <w:left w:val="single" w:sz="2" w:space="0" w:color="auto"/>
              <w:bottom w:val="single" w:sz="2" w:space="0" w:color="auto"/>
              <w:right w:val="single" w:sz="2" w:space="0" w:color="auto"/>
            </w:tcBorders>
            <w:vAlign w:val="center"/>
          </w:tcPr>
          <w:p w14:paraId="25BB5EE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0535-7717760</w:t>
            </w:r>
          </w:p>
        </w:tc>
      </w:tr>
      <w:tr w:rsidR="006C011D" w:rsidRPr="005A284F" w14:paraId="615976A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C72708"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传真</w:t>
            </w:r>
          </w:p>
        </w:tc>
        <w:tc>
          <w:tcPr>
            <w:tcW w:w="3213" w:type="dxa"/>
            <w:tcBorders>
              <w:top w:val="single" w:sz="2" w:space="0" w:color="auto"/>
              <w:left w:val="single" w:sz="2" w:space="0" w:color="auto"/>
              <w:bottom w:val="single" w:sz="2" w:space="0" w:color="auto"/>
              <w:right w:val="single" w:sz="2" w:space="0" w:color="auto"/>
            </w:tcBorders>
            <w:vAlign w:val="center"/>
          </w:tcPr>
          <w:p w14:paraId="14312A3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0535-7717337</w:t>
            </w:r>
          </w:p>
        </w:tc>
        <w:tc>
          <w:tcPr>
            <w:tcW w:w="3213" w:type="dxa"/>
            <w:tcBorders>
              <w:top w:val="single" w:sz="2" w:space="0" w:color="auto"/>
              <w:left w:val="single" w:sz="2" w:space="0" w:color="auto"/>
              <w:bottom w:val="single" w:sz="2" w:space="0" w:color="auto"/>
              <w:right w:val="single" w:sz="2" w:space="0" w:color="auto"/>
            </w:tcBorders>
            <w:vAlign w:val="center"/>
          </w:tcPr>
          <w:p w14:paraId="3D2C237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0535-7717337</w:t>
            </w:r>
          </w:p>
        </w:tc>
      </w:tr>
      <w:tr w:rsidR="006C011D" w:rsidRPr="005A284F" w14:paraId="467BCE0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28D5A1"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电子信箱</w:t>
            </w:r>
          </w:p>
        </w:tc>
        <w:tc>
          <w:tcPr>
            <w:tcW w:w="3213" w:type="dxa"/>
            <w:tcBorders>
              <w:top w:val="single" w:sz="2" w:space="0" w:color="auto"/>
              <w:left w:val="single" w:sz="2" w:space="0" w:color="auto"/>
              <w:bottom w:val="single" w:sz="2" w:space="0" w:color="auto"/>
              <w:right w:val="single" w:sz="2" w:space="0" w:color="auto"/>
            </w:tcBorders>
            <w:vAlign w:val="center"/>
          </w:tcPr>
          <w:p w14:paraId="799864D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zqb@longdameishi.com</w:t>
            </w:r>
          </w:p>
        </w:tc>
        <w:tc>
          <w:tcPr>
            <w:tcW w:w="3213" w:type="dxa"/>
            <w:tcBorders>
              <w:top w:val="single" w:sz="2" w:space="0" w:color="auto"/>
              <w:left w:val="single" w:sz="2" w:space="0" w:color="auto"/>
              <w:bottom w:val="single" w:sz="2" w:space="0" w:color="auto"/>
              <w:right w:val="single" w:sz="2" w:space="0" w:color="auto"/>
            </w:tcBorders>
            <w:vAlign w:val="center"/>
          </w:tcPr>
          <w:p w14:paraId="666186C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zqb@longdameishi.com</w:t>
            </w:r>
          </w:p>
        </w:tc>
      </w:tr>
    </w:tbl>
    <w:p w14:paraId="169B4DDE"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4" w:name="_Toc988893"/>
      <w:r w:rsidRPr="005A284F">
        <w:rPr>
          <w:rFonts w:ascii="Times New Roman" w:eastAsia="宋体" w:hAnsi="Times New Roman" w:cs="Times New Roman"/>
          <w:b/>
          <w:bCs/>
          <w:sz w:val="24"/>
          <w:szCs w:val="24"/>
        </w:rPr>
        <w:t>三、其他情况</w:t>
      </w:r>
      <w:bookmarkEnd w:id="4"/>
    </w:p>
    <w:p w14:paraId="5F06EC07" w14:textId="77777777" w:rsidR="006C011D" w:rsidRPr="005A284F" w:rsidRDefault="00000000">
      <w:pPr>
        <w:pStyle w:val="3"/>
        <w:spacing w:line="280" w:lineRule="exact"/>
        <w:jc w:val="left"/>
        <w:rPr>
          <w:rFonts w:ascii="Times New Roman" w:hAnsi="Times New Roman" w:cs="Times New Roman"/>
          <w:b/>
          <w:bCs/>
        </w:rPr>
      </w:pPr>
      <w:bookmarkStart w:id="5" w:name="_Toc988894"/>
      <w:r w:rsidRPr="005A284F">
        <w:rPr>
          <w:rFonts w:ascii="Times New Roman" w:hAnsi="Times New Roman" w:cs="Times New Roman"/>
          <w:b/>
          <w:bCs/>
        </w:rPr>
        <w:t>1</w:t>
      </w:r>
      <w:r w:rsidRPr="005A284F">
        <w:rPr>
          <w:rFonts w:ascii="Times New Roman" w:hAnsi="Times New Roman" w:cs="Times New Roman"/>
          <w:b/>
          <w:bCs/>
        </w:rPr>
        <w:t>、公司联系方式</w:t>
      </w:r>
      <w:bookmarkEnd w:id="5"/>
    </w:p>
    <w:p w14:paraId="2799B318"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公司注册地址、公司办公地址及其邮政编码、公司网址、电子信箱等在报告期是否变化</w:t>
      </w:r>
    </w:p>
    <w:p w14:paraId="4E785E6F" w14:textId="77777777" w:rsidR="006C011D" w:rsidRPr="005A284F" w:rsidRDefault="00000000">
      <w:pPr>
        <w:spacing w:before="40" w:after="40" w:line="240" w:lineRule="exact"/>
        <w:rPr>
          <w:rFonts w:ascii="宋体" w:eastAsia="宋体" w:hAnsi="宋体" w:cs="Times New Roman" w:hint="eastAsia"/>
          <w:sz w:val="18"/>
          <w:szCs w:val="18"/>
        </w:rPr>
      </w:pPr>
      <w:r w:rsidRPr="005A284F">
        <w:rPr>
          <w:rFonts w:ascii="宋体" w:eastAsia="宋体" w:hAnsi="宋体" w:cs="Times New Roman"/>
          <w:sz w:val="18"/>
          <w:szCs w:val="18"/>
        </w:rPr>
        <w:t xml:space="preserve">□适用 </w:t>
      </w:r>
      <w:r w:rsidRPr="005A284F">
        <w:rPr>
          <w:rFonts w:ascii="宋体" w:eastAsia="宋体" w:hAnsi="宋体" w:cs="Times New Roman"/>
          <w:sz w:val="18"/>
          <w:szCs w:val="18"/>
        </w:rPr>
        <w:sym w:font="Wingdings 2" w:char="F052"/>
      </w:r>
      <w:r w:rsidRPr="005A284F">
        <w:rPr>
          <w:rFonts w:ascii="宋体" w:eastAsia="宋体" w:hAnsi="宋体" w:cs="Times New Roman"/>
          <w:sz w:val="18"/>
          <w:szCs w:val="18"/>
        </w:rPr>
        <w:t>不适用</w:t>
      </w:r>
    </w:p>
    <w:p w14:paraId="7ACBA36F"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公司注册地址、公司办公地址及其邮政编码、公司网址、电子信箱等在报告期无变化，具体可参见</w:t>
      </w: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年年报。</w:t>
      </w:r>
    </w:p>
    <w:p w14:paraId="7149D4BA" w14:textId="77777777" w:rsidR="006C011D" w:rsidRPr="005A284F" w:rsidRDefault="00000000">
      <w:pPr>
        <w:pStyle w:val="3"/>
        <w:spacing w:line="280" w:lineRule="exact"/>
        <w:jc w:val="left"/>
        <w:rPr>
          <w:rFonts w:ascii="Times New Roman" w:hAnsi="Times New Roman" w:cs="Times New Roman"/>
          <w:b/>
          <w:bCs/>
        </w:rPr>
      </w:pPr>
      <w:bookmarkStart w:id="6" w:name="_Toc988895"/>
      <w:r w:rsidRPr="005A284F">
        <w:rPr>
          <w:rFonts w:ascii="Times New Roman" w:hAnsi="Times New Roman" w:cs="Times New Roman"/>
          <w:b/>
          <w:bCs/>
        </w:rPr>
        <w:t>2</w:t>
      </w:r>
      <w:r w:rsidRPr="005A284F">
        <w:rPr>
          <w:rFonts w:ascii="Times New Roman" w:hAnsi="Times New Roman" w:cs="Times New Roman"/>
          <w:b/>
          <w:bCs/>
        </w:rPr>
        <w:t>、信息披露及备置地点</w:t>
      </w:r>
      <w:bookmarkEnd w:id="6"/>
    </w:p>
    <w:p w14:paraId="3872EA11"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信息披露及备置地点在报告期是否变化</w:t>
      </w:r>
    </w:p>
    <w:p w14:paraId="2B8A69D1" w14:textId="77777777" w:rsidR="006C011D" w:rsidRPr="005A284F" w:rsidRDefault="00000000">
      <w:pPr>
        <w:spacing w:before="40" w:after="40" w:line="240" w:lineRule="exact"/>
        <w:rPr>
          <w:rFonts w:ascii="宋体" w:eastAsia="宋体" w:hAnsi="宋体" w:cs="Times New Roman" w:hint="eastAsia"/>
          <w:sz w:val="18"/>
          <w:szCs w:val="18"/>
        </w:rPr>
      </w:pPr>
      <w:r w:rsidRPr="005A284F">
        <w:rPr>
          <w:rFonts w:ascii="宋体" w:eastAsia="宋体" w:hAnsi="宋体" w:cs="Times New Roman"/>
          <w:sz w:val="18"/>
          <w:szCs w:val="18"/>
        </w:rPr>
        <w:t xml:space="preserve">□适用 </w:t>
      </w:r>
      <w:r w:rsidRPr="005A284F">
        <w:rPr>
          <w:rFonts w:ascii="宋体" w:eastAsia="宋体" w:hAnsi="宋体" w:cs="Times New Roman"/>
          <w:sz w:val="18"/>
          <w:szCs w:val="18"/>
        </w:rPr>
        <w:sym w:font="Wingdings 2" w:char="F052"/>
      </w:r>
      <w:r w:rsidRPr="005A284F">
        <w:rPr>
          <w:rFonts w:ascii="宋体" w:eastAsia="宋体" w:hAnsi="宋体" w:cs="Times New Roman"/>
          <w:sz w:val="18"/>
          <w:szCs w:val="18"/>
        </w:rPr>
        <w:t>不适用</w:t>
      </w:r>
    </w:p>
    <w:p w14:paraId="780A3005"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公司披露半年度报告的证券交易所网站和媒体名称及网址，公司半年度报告备置地在报告期无变化，具体可参见</w:t>
      </w: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年年报。</w:t>
      </w:r>
    </w:p>
    <w:p w14:paraId="39E11964" w14:textId="77777777" w:rsidR="006C011D" w:rsidRPr="005A284F" w:rsidRDefault="00000000">
      <w:pPr>
        <w:pStyle w:val="3"/>
        <w:spacing w:line="280" w:lineRule="exact"/>
        <w:jc w:val="left"/>
        <w:rPr>
          <w:rFonts w:ascii="Times New Roman" w:hAnsi="Times New Roman" w:cs="Times New Roman"/>
          <w:b/>
          <w:bCs/>
        </w:rPr>
      </w:pPr>
      <w:bookmarkStart w:id="7" w:name="_Toc988896"/>
      <w:r w:rsidRPr="005A284F">
        <w:rPr>
          <w:rFonts w:ascii="Times New Roman" w:hAnsi="Times New Roman" w:cs="Times New Roman"/>
          <w:b/>
          <w:bCs/>
        </w:rPr>
        <w:t>3</w:t>
      </w:r>
      <w:r w:rsidRPr="005A284F">
        <w:rPr>
          <w:rFonts w:ascii="Times New Roman" w:hAnsi="Times New Roman" w:cs="Times New Roman"/>
          <w:b/>
          <w:bCs/>
        </w:rPr>
        <w:t>、其他有关资料</w:t>
      </w:r>
      <w:bookmarkEnd w:id="7"/>
    </w:p>
    <w:p w14:paraId="0B97E8A0"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其他有关资料在报告期是否变更情况</w:t>
      </w:r>
    </w:p>
    <w:p w14:paraId="5DC3E6B0" w14:textId="77777777" w:rsidR="006C011D" w:rsidRPr="005A284F" w:rsidRDefault="00000000">
      <w:pPr>
        <w:spacing w:before="40" w:after="40" w:line="240" w:lineRule="exact"/>
        <w:rPr>
          <w:rFonts w:ascii="宋体" w:eastAsia="宋体" w:hAnsi="宋体" w:cs="Times New Roman" w:hint="eastAsia"/>
          <w:sz w:val="18"/>
          <w:szCs w:val="18"/>
        </w:rPr>
      </w:pPr>
      <w:r w:rsidRPr="005A284F">
        <w:rPr>
          <w:rFonts w:ascii="宋体" w:eastAsia="宋体" w:hAnsi="宋体" w:cs="Times New Roman"/>
          <w:sz w:val="18"/>
          <w:szCs w:val="18"/>
        </w:rPr>
        <w:t xml:space="preserve">□适用 </w:t>
      </w:r>
      <w:r w:rsidRPr="005A284F">
        <w:rPr>
          <w:rFonts w:ascii="宋体" w:eastAsia="宋体" w:hAnsi="宋体" w:cs="Times New Roman"/>
          <w:sz w:val="18"/>
          <w:szCs w:val="18"/>
        </w:rPr>
        <w:sym w:font="Wingdings 2" w:char="F052"/>
      </w:r>
      <w:r w:rsidRPr="005A284F">
        <w:rPr>
          <w:rFonts w:ascii="宋体" w:eastAsia="宋体" w:hAnsi="宋体" w:cs="Times New Roman"/>
          <w:sz w:val="18"/>
          <w:szCs w:val="18"/>
        </w:rPr>
        <w:t>不适用</w:t>
      </w:r>
    </w:p>
    <w:p w14:paraId="3F75E05A"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8" w:name="_Toc988897"/>
      <w:r w:rsidRPr="005A284F">
        <w:rPr>
          <w:rFonts w:ascii="Times New Roman" w:eastAsia="宋体" w:hAnsi="Times New Roman" w:cs="Times New Roman"/>
          <w:b/>
          <w:bCs/>
          <w:sz w:val="24"/>
          <w:szCs w:val="24"/>
        </w:rPr>
        <w:lastRenderedPageBreak/>
        <w:t>四、主要会计数据和财务指标</w:t>
      </w:r>
      <w:bookmarkEnd w:id="8"/>
    </w:p>
    <w:p w14:paraId="282CC48C"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公司是否需追溯调整或重述以前年度会计数据</w:t>
      </w:r>
    </w:p>
    <w:p w14:paraId="587CFF42" w14:textId="77777777" w:rsidR="006C011D" w:rsidRPr="005A284F" w:rsidRDefault="00000000" w:rsidP="005A284F">
      <w:pPr>
        <w:spacing w:before="40" w:after="40" w:line="240" w:lineRule="exact"/>
        <w:rPr>
          <w:rFonts w:ascii="宋体" w:eastAsia="宋体" w:hAnsi="宋体" w:cs="Times New Roman" w:hint="eastAsia"/>
          <w:sz w:val="18"/>
          <w:szCs w:val="18"/>
        </w:rPr>
      </w:pPr>
      <w:r w:rsidRPr="005A284F">
        <w:rPr>
          <w:rFonts w:ascii="宋体" w:eastAsia="宋体" w:hAnsi="宋体" w:cs="Times New Roman"/>
          <w:sz w:val="18"/>
          <w:szCs w:val="18"/>
        </w:rPr>
        <w:t xml:space="preserve">□是 </w:t>
      </w:r>
      <w:r w:rsidRPr="005A284F">
        <w:rPr>
          <w:rFonts w:ascii="宋体" w:eastAsia="宋体" w:hAnsi="宋体" w:cs="Times New Roman"/>
          <w:sz w:val="18"/>
          <w:szCs w:val="18"/>
        </w:rPr>
        <w:sym w:font="Wingdings 2" w:char="F052"/>
      </w:r>
      <w:r w:rsidRPr="005A284F">
        <w:rPr>
          <w:rFonts w:ascii="宋体" w:eastAsia="宋体" w:hAnsi="宋体" w:cs="Times New Roman"/>
          <w:sz w:val="18"/>
          <w:szCs w:val="18"/>
        </w:rPr>
        <w:t>否</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6C011D" w:rsidRPr="005A284F" w14:paraId="55D58882"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E595CFE" w14:textId="77777777" w:rsidR="006C011D" w:rsidRPr="005A284F" w:rsidRDefault="006C011D">
            <w:pPr>
              <w:rPr>
                <w:rFonts w:ascii="Times New Roman" w:eastAsia="宋体" w:hAnsi="Times New Roman" w:cs="Times New Roman"/>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5516A3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本报告期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F63C58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上年同期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19E6D5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本报告期比上年同期增减</w:t>
            </w:r>
          </w:p>
        </w:tc>
      </w:tr>
      <w:tr w:rsidR="006C011D" w:rsidRPr="005A284F" w14:paraId="07BCCA44"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BE2BE43"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营业收入（元）</w:t>
            </w:r>
          </w:p>
        </w:tc>
        <w:tc>
          <w:tcPr>
            <w:tcW w:w="2410" w:type="dxa"/>
            <w:tcBorders>
              <w:top w:val="single" w:sz="2" w:space="0" w:color="auto"/>
              <w:left w:val="single" w:sz="2" w:space="0" w:color="auto"/>
              <w:bottom w:val="single" w:sz="2" w:space="0" w:color="auto"/>
              <w:right w:val="single" w:sz="2" w:space="0" w:color="auto"/>
            </w:tcBorders>
            <w:vAlign w:val="center"/>
          </w:tcPr>
          <w:p w14:paraId="44AA04C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4,974,609,506.33</w:t>
            </w:r>
          </w:p>
        </w:tc>
        <w:tc>
          <w:tcPr>
            <w:tcW w:w="2410" w:type="dxa"/>
            <w:tcBorders>
              <w:top w:val="single" w:sz="2" w:space="0" w:color="auto"/>
              <w:left w:val="single" w:sz="2" w:space="0" w:color="auto"/>
              <w:bottom w:val="single" w:sz="2" w:space="0" w:color="auto"/>
              <w:right w:val="single" w:sz="2" w:space="0" w:color="auto"/>
            </w:tcBorders>
            <w:vAlign w:val="center"/>
          </w:tcPr>
          <w:p w14:paraId="49862A9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5,044,132,021.30</w:t>
            </w:r>
          </w:p>
        </w:tc>
        <w:tc>
          <w:tcPr>
            <w:tcW w:w="2410" w:type="dxa"/>
            <w:tcBorders>
              <w:top w:val="single" w:sz="2" w:space="0" w:color="auto"/>
              <w:left w:val="single" w:sz="2" w:space="0" w:color="auto"/>
              <w:bottom w:val="single" w:sz="2" w:space="0" w:color="auto"/>
              <w:right w:val="single" w:sz="2" w:space="0" w:color="auto"/>
            </w:tcBorders>
            <w:vAlign w:val="center"/>
          </w:tcPr>
          <w:p w14:paraId="3B1DF7E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-1.38%</w:t>
            </w:r>
          </w:p>
        </w:tc>
      </w:tr>
      <w:tr w:rsidR="006C011D" w:rsidRPr="005A284F" w14:paraId="43B46066"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0A848A6"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归属于上市公司股东的净利润（元）</w:t>
            </w:r>
          </w:p>
        </w:tc>
        <w:tc>
          <w:tcPr>
            <w:tcW w:w="2410" w:type="dxa"/>
            <w:tcBorders>
              <w:top w:val="single" w:sz="2" w:space="0" w:color="auto"/>
              <w:left w:val="single" w:sz="2" w:space="0" w:color="auto"/>
              <w:bottom w:val="single" w:sz="2" w:space="0" w:color="auto"/>
              <w:right w:val="single" w:sz="2" w:space="0" w:color="auto"/>
            </w:tcBorders>
            <w:vAlign w:val="center"/>
          </w:tcPr>
          <w:p w14:paraId="02F8001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35,168,667.03</w:t>
            </w:r>
          </w:p>
        </w:tc>
        <w:tc>
          <w:tcPr>
            <w:tcW w:w="2410" w:type="dxa"/>
            <w:tcBorders>
              <w:top w:val="single" w:sz="2" w:space="0" w:color="auto"/>
              <w:left w:val="single" w:sz="2" w:space="0" w:color="auto"/>
              <w:bottom w:val="single" w:sz="2" w:space="0" w:color="auto"/>
              <w:right w:val="single" w:sz="2" w:space="0" w:color="auto"/>
            </w:tcBorders>
            <w:vAlign w:val="center"/>
          </w:tcPr>
          <w:p w14:paraId="7F29437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58,152,622.01</w:t>
            </w:r>
          </w:p>
        </w:tc>
        <w:tc>
          <w:tcPr>
            <w:tcW w:w="2410" w:type="dxa"/>
            <w:tcBorders>
              <w:top w:val="single" w:sz="2" w:space="0" w:color="auto"/>
              <w:left w:val="single" w:sz="2" w:space="0" w:color="auto"/>
              <w:bottom w:val="single" w:sz="2" w:space="0" w:color="auto"/>
              <w:right w:val="single" w:sz="2" w:space="0" w:color="auto"/>
            </w:tcBorders>
            <w:vAlign w:val="center"/>
          </w:tcPr>
          <w:p w14:paraId="6D0DC10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-39.52%</w:t>
            </w:r>
          </w:p>
        </w:tc>
      </w:tr>
      <w:tr w:rsidR="006C011D" w:rsidRPr="005A284F" w14:paraId="0A7C484E"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9E2FDF2"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归属于上市公司股东的扣除非经常性损益的净利润（元）</w:t>
            </w:r>
          </w:p>
        </w:tc>
        <w:tc>
          <w:tcPr>
            <w:tcW w:w="2410" w:type="dxa"/>
            <w:tcBorders>
              <w:top w:val="single" w:sz="2" w:space="0" w:color="auto"/>
              <w:left w:val="single" w:sz="2" w:space="0" w:color="auto"/>
              <w:bottom w:val="single" w:sz="2" w:space="0" w:color="auto"/>
              <w:right w:val="single" w:sz="2" w:space="0" w:color="auto"/>
            </w:tcBorders>
            <w:vAlign w:val="center"/>
          </w:tcPr>
          <w:p w14:paraId="1435256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32,279,574.65</w:t>
            </w:r>
          </w:p>
        </w:tc>
        <w:tc>
          <w:tcPr>
            <w:tcW w:w="2410" w:type="dxa"/>
            <w:tcBorders>
              <w:top w:val="single" w:sz="2" w:space="0" w:color="auto"/>
              <w:left w:val="single" w:sz="2" w:space="0" w:color="auto"/>
              <w:bottom w:val="single" w:sz="2" w:space="0" w:color="auto"/>
              <w:right w:val="single" w:sz="2" w:space="0" w:color="auto"/>
            </w:tcBorders>
            <w:vAlign w:val="center"/>
          </w:tcPr>
          <w:p w14:paraId="55E896E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55,794,551.21</w:t>
            </w:r>
          </w:p>
        </w:tc>
        <w:tc>
          <w:tcPr>
            <w:tcW w:w="2410" w:type="dxa"/>
            <w:tcBorders>
              <w:top w:val="single" w:sz="2" w:space="0" w:color="auto"/>
              <w:left w:val="single" w:sz="2" w:space="0" w:color="auto"/>
              <w:bottom w:val="single" w:sz="2" w:space="0" w:color="auto"/>
              <w:right w:val="single" w:sz="2" w:space="0" w:color="auto"/>
            </w:tcBorders>
            <w:vAlign w:val="center"/>
          </w:tcPr>
          <w:p w14:paraId="56F184B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-42.15%</w:t>
            </w:r>
          </w:p>
        </w:tc>
      </w:tr>
      <w:tr w:rsidR="006C011D" w:rsidRPr="005A284F" w14:paraId="059AFF1E"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CEE8F2F"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经营活动产生的现金流量净额（元）</w:t>
            </w:r>
          </w:p>
        </w:tc>
        <w:tc>
          <w:tcPr>
            <w:tcW w:w="2410" w:type="dxa"/>
            <w:tcBorders>
              <w:top w:val="single" w:sz="2" w:space="0" w:color="auto"/>
              <w:left w:val="single" w:sz="2" w:space="0" w:color="auto"/>
              <w:bottom w:val="single" w:sz="2" w:space="0" w:color="auto"/>
              <w:right w:val="single" w:sz="2" w:space="0" w:color="auto"/>
            </w:tcBorders>
            <w:vAlign w:val="center"/>
          </w:tcPr>
          <w:p w14:paraId="46F7D66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113,387,980.81</w:t>
            </w:r>
          </w:p>
        </w:tc>
        <w:tc>
          <w:tcPr>
            <w:tcW w:w="2410" w:type="dxa"/>
            <w:tcBorders>
              <w:top w:val="single" w:sz="2" w:space="0" w:color="auto"/>
              <w:left w:val="single" w:sz="2" w:space="0" w:color="auto"/>
              <w:bottom w:val="single" w:sz="2" w:space="0" w:color="auto"/>
              <w:right w:val="single" w:sz="2" w:space="0" w:color="auto"/>
            </w:tcBorders>
            <w:vAlign w:val="center"/>
          </w:tcPr>
          <w:p w14:paraId="2CE9804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221,525,233.05</w:t>
            </w:r>
          </w:p>
        </w:tc>
        <w:tc>
          <w:tcPr>
            <w:tcW w:w="2410" w:type="dxa"/>
            <w:tcBorders>
              <w:top w:val="single" w:sz="2" w:space="0" w:color="auto"/>
              <w:left w:val="single" w:sz="2" w:space="0" w:color="auto"/>
              <w:bottom w:val="single" w:sz="2" w:space="0" w:color="auto"/>
              <w:right w:val="single" w:sz="2" w:space="0" w:color="auto"/>
            </w:tcBorders>
            <w:vAlign w:val="center"/>
          </w:tcPr>
          <w:p w14:paraId="14EA8FC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-48.81%</w:t>
            </w:r>
          </w:p>
        </w:tc>
      </w:tr>
      <w:tr w:rsidR="006C011D" w:rsidRPr="005A284F" w14:paraId="2D2F0AA2"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639E75C"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基本每股收益（元</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股）</w:t>
            </w:r>
          </w:p>
        </w:tc>
        <w:tc>
          <w:tcPr>
            <w:tcW w:w="2410" w:type="dxa"/>
            <w:tcBorders>
              <w:top w:val="single" w:sz="2" w:space="0" w:color="auto"/>
              <w:left w:val="single" w:sz="2" w:space="0" w:color="auto"/>
              <w:bottom w:val="single" w:sz="2" w:space="0" w:color="auto"/>
              <w:right w:val="single" w:sz="2" w:space="0" w:color="auto"/>
            </w:tcBorders>
            <w:vAlign w:val="center"/>
          </w:tcPr>
          <w:p w14:paraId="166D768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0.03</w:t>
            </w:r>
          </w:p>
        </w:tc>
        <w:tc>
          <w:tcPr>
            <w:tcW w:w="2410" w:type="dxa"/>
            <w:tcBorders>
              <w:top w:val="single" w:sz="2" w:space="0" w:color="auto"/>
              <w:left w:val="single" w:sz="2" w:space="0" w:color="auto"/>
              <w:bottom w:val="single" w:sz="2" w:space="0" w:color="auto"/>
              <w:right w:val="single" w:sz="2" w:space="0" w:color="auto"/>
            </w:tcBorders>
            <w:vAlign w:val="center"/>
          </w:tcPr>
          <w:p w14:paraId="00683B0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0.05</w:t>
            </w:r>
          </w:p>
        </w:tc>
        <w:tc>
          <w:tcPr>
            <w:tcW w:w="2410" w:type="dxa"/>
            <w:tcBorders>
              <w:top w:val="single" w:sz="2" w:space="0" w:color="auto"/>
              <w:left w:val="single" w:sz="2" w:space="0" w:color="auto"/>
              <w:bottom w:val="single" w:sz="2" w:space="0" w:color="auto"/>
              <w:right w:val="single" w:sz="2" w:space="0" w:color="auto"/>
            </w:tcBorders>
            <w:vAlign w:val="center"/>
          </w:tcPr>
          <w:p w14:paraId="39AC972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-40.00%</w:t>
            </w:r>
          </w:p>
        </w:tc>
      </w:tr>
      <w:tr w:rsidR="006C011D" w:rsidRPr="005A284F" w14:paraId="5A96F9C2"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0B7C6D1"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稀释每股收益（元</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股）</w:t>
            </w:r>
          </w:p>
        </w:tc>
        <w:tc>
          <w:tcPr>
            <w:tcW w:w="2410" w:type="dxa"/>
            <w:tcBorders>
              <w:top w:val="single" w:sz="2" w:space="0" w:color="auto"/>
              <w:left w:val="single" w:sz="2" w:space="0" w:color="auto"/>
              <w:bottom w:val="single" w:sz="2" w:space="0" w:color="auto"/>
              <w:right w:val="single" w:sz="2" w:space="0" w:color="auto"/>
            </w:tcBorders>
            <w:vAlign w:val="center"/>
          </w:tcPr>
          <w:p w14:paraId="2552EAD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0.05</w:t>
            </w:r>
          </w:p>
        </w:tc>
        <w:tc>
          <w:tcPr>
            <w:tcW w:w="2410" w:type="dxa"/>
            <w:tcBorders>
              <w:top w:val="single" w:sz="2" w:space="0" w:color="auto"/>
              <w:left w:val="single" w:sz="2" w:space="0" w:color="auto"/>
              <w:bottom w:val="single" w:sz="2" w:space="0" w:color="auto"/>
              <w:right w:val="single" w:sz="2" w:space="0" w:color="auto"/>
            </w:tcBorders>
            <w:vAlign w:val="center"/>
          </w:tcPr>
          <w:p w14:paraId="7908D6D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0.07</w:t>
            </w:r>
          </w:p>
        </w:tc>
        <w:tc>
          <w:tcPr>
            <w:tcW w:w="2410" w:type="dxa"/>
            <w:tcBorders>
              <w:top w:val="single" w:sz="2" w:space="0" w:color="auto"/>
              <w:left w:val="single" w:sz="2" w:space="0" w:color="auto"/>
              <w:bottom w:val="single" w:sz="2" w:space="0" w:color="auto"/>
              <w:right w:val="single" w:sz="2" w:space="0" w:color="auto"/>
            </w:tcBorders>
            <w:vAlign w:val="center"/>
          </w:tcPr>
          <w:p w14:paraId="632697B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-28.57%</w:t>
            </w:r>
          </w:p>
        </w:tc>
      </w:tr>
      <w:tr w:rsidR="006C011D" w:rsidRPr="005A284F" w14:paraId="4AD67135"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CF85CBE"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加权平均净资产收益率</w:t>
            </w:r>
          </w:p>
        </w:tc>
        <w:tc>
          <w:tcPr>
            <w:tcW w:w="2410" w:type="dxa"/>
            <w:tcBorders>
              <w:top w:val="single" w:sz="2" w:space="0" w:color="auto"/>
              <w:left w:val="single" w:sz="2" w:space="0" w:color="auto"/>
              <w:bottom w:val="single" w:sz="2" w:space="0" w:color="auto"/>
              <w:right w:val="single" w:sz="2" w:space="0" w:color="auto"/>
            </w:tcBorders>
            <w:vAlign w:val="center"/>
          </w:tcPr>
          <w:p w14:paraId="0F0AD9F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2.61%</w:t>
            </w:r>
          </w:p>
        </w:tc>
        <w:tc>
          <w:tcPr>
            <w:tcW w:w="2410" w:type="dxa"/>
            <w:tcBorders>
              <w:top w:val="single" w:sz="2" w:space="0" w:color="auto"/>
              <w:left w:val="single" w:sz="2" w:space="0" w:color="auto"/>
              <w:bottom w:val="single" w:sz="2" w:space="0" w:color="auto"/>
              <w:right w:val="single" w:sz="2" w:space="0" w:color="auto"/>
            </w:tcBorders>
            <w:vAlign w:val="center"/>
          </w:tcPr>
          <w:p w14:paraId="2E59873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4.34%</w:t>
            </w:r>
          </w:p>
        </w:tc>
        <w:tc>
          <w:tcPr>
            <w:tcW w:w="2410" w:type="dxa"/>
            <w:tcBorders>
              <w:top w:val="single" w:sz="2" w:space="0" w:color="auto"/>
              <w:left w:val="single" w:sz="2" w:space="0" w:color="auto"/>
              <w:bottom w:val="single" w:sz="2" w:space="0" w:color="auto"/>
              <w:right w:val="single" w:sz="2" w:space="0" w:color="auto"/>
            </w:tcBorders>
            <w:vAlign w:val="center"/>
          </w:tcPr>
          <w:p w14:paraId="3BA52DA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-1.73%</w:t>
            </w:r>
          </w:p>
        </w:tc>
      </w:tr>
      <w:tr w:rsidR="006C011D" w:rsidRPr="005A284F" w14:paraId="5118E539"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FC1E7E8" w14:textId="77777777" w:rsidR="006C011D" w:rsidRPr="005A284F" w:rsidRDefault="006C011D">
            <w:pPr>
              <w:rPr>
                <w:rFonts w:ascii="Times New Roman" w:eastAsia="宋体" w:hAnsi="Times New Roman" w:cs="Times New Roman"/>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CEA671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本报告期末</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78236A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上年度末</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9774ED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本报告期末比上年度末增减</w:t>
            </w:r>
          </w:p>
        </w:tc>
      </w:tr>
      <w:tr w:rsidR="006C011D" w:rsidRPr="005A284F" w14:paraId="51AAE39D"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31EA85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总资产（元）</w:t>
            </w:r>
          </w:p>
        </w:tc>
        <w:tc>
          <w:tcPr>
            <w:tcW w:w="2410" w:type="dxa"/>
            <w:tcBorders>
              <w:top w:val="single" w:sz="2" w:space="0" w:color="auto"/>
              <w:left w:val="single" w:sz="2" w:space="0" w:color="auto"/>
              <w:bottom w:val="single" w:sz="2" w:space="0" w:color="auto"/>
              <w:right w:val="single" w:sz="2" w:space="0" w:color="auto"/>
            </w:tcBorders>
            <w:vAlign w:val="center"/>
          </w:tcPr>
          <w:p w14:paraId="0A2D6D1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5,791,608,690.72</w:t>
            </w:r>
          </w:p>
        </w:tc>
        <w:tc>
          <w:tcPr>
            <w:tcW w:w="2410" w:type="dxa"/>
            <w:tcBorders>
              <w:top w:val="single" w:sz="2" w:space="0" w:color="auto"/>
              <w:left w:val="single" w:sz="2" w:space="0" w:color="auto"/>
              <w:bottom w:val="single" w:sz="2" w:space="0" w:color="auto"/>
              <w:right w:val="single" w:sz="2" w:space="0" w:color="auto"/>
            </w:tcBorders>
            <w:vAlign w:val="center"/>
          </w:tcPr>
          <w:p w14:paraId="0BBE265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5,879,447,058.14</w:t>
            </w:r>
          </w:p>
        </w:tc>
        <w:tc>
          <w:tcPr>
            <w:tcW w:w="2410" w:type="dxa"/>
            <w:tcBorders>
              <w:top w:val="single" w:sz="2" w:space="0" w:color="auto"/>
              <w:left w:val="single" w:sz="2" w:space="0" w:color="auto"/>
              <w:bottom w:val="single" w:sz="2" w:space="0" w:color="auto"/>
              <w:right w:val="single" w:sz="2" w:space="0" w:color="auto"/>
            </w:tcBorders>
            <w:vAlign w:val="center"/>
          </w:tcPr>
          <w:p w14:paraId="18D22A3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-1.49%</w:t>
            </w:r>
          </w:p>
        </w:tc>
      </w:tr>
      <w:tr w:rsidR="006C011D" w:rsidRPr="005A284F" w14:paraId="075E0C5F"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3EAD122"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归属于上市公司股东的净资产（元）</w:t>
            </w:r>
          </w:p>
        </w:tc>
        <w:tc>
          <w:tcPr>
            <w:tcW w:w="2410" w:type="dxa"/>
            <w:tcBorders>
              <w:top w:val="single" w:sz="2" w:space="0" w:color="auto"/>
              <w:left w:val="single" w:sz="2" w:space="0" w:color="auto"/>
              <w:bottom w:val="single" w:sz="2" w:space="0" w:color="auto"/>
              <w:right w:val="single" w:sz="2" w:space="0" w:color="auto"/>
            </w:tcBorders>
            <w:vAlign w:val="center"/>
          </w:tcPr>
          <w:p w14:paraId="0265C9B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1,538,456,733.13</w:t>
            </w:r>
          </w:p>
        </w:tc>
        <w:tc>
          <w:tcPr>
            <w:tcW w:w="2410" w:type="dxa"/>
            <w:tcBorders>
              <w:top w:val="single" w:sz="2" w:space="0" w:color="auto"/>
              <w:left w:val="single" w:sz="2" w:space="0" w:color="auto"/>
              <w:bottom w:val="single" w:sz="2" w:space="0" w:color="auto"/>
              <w:right w:val="single" w:sz="2" w:space="0" w:color="auto"/>
            </w:tcBorders>
            <w:vAlign w:val="center"/>
          </w:tcPr>
          <w:p w14:paraId="15F7319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1,503,284,266.32</w:t>
            </w:r>
          </w:p>
        </w:tc>
        <w:tc>
          <w:tcPr>
            <w:tcW w:w="2410" w:type="dxa"/>
            <w:tcBorders>
              <w:top w:val="single" w:sz="2" w:space="0" w:color="auto"/>
              <w:left w:val="single" w:sz="2" w:space="0" w:color="auto"/>
              <w:bottom w:val="single" w:sz="2" w:space="0" w:color="auto"/>
              <w:right w:val="single" w:sz="2" w:space="0" w:color="auto"/>
            </w:tcBorders>
            <w:vAlign w:val="center"/>
          </w:tcPr>
          <w:p w14:paraId="473640B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2.34%</w:t>
            </w:r>
          </w:p>
        </w:tc>
      </w:tr>
    </w:tbl>
    <w:p w14:paraId="3E0D4219"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扣除股份支付影响后的净利润</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6C011D" w:rsidRPr="005A284F" w14:paraId="39FB04C7"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DAD8BA8" w14:textId="77777777" w:rsidR="006C011D" w:rsidRPr="005A284F" w:rsidRDefault="006C011D">
            <w:pPr>
              <w:rPr>
                <w:rFonts w:ascii="Times New Roman" w:eastAsia="宋体" w:hAnsi="Times New Roman" w:cs="Times New Roman"/>
              </w:rPr>
            </w:pP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5D365F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本报告期</w:t>
            </w:r>
          </w:p>
        </w:tc>
      </w:tr>
      <w:tr w:rsidR="006C011D" w:rsidRPr="005A284F" w14:paraId="289AEFB7"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DF3168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扣除股份支付影响后的净利润（元）</w:t>
            </w:r>
          </w:p>
        </w:tc>
        <w:tc>
          <w:tcPr>
            <w:tcW w:w="4820" w:type="dxa"/>
            <w:tcBorders>
              <w:top w:val="single" w:sz="2" w:space="0" w:color="auto"/>
              <w:left w:val="single" w:sz="2" w:space="0" w:color="auto"/>
              <w:bottom w:val="single" w:sz="2" w:space="0" w:color="auto"/>
              <w:right w:val="single" w:sz="2" w:space="0" w:color="auto"/>
            </w:tcBorders>
            <w:vAlign w:val="center"/>
          </w:tcPr>
          <w:p w14:paraId="21B49A9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35,168,667.03</w:t>
            </w:r>
          </w:p>
        </w:tc>
      </w:tr>
    </w:tbl>
    <w:p w14:paraId="5AEB120D"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9" w:name="_Toc988898"/>
      <w:r w:rsidRPr="005A284F">
        <w:rPr>
          <w:rFonts w:ascii="Times New Roman" w:eastAsia="宋体" w:hAnsi="Times New Roman" w:cs="Times New Roman"/>
          <w:b/>
          <w:bCs/>
          <w:sz w:val="24"/>
          <w:szCs w:val="24"/>
        </w:rPr>
        <w:t>五、境内外会计准则下会计数据差异</w:t>
      </w:r>
      <w:bookmarkEnd w:id="9"/>
    </w:p>
    <w:p w14:paraId="07205D02" w14:textId="77777777" w:rsidR="006C011D" w:rsidRPr="005A284F" w:rsidRDefault="00000000">
      <w:pPr>
        <w:pStyle w:val="3"/>
        <w:spacing w:line="280" w:lineRule="exact"/>
        <w:jc w:val="left"/>
        <w:rPr>
          <w:rFonts w:ascii="Times New Roman" w:hAnsi="Times New Roman" w:cs="Times New Roman"/>
          <w:b/>
          <w:bCs/>
        </w:rPr>
      </w:pPr>
      <w:bookmarkStart w:id="10" w:name="_Toc988899"/>
      <w:r w:rsidRPr="005A284F">
        <w:rPr>
          <w:rFonts w:ascii="Times New Roman" w:hAnsi="Times New Roman" w:cs="Times New Roman"/>
          <w:b/>
          <w:bCs/>
        </w:rPr>
        <w:t>1</w:t>
      </w:r>
      <w:r w:rsidRPr="005A284F">
        <w:rPr>
          <w:rFonts w:ascii="Times New Roman" w:hAnsi="Times New Roman" w:cs="Times New Roman"/>
          <w:b/>
          <w:bCs/>
        </w:rPr>
        <w:t>、同时按照国际会计准则与按照中国会计准则披露的财务报告中净利润和净资产差异情况</w:t>
      </w:r>
      <w:bookmarkEnd w:id="10"/>
    </w:p>
    <w:p w14:paraId="7F9CD8DC" w14:textId="77777777" w:rsidR="006C011D" w:rsidRPr="005A284F" w:rsidRDefault="00000000" w:rsidP="005A284F">
      <w:pPr>
        <w:spacing w:before="40" w:after="40" w:line="240" w:lineRule="exact"/>
        <w:rPr>
          <w:rFonts w:ascii="宋体" w:eastAsia="宋体" w:hAnsi="宋体" w:cs="Times New Roman" w:hint="eastAsia"/>
          <w:sz w:val="18"/>
          <w:szCs w:val="18"/>
        </w:rPr>
      </w:pPr>
      <w:r w:rsidRPr="005A284F">
        <w:rPr>
          <w:rFonts w:ascii="宋体" w:eastAsia="宋体" w:hAnsi="宋体" w:cs="Times New Roman"/>
          <w:sz w:val="18"/>
          <w:szCs w:val="18"/>
        </w:rPr>
        <w:t xml:space="preserve">□适用 </w:t>
      </w:r>
      <w:r w:rsidRPr="005A284F">
        <w:rPr>
          <w:rFonts w:ascii="宋体" w:eastAsia="宋体" w:hAnsi="宋体" w:cs="Times New Roman"/>
          <w:sz w:val="18"/>
          <w:szCs w:val="18"/>
        </w:rPr>
        <w:sym w:font="Wingdings 2" w:char="F052"/>
      </w:r>
      <w:r w:rsidRPr="005A284F">
        <w:rPr>
          <w:rFonts w:ascii="宋体" w:eastAsia="宋体" w:hAnsi="宋体" w:cs="Times New Roman"/>
          <w:sz w:val="18"/>
          <w:szCs w:val="18"/>
        </w:rPr>
        <w:t>不适用</w:t>
      </w:r>
    </w:p>
    <w:p w14:paraId="3F386689"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公司报告期不存在按照国际会计准则与按照中国会计准则披露的财务报告中净利润和净资产差异情况。</w:t>
      </w:r>
    </w:p>
    <w:p w14:paraId="71C25DEC" w14:textId="77777777" w:rsidR="006C011D" w:rsidRPr="005A284F" w:rsidRDefault="00000000">
      <w:pPr>
        <w:pStyle w:val="3"/>
        <w:spacing w:line="280" w:lineRule="exact"/>
        <w:jc w:val="left"/>
        <w:rPr>
          <w:rFonts w:ascii="Times New Roman" w:hAnsi="Times New Roman" w:cs="Times New Roman"/>
          <w:b/>
          <w:bCs/>
        </w:rPr>
      </w:pPr>
      <w:bookmarkStart w:id="11" w:name="_Toc988900"/>
      <w:r w:rsidRPr="005A284F">
        <w:rPr>
          <w:rFonts w:ascii="Times New Roman" w:hAnsi="Times New Roman" w:cs="Times New Roman"/>
          <w:b/>
          <w:bCs/>
        </w:rPr>
        <w:t>2</w:t>
      </w:r>
      <w:r w:rsidRPr="005A284F">
        <w:rPr>
          <w:rFonts w:ascii="Times New Roman" w:hAnsi="Times New Roman" w:cs="Times New Roman"/>
          <w:b/>
          <w:bCs/>
        </w:rPr>
        <w:t>、同时按照境外会计准则与按照中国会计准则披露的财务报告中净利润和净资产差异情况</w:t>
      </w:r>
      <w:bookmarkEnd w:id="11"/>
    </w:p>
    <w:p w14:paraId="489A23DD" w14:textId="77777777" w:rsidR="006C011D" w:rsidRPr="005A284F" w:rsidRDefault="00000000" w:rsidP="005A284F">
      <w:pPr>
        <w:spacing w:before="40" w:after="40" w:line="240" w:lineRule="exact"/>
        <w:rPr>
          <w:rFonts w:ascii="宋体" w:eastAsia="宋体" w:hAnsi="宋体" w:cs="Times New Roman" w:hint="eastAsia"/>
          <w:sz w:val="18"/>
          <w:szCs w:val="18"/>
        </w:rPr>
      </w:pPr>
      <w:r w:rsidRPr="005A284F">
        <w:rPr>
          <w:rFonts w:ascii="宋体" w:eastAsia="宋体" w:hAnsi="宋体" w:cs="Times New Roman"/>
          <w:sz w:val="18"/>
          <w:szCs w:val="18"/>
        </w:rPr>
        <w:t xml:space="preserve">□适用 </w:t>
      </w:r>
      <w:r w:rsidRPr="005A284F">
        <w:rPr>
          <w:rFonts w:ascii="宋体" w:eastAsia="宋体" w:hAnsi="宋体" w:cs="Times New Roman"/>
          <w:sz w:val="18"/>
          <w:szCs w:val="18"/>
        </w:rPr>
        <w:sym w:font="Wingdings 2" w:char="F052"/>
      </w:r>
      <w:r w:rsidRPr="005A284F">
        <w:rPr>
          <w:rFonts w:ascii="宋体" w:eastAsia="宋体" w:hAnsi="宋体" w:cs="Times New Roman"/>
          <w:sz w:val="18"/>
          <w:szCs w:val="18"/>
        </w:rPr>
        <w:t>不适用</w:t>
      </w:r>
    </w:p>
    <w:p w14:paraId="5C5EBC4F"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公司报告期不存在按照境外会计准则与按照中国会计准则披露的财务报告中净利润和净资产差异情况。</w:t>
      </w:r>
    </w:p>
    <w:p w14:paraId="396B1989"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12" w:name="_Toc988901"/>
      <w:r w:rsidRPr="005A284F">
        <w:rPr>
          <w:rFonts w:ascii="Times New Roman" w:eastAsia="宋体" w:hAnsi="Times New Roman" w:cs="Times New Roman"/>
          <w:b/>
          <w:bCs/>
          <w:sz w:val="24"/>
          <w:szCs w:val="24"/>
        </w:rPr>
        <w:t>六、非经常性损益项目及金额</w:t>
      </w:r>
      <w:bookmarkEnd w:id="12"/>
    </w:p>
    <w:p w14:paraId="5CBF79C1" w14:textId="77777777" w:rsidR="006C011D" w:rsidRPr="005A284F" w:rsidRDefault="00000000" w:rsidP="005A284F">
      <w:pPr>
        <w:spacing w:before="40" w:after="40" w:line="240" w:lineRule="exact"/>
        <w:rPr>
          <w:rFonts w:ascii="宋体" w:eastAsia="宋体" w:hAnsi="宋体" w:cs="Times New Roman" w:hint="eastAsia"/>
          <w:sz w:val="18"/>
          <w:szCs w:val="18"/>
        </w:rPr>
      </w:pPr>
      <w:r w:rsidRPr="005A284F">
        <w:rPr>
          <w:rFonts w:ascii="宋体" w:eastAsia="宋体" w:hAnsi="宋体" w:cs="Times New Roman"/>
          <w:sz w:val="18"/>
          <w:szCs w:val="18"/>
        </w:rPr>
        <w:sym w:font="Wingdings 2" w:char="F052"/>
      </w:r>
      <w:r w:rsidRPr="005A284F">
        <w:rPr>
          <w:rFonts w:ascii="宋体" w:eastAsia="宋体" w:hAnsi="宋体" w:cs="Times New Roman"/>
          <w:sz w:val="18"/>
          <w:szCs w:val="18"/>
        </w:rPr>
        <w:t>适用 □不适用</w:t>
      </w:r>
    </w:p>
    <w:p w14:paraId="38AECAEA" w14:textId="77777777" w:rsidR="006C011D" w:rsidRPr="005A284F" w:rsidRDefault="00000000">
      <w:pPr>
        <w:spacing w:before="120" w:after="12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70864D7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AB38C5" w14:textId="77777777" w:rsidR="006C011D" w:rsidRPr="005A284F" w:rsidRDefault="00000000">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AD9529" w14:textId="77777777" w:rsidR="006C011D" w:rsidRPr="005A284F" w:rsidRDefault="00000000">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403D8E" w14:textId="77777777" w:rsidR="006C011D" w:rsidRPr="005A284F" w:rsidRDefault="00000000">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说明</w:t>
            </w:r>
          </w:p>
        </w:tc>
      </w:tr>
      <w:tr w:rsidR="006C011D" w:rsidRPr="005A284F" w14:paraId="4014B49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57E3F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非流动性资产处置损益（包括已计提资产减值准备的冲销部分）</w:t>
            </w:r>
          </w:p>
        </w:tc>
        <w:tc>
          <w:tcPr>
            <w:tcW w:w="3213" w:type="dxa"/>
            <w:tcBorders>
              <w:top w:val="single" w:sz="2" w:space="0" w:color="auto"/>
              <w:left w:val="single" w:sz="2" w:space="0" w:color="auto"/>
              <w:bottom w:val="single" w:sz="2" w:space="0" w:color="auto"/>
              <w:right w:val="single" w:sz="2" w:space="0" w:color="auto"/>
            </w:tcBorders>
            <w:vAlign w:val="center"/>
          </w:tcPr>
          <w:p w14:paraId="25D16B0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-2,068,575.45</w:t>
            </w:r>
          </w:p>
        </w:tc>
        <w:tc>
          <w:tcPr>
            <w:tcW w:w="3213" w:type="dxa"/>
            <w:tcBorders>
              <w:top w:val="single" w:sz="2" w:space="0" w:color="auto"/>
              <w:left w:val="single" w:sz="2" w:space="0" w:color="auto"/>
              <w:bottom w:val="single" w:sz="2" w:space="0" w:color="auto"/>
              <w:right w:val="single" w:sz="2" w:space="0" w:color="auto"/>
            </w:tcBorders>
            <w:vAlign w:val="center"/>
          </w:tcPr>
          <w:p w14:paraId="6E048FFC" w14:textId="77777777" w:rsidR="006C011D" w:rsidRPr="005A284F" w:rsidRDefault="006C011D">
            <w:pPr>
              <w:spacing w:after="0" w:line="240" w:lineRule="exact"/>
              <w:rPr>
                <w:rFonts w:ascii="Times New Roman" w:eastAsia="宋体" w:hAnsi="Times New Roman" w:cs="Times New Roman"/>
                <w:sz w:val="18"/>
                <w:szCs w:val="18"/>
              </w:rPr>
            </w:pPr>
          </w:p>
        </w:tc>
      </w:tr>
      <w:tr w:rsidR="006C011D" w:rsidRPr="005A284F" w14:paraId="452ABBE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60595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计入当期损益的政府补助（与公司正常经营业务密切相关、符合国家政策</w:t>
            </w:r>
            <w:r w:rsidRPr="005A284F">
              <w:rPr>
                <w:rFonts w:ascii="Times New Roman" w:eastAsia="宋体" w:hAnsi="Times New Roman" w:cs="Times New Roman"/>
                <w:sz w:val="18"/>
                <w:szCs w:val="18"/>
              </w:rPr>
              <w:lastRenderedPageBreak/>
              <w:t>规定、按照确定的标准享有、对公司损益产生持续影响的政府补助除外）</w:t>
            </w:r>
          </w:p>
        </w:tc>
        <w:tc>
          <w:tcPr>
            <w:tcW w:w="3213" w:type="dxa"/>
            <w:tcBorders>
              <w:top w:val="single" w:sz="2" w:space="0" w:color="auto"/>
              <w:left w:val="single" w:sz="2" w:space="0" w:color="auto"/>
              <w:bottom w:val="single" w:sz="2" w:space="0" w:color="auto"/>
              <w:right w:val="single" w:sz="2" w:space="0" w:color="auto"/>
            </w:tcBorders>
            <w:vAlign w:val="center"/>
          </w:tcPr>
          <w:p w14:paraId="0C4F8A8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4,239,031.26</w:t>
            </w:r>
          </w:p>
        </w:tc>
        <w:tc>
          <w:tcPr>
            <w:tcW w:w="3213" w:type="dxa"/>
            <w:tcBorders>
              <w:top w:val="single" w:sz="2" w:space="0" w:color="auto"/>
              <w:left w:val="single" w:sz="2" w:space="0" w:color="auto"/>
              <w:bottom w:val="single" w:sz="2" w:space="0" w:color="auto"/>
              <w:right w:val="single" w:sz="2" w:space="0" w:color="auto"/>
            </w:tcBorders>
            <w:vAlign w:val="center"/>
          </w:tcPr>
          <w:p w14:paraId="62828B66" w14:textId="77777777" w:rsidR="006C011D" w:rsidRPr="005A284F" w:rsidRDefault="006C011D">
            <w:pPr>
              <w:spacing w:after="0" w:line="240" w:lineRule="exact"/>
              <w:rPr>
                <w:rFonts w:ascii="Times New Roman" w:eastAsia="宋体" w:hAnsi="Times New Roman" w:cs="Times New Roman"/>
                <w:sz w:val="18"/>
                <w:szCs w:val="18"/>
              </w:rPr>
            </w:pPr>
          </w:p>
        </w:tc>
      </w:tr>
      <w:tr w:rsidR="006C011D" w:rsidRPr="005A284F" w14:paraId="62698AB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7712F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除同公司正常经营业务相关的有效套期保值业务外，非金融企业持有金融资产和金融负债产生的公允价值变动损益以及处置金融资产和金融负债产生的损益</w:t>
            </w:r>
          </w:p>
        </w:tc>
        <w:tc>
          <w:tcPr>
            <w:tcW w:w="3213" w:type="dxa"/>
            <w:tcBorders>
              <w:top w:val="single" w:sz="2" w:space="0" w:color="auto"/>
              <w:left w:val="single" w:sz="2" w:space="0" w:color="auto"/>
              <w:bottom w:val="single" w:sz="2" w:space="0" w:color="auto"/>
              <w:right w:val="single" w:sz="2" w:space="0" w:color="auto"/>
            </w:tcBorders>
            <w:vAlign w:val="center"/>
          </w:tcPr>
          <w:p w14:paraId="5A2042B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680,520.71</w:t>
            </w:r>
          </w:p>
        </w:tc>
        <w:tc>
          <w:tcPr>
            <w:tcW w:w="3213" w:type="dxa"/>
            <w:tcBorders>
              <w:top w:val="single" w:sz="2" w:space="0" w:color="auto"/>
              <w:left w:val="single" w:sz="2" w:space="0" w:color="auto"/>
              <w:bottom w:val="single" w:sz="2" w:space="0" w:color="auto"/>
              <w:right w:val="single" w:sz="2" w:space="0" w:color="auto"/>
            </w:tcBorders>
            <w:vAlign w:val="center"/>
          </w:tcPr>
          <w:p w14:paraId="22AD036F" w14:textId="77777777" w:rsidR="006C011D" w:rsidRPr="005A284F" w:rsidRDefault="006C011D">
            <w:pPr>
              <w:spacing w:after="0" w:line="240" w:lineRule="exact"/>
              <w:rPr>
                <w:rFonts w:ascii="Times New Roman" w:eastAsia="宋体" w:hAnsi="Times New Roman" w:cs="Times New Roman"/>
                <w:sz w:val="18"/>
                <w:szCs w:val="18"/>
              </w:rPr>
            </w:pPr>
          </w:p>
        </w:tc>
      </w:tr>
      <w:tr w:rsidR="006C011D" w:rsidRPr="005A284F" w14:paraId="6FFC495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FAB28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单独进行减值测试的应收款项减值准备转回</w:t>
            </w:r>
          </w:p>
        </w:tc>
        <w:tc>
          <w:tcPr>
            <w:tcW w:w="3213" w:type="dxa"/>
            <w:tcBorders>
              <w:top w:val="single" w:sz="2" w:space="0" w:color="auto"/>
              <w:left w:val="single" w:sz="2" w:space="0" w:color="auto"/>
              <w:bottom w:val="single" w:sz="2" w:space="0" w:color="auto"/>
              <w:right w:val="single" w:sz="2" w:space="0" w:color="auto"/>
            </w:tcBorders>
            <w:vAlign w:val="center"/>
          </w:tcPr>
          <w:p w14:paraId="7DA05D3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643,946.64</w:t>
            </w:r>
          </w:p>
        </w:tc>
        <w:tc>
          <w:tcPr>
            <w:tcW w:w="3213" w:type="dxa"/>
            <w:tcBorders>
              <w:top w:val="single" w:sz="2" w:space="0" w:color="auto"/>
              <w:left w:val="single" w:sz="2" w:space="0" w:color="auto"/>
              <w:bottom w:val="single" w:sz="2" w:space="0" w:color="auto"/>
              <w:right w:val="single" w:sz="2" w:space="0" w:color="auto"/>
            </w:tcBorders>
            <w:vAlign w:val="center"/>
          </w:tcPr>
          <w:p w14:paraId="0C248483" w14:textId="77777777" w:rsidR="006C011D" w:rsidRPr="005A284F" w:rsidRDefault="006C011D">
            <w:pPr>
              <w:spacing w:after="0" w:line="240" w:lineRule="exact"/>
              <w:rPr>
                <w:rFonts w:ascii="Times New Roman" w:eastAsia="宋体" w:hAnsi="Times New Roman" w:cs="Times New Roman"/>
                <w:sz w:val="18"/>
                <w:szCs w:val="18"/>
              </w:rPr>
            </w:pPr>
          </w:p>
        </w:tc>
      </w:tr>
      <w:tr w:rsidR="006C011D" w:rsidRPr="005A284F" w14:paraId="4861FDD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97625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除上述各项之外的其他营业外收入和支出</w:t>
            </w:r>
          </w:p>
        </w:tc>
        <w:tc>
          <w:tcPr>
            <w:tcW w:w="3213" w:type="dxa"/>
            <w:tcBorders>
              <w:top w:val="single" w:sz="2" w:space="0" w:color="auto"/>
              <w:left w:val="single" w:sz="2" w:space="0" w:color="auto"/>
              <w:bottom w:val="single" w:sz="2" w:space="0" w:color="auto"/>
              <w:right w:val="single" w:sz="2" w:space="0" w:color="auto"/>
            </w:tcBorders>
            <w:vAlign w:val="center"/>
          </w:tcPr>
          <w:p w14:paraId="16A41FF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309,376.83</w:t>
            </w:r>
          </w:p>
        </w:tc>
        <w:tc>
          <w:tcPr>
            <w:tcW w:w="3213" w:type="dxa"/>
            <w:tcBorders>
              <w:top w:val="single" w:sz="2" w:space="0" w:color="auto"/>
              <w:left w:val="single" w:sz="2" w:space="0" w:color="auto"/>
              <w:bottom w:val="single" w:sz="2" w:space="0" w:color="auto"/>
              <w:right w:val="single" w:sz="2" w:space="0" w:color="auto"/>
            </w:tcBorders>
            <w:vAlign w:val="center"/>
          </w:tcPr>
          <w:p w14:paraId="3169F17C" w14:textId="77777777" w:rsidR="006C011D" w:rsidRPr="005A284F" w:rsidRDefault="006C011D">
            <w:pPr>
              <w:spacing w:after="0" w:line="240" w:lineRule="exact"/>
              <w:rPr>
                <w:rFonts w:ascii="Times New Roman" w:eastAsia="宋体" w:hAnsi="Times New Roman" w:cs="Times New Roman"/>
                <w:sz w:val="18"/>
                <w:szCs w:val="18"/>
              </w:rPr>
            </w:pPr>
          </w:p>
        </w:tc>
      </w:tr>
      <w:tr w:rsidR="006C011D" w:rsidRPr="005A284F" w14:paraId="06E4077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53C1C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减：所得税影响额</w:t>
            </w:r>
          </w:p>
        </w:tc>
        <w:tc>
          <w:tcPr>
            <w:tcW w:w="3213" w:type="dxa"/>
            <w:tcBorders>
              <w:top w:val="single" w:sz="2" w:space="0" w:color="auto"/>
              <w:left w:val="single" w:sz="2" w:space="0" w:color="auto"/>
              <w:bottom w:val="single" w:sz="2" w:space="0" w:color="auto"/>
              <w:right w:val="single" w:sz="2" w:space="0" w:color="auto"/>
            </w:tcBorders>
            <w:vAlign w:val="center"/>
          </w:tcPr>
          <w:p w14:paraId="123DAA4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9,016.08</w:t>
            </w:r>
          </w:p>
        </w:tc>
        <w:tc>
          <w:tcPr>
            <w:tcW w:w="3213" w:type="dxa"/>
            <w:tcBorders>
              <w:top w:val="single" w:sz="2" w:space="0" w:color="auto"/>
              <w:left w:val="single" w:sz="2" w:space="0" w:color="auto"/>
              <w:bottom w:val="single" w:sz="2" w:space="0" w:color="auto"/>
              <w:right w:val="single" w:sz="2" w:space="0" w:color="auto"/>
            </w:tcBorders>
            <w:vAlign w:val="center"/>
          </w:tcPr>
          <w:p w14:paraId="62B9A461" w14:textId="77777777" w:rsidR="006C011D" w:rsidRPr="005A284F" w:rsidRDefault="006C011D">
            <w:pPr>
              <w:spacing w:after="0" w:line="240" w:lineRule="exact"/>
              <w:rPr>
                <w:rFonts w:ascii="Times New Roman" w:eastAsia="宋体" w:hAnsi="Times New Roman" w:cs="Times New Roman"/>
                <w:sz w:val="18"/>
                <w:szCs w:val="18"/>
              </w:rPr>
            </w:pPr>
          </w:p>
        </w:tc>
      </w:tr>
      <w:tr w:rsidR="006C011D" w:rsidRPr="005A284F" w14:paraId="70F24FD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000F9D" w14:textId="77777777" w:rsidR="006C011D" w:rsidRPr="005A284F" w:rsidRDefault="00000000">
            <w:pPr>
              <w:spacing w:after="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少数股东权益影响额（税后）</w:t>
            </w:r>
          </w:p>
        </w:tc>
        <w:tc>
          <w:tcPr>
            <w:tcW w:w="3213" w:type="dxa"/>
            <w:tcBorders>
              <w:top w:val="single" w:sz="2" w:space="0" w:color="auto"/>
              <w:left w:val="single" w:sz="2" w:space="0" w:color="auto"/>
              <w:bottom w:val="single" w:sz="2" w:space="0" w:color="auto"/>
              <w:right w:val="single" w:sz="2" w:space="0" w:color="auto"/>
            </w:tcBorders>
            <w:vAlign w:val="center"/>
          </w:tcPr>
          <w:p w14:paraId="1E63E5A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906,191.53</w:t>
            </w:r>
          </w:p>
        </w:tc>
        <w:tc>
          <w:tcPr>
            <w:tcW w:w="3213" w:type="dxa"/>
            <w:tcBorders>
              <w:top w:val="single" w:sz="2" w:space="0" w:color="auto"/>
              <w:left w:val="single" w:sz="2" w:space="0" w:color="auto"/>
              <w:bottom w:val="single" w:sz="2" w:space="0" w:color="auto"/>
              <w:right w:val="single" w:sz="2" w:space="0" w:color="auto"/>
            </w:tcBorders>
            <w:vAlign w:val="center"/>
          </w:tcPr>
          <w:p w14:paraId="796D4B65" w14:textId="77777777" w:rsidR="006C011D" w:rsidRPr="005A284F" w:rsidRDefault="006C011D">
            <w:pPr>
              <w:spacing w:after="0" w:line="240" w:lineRule="exact"/>
              <w:rPr>
                <w:rFonts w:ascii="Times New Roman" w:eastAsia="宋体" w:hAnsi="Times New Roman" w:cs="Times New Roman"/>
                <w:sz w:val="18"/>
                <w:szCs w:val="18"/>
              </w:rPr>
            </w:pPr>
          </w:p>
        </w:tc>
      </w:tr>
      <w:tr w:rsidR="006C011D" w:rsidRPr="005A284F" w14:paraId="3A2DA80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ED9F2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29008AD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2,889,092.38</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DB3FDC" w14:textId="77777777" w:rsidR="006C011D" w:rsidRPr="005A284F" w:rsidRDefault="006C011D">
            <w:pPr>
              <w:rPr>
                <w:rFonts w:ascii="Times New Roman" w:eastAsia="宋体" w:hAnsi="Times New Roman" w:cs="Times New Roman"/>
              </w:rPr>
            </w:pPr>
          </w:p>
        </w:tc>
      </w:tr>
    </w:tbl>
    <w:p w14:paraId="0493C480"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其他符合非经常性损益定义的损益项目的具体情况：</w:t>
      </w:r>
    </w:p>
    <w:p w14:paraId="33E61F91" w14:textId="77777777" w:rsidR="006C011D" w:rsidRPr="005A284F" w:rsidRDefault="00000000" w:rsidP="005A284F">
      <w:pPr>
        <w:spacing w:before="40" w:after="40" w:line="240" w:lineRule="exact"/>
        <w:rPr>
          <w:rFonts w:ascii="宋体" w:eastAsia="宋体" w:hAnsi="宋体" w:cs="Times New Roman" w:hint="eastAsia"/>
          <w:sz w:val="18"/>
          <w:szCs w:val="18"/>
        </w:rPr>
      </w:pPr>
      <w:r w:rsidRPr="005A284F">
        <w:rPr>
          <w:rFonts w:ascii="宋体" w:eastAsia="宋体" w:hAnsi="宋体" w:cs="Times New Roman"/>
          <w:sz w:val="18"/>
          <w:szCs w:val="18"/>
        </w:rPr>
        <w:t xml:space="preserve">□适用 </w:t>
      </w:r>
      <w:r w:rsidRPr="005A284F">
        <w:rPr>
          <w:rFonts w:ascii="宋体" w:eastAsia="宋体" w:hAnsi="宋体" w:cs="Times New Roman"/>
          <w:sz w:val="18"/>
          <w:szCs w:val="18"/>
        </w:rPr>
        <w:sym w:font="Wingdings 2" w:char="F052"/>
      </w:r>
      <w:r w:rsidRPr="005A284F">
        <w:rPr>
          <w:rFonts w:ascii="宋体" w:eastAsia="宋体" w:hAnsi="宋体" w:cs="Times New Roman"/>
          <w:sz w:val="18"/>
          <w:szCs w:val="18"/>
        </w:rPr>
        <w:t>不适用</w:t>
      </w:r>
    </w:p>
    <w:p w14:paraId="1E55D8F1"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公司不存在其他符合非经常性损益定义的损益项目的具体情况。</w:t>
      </w:r>
    </w:p>
    <w:p w14:paraId="5E70522B"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将《公开发行证券的公司信息披露解释性公告第</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号</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非经常性损益》中列举的非经常性损益项目界定为经常性损益项目的情况说明</w:t>
      </w:r>
    </w:p>
    <w:p w14:paraId="160D1371" w14:textId="77777777" w:rsidR="006C011D" w:rsidRPr="005A284F" w:rsidRDefault="00000000" w:rsidP="005A284F">
      <w:pPr>
        <w:spacing w:before="40" w:after="40" w:line="240" w:lineRule="exact"/>
        <w:rPr>
          <w:rFonts w:ascii="宋体" w:eastAsia="宋体" w:hAnsi="宋体" w:cs="Times New Roman" w:hint="eastAsia"/>
          <w:sz w:val="18"/>
          <w:szCs w:val="18"/>
        </w:rPr>
      </w:pPr>
      <w:r w:rsidRPr="005A284F">
        <w:rPr>
          <w:rFonts w:ascii="宋体" w:eastAsia="宋体" w:hAnsi="宋体" w:cs="Times New Roman"/>
          <w:sz w:val="18"/>
          <w:szCs w:val="18"/>
        </w:rPr>
        <w:t xml:space="preserve">□适用 </w:t>
      </w:r>
      <w:r w:rsidRPr="005A284F">
        <w:rPr>
          <w:rFonts w:ascii="宋体" w:eastAsia="宋体" w:hAnsi="宋体" w:cs="Times New Roman"/>
          <w:sz w:val="18"/>
          <w:szCs w:val="18"/>
        </w:rPr>
        <w:sym w:font="Wingdings 2" w:char="F052"/>
      </w:r>
      <w:r w:rsidRPr="005A284F">
        <w:rPr>
          <w:rFonts w:ascii="宋体" w:eastAsia="宋体" w:hAnsi="宋体" w:cs="Times New Roman"/>
          <w:sz w:val="18"/>
          <w:szCs w:val="18"/>
        </w:rPr>
        <w:t>不适用</w:t>
      </w:r>
    </w:p>
    <w:p w14:paraId="0EAF8509"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公司不存在将《公开发行证券的公司信息披露解释性公告第</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号</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非经常性损益》中列举的非经常性损益项目界定为经常性损益的项目的情形。</w:t>
      </w:r>
    </w:p>
    <w:p w14:paraId="7E8F5979" w14:textId="77777777" w:rsidR="006C011D" w:rsidRPr="005A284F" w:rsidRDefault="00000000">
      <w:pPr>
        <w:rPr>
          <w:rFonts w:ascii="Times New Roman" w:eastAsia="宋体" w:hAnsi="Times New Roman" w:cs="Times New Roman"/>
        </w:rPr>
      </w:pPr>
      <w:r w:rsidRPr="005A284F">
        <w:rPr>
          <w:rFonts w:ascii="Times New Roman" w:eastAsia="宋体" w:hAnsi="Times New Roman" w:cs="Times New Roman"/>
        </w:rPr>
        <w:br w:type="page"/>
      </w:r>
    </w:p>
    <w:p w14:paraId="5C68616E" w14:textId="77777777" w:rsidR="006C011D" w:rsidRPr="005A284F" w:rsidRDefault="00000000">
      <w:pPr>
        <w:pStyle w:val="headingh1"/>
        <w:spacing w:before="340" w:after="330" w:line="773" w:lineRule="exact"/>
        <w:jc w:val="center"/>
        <w:rPr>
          <w:rFonts w:ascii="Times New Roman" w:eastAsia="宋体" w:hAnsi="Times New Roman" w:cs="Times New Roman"/>
          <w:b/>
          <w:bCs/>
          <w:sz w:val="32"/>
          <w:szCs w:val="32"/>
        </w:rPr>
      </w:pPr>
      <w:bookmarkStart w:id="13" w:name="_Toc988902"/>
      <w:r w:rsidRPr="005A284F">
        <w:rPr>
          <w:rFonts w:ascii="Times New Roman" w:eastAsia="宋体" w:hAnsi="Times New Roman" w:cs="Times New Roman"/>
          <w:b/>
          <w:bCs/>
          <w:sz w:val="32"/>
          <w:szCs w:val="32"/>
        </w:rPr>
        <w:lastRenderedPageBreak/>
        <w:t>第三节</w:t>
      </w:r>
      <w:r w:rsidRPr="005A284F">
        <w:rPr>
          <w:rFonts w:ascii="Times New Roman" w:eastAsia="宋体" w:hAnsi="Times New Roman" w:cs="Times New Roman"/>
          <w:b/>
          <w:bCs/>
          <w:sz w:val="32"/>
          <w:szCs w:val="32"/>
        </w:rPr>
        <w:t xml:space="preserve"> </w:t>
      </w:r>
      <w:r w:rsidRPr="005A284F">
        <w:rPr>
          <w:rFonts w:ascii="Times New Roman" w:eastAsia="宋体" w:hAnsi="Times New Roman" w:cs="Times New Roman"/>
          <w:b/>
          <w:bCs/>
          <w:sz w:val="32"/>
          <w:szCs w:val="32"/>
        </w:rPr>
        <w:t>管理层讨论与分析</w:t>
      </w:r>
      <w:bookmarkEnd w:id="13"/>
    </w:p>
    <w:p w14:paraId="2B6E9726"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14" w:name="_Toc988903"/>
      <w:r w:rsidRPr="005A284F">
        <w:rPr>
          <w:rFonts w:ascii="Times New Roman" w:eastAsia="宋体" w:hAnsi="Times New Roman" w:cs="Times New Roman"/>
          <w:b/>
          <w:bCs/>
          <w:sz w:val="24"/>
          <w:szCs w:val="24"/>
        </w:rPr>
        <w:t>一、报告期内公司从事的主要业务</w:t>
      </w:r>
      <w:bookmarkEnd w:id="14"/>
    </w:p>
    <w:p w14:paraId="4CA94CA5" w14:textId="77777777" w:rsidR="000309B5" w:rsidRPr="005A284F" w:rsidRDefault="00000000" w:rsidP="005A284F">
      <w:pPr>
        <w:pStyle w:val="a3"/>
        <w:spacing w:before="0" w:beforeAutospacing="0" w:after="0" w:afterAutospacing="0" w:line="276" w:lineRule="auto"/>
        <w:ind w:firstLine="480"/>
        <w:jc w:val="both"/>
        <w:divId w:val="2076973112"/>
        <w:rPr>
          <w:rFonts w:ascii="Times New Roman" w:hAnsi="Times New Roman" w:cs="Times New Roman"/>
          <w:sz w:val="21"/>
          <w:szCs w:val="21"/>
        </w:rPr>
      </w:pPr>
      <w:r w:rsidRPr="005A284F">
        <w:rPr>
          <w:rFonts w:ascii="Times New Roman" w:hAnsi="Times New Roman" w:cs="Times New Roman"/>
          <w:sz w:val="18"/>
          <w:szCs w:val="18"/>
        </w:rPr>
        <w:t>（一）报告期内公司所处行业情况</w:t>
      </w:r>
    </w:p>
    <w:p w14:paraId="15EE267E" w14:textId="77777777" w:rsidR="000309B5" w:rsidRPr="005A284F" w:rsidRDefault="00000000" w:rsidP="005A284F">
      <w:pPr>
        <w:pStyle w:val="a3"/>
        <w:spacing w:before="0" w:beforeAutospacing="0" w:after="0" w:afterAutospacing="0" w:line="276" w:lineRule="auto"/>
        <w:ind w:firstLine="480"/>
        <w:jc w:val="both"/>
        <w:divId w:val="2076973112"/>
        <w:rPr>
          <w:rFonts w:ascii="Times New Roman" w:hAnsi="Times New Roman" w:cs="Times New Roman"/>
          <w:sz w:val="21"/>
          <w:szCs w:val="21"/>
        </w:rPr>
      </w:pPr>
      <w:r w:rsidRPr="005A284F">
        <w:rPr>
          <w:rFonts w:ascii="Times New Roman" w:hAnsi="Times New Roman" w:cs="Times New Roman"/>
          <w:sz w:val="18"/>
          <w:szCs w:val="18"/>
        </w:rPr>
        <w:t>1</w:t>
      </w:r>
      <w:r w:rsidRPr="005A284F">
        <w:rPr>
          <w:rFonts w:ascii="Times New Roman" w:hAnsi="Times New Roman" w:cs="Times New Roman"/>
          <w:sz w:val="18"/>
          <w:szCs w:val="18"/>
        </w:rPr>
        <w:t>、食品行业</w:t>
      </w:r>
    </w:p>
    <w:p w14:paraId="6C476D5D" w14:textId="227FF468" w:rsidR="000309B5" w:rsidRPr="005A284F" w:rsidRDefault="00000000" w:rsidP="005A284F">
      <w:pPr>
        <w:pStyle w:val="a3"/>
        <w:spacing w:before="0" w:beforeAutospacing="0" w:after="0" w:afterAutospacing="0" w:line="276" w:lineRule="auto"/>
        <w:ind w:firstLine="480"/>
        <w:jc w:val="both"/>
        <w:divId w:val="2076973112"/>
        <w:rPr>
          <w:rFonts w:ascii="Times New Roman" w:hAnsi="Times New Roman" w:cs="Times New Roman"/>
          <w:sz w:val="21"/>
          <w:szCs w:val="21"/>
        </w:rPr>
      </w:pPr>
      <w:r w:rsidRPr="005A284F">
        <w:rPr>
          <w:rFonts w:ascii="Times New Roman" w:hAnsi="Times New Roman" w:cs="Times New Roman"/>
          <w:sz w:val="18"/>
          <w:szCs w:val="18"/>
        </w:rPr>
        <w:t>2025</w:t>
      </w:r>
      <w:r w:rsidRPr="005A284F">
        <w:rPr>
          <w:rFonts w:ascii="Times New Roman" w:hAnsi="Times New Roman" w:cs="Times New Roman"/>
          <w:sz w:val="18"/>
          <w:szCs w:val="18"/>
        </w:rPr>
        <w:t>年</w:t>
      </w:r>
      <w:r w:rsidRPr="005A284F">
        <w:rPr>
          <w:rFonts w:ascii="Times New Roman" w:hAnsi="Times New Roman" w:cs="Times New Roman"/>
          <w:sz w:val="18"/>
          <w:szCs w:val="18"/>
        </w:rPr>
        <w:t>3</w:t>
      </w:r>
      <w:r w:rsidRPr="005A284F">
        <w:rPr>
          <w:rFonts w:ascii="Times New Roman" w:hAnsi="Times New Roman" w:cs="Times New Roman"/>
          <w:sz w:val="18"/>
          <w:szCs w:val="18"/>
        </w:rPr>
        <w:t>月，中共中央办公厅、国务院办公厅联合发布了《关于进一步强化食品安全全链条监管的意见》，旨在进一步理清食品安全监管责任，建立</w:t>
      </w:r>
      <w:r w:rsidR="009E68B2">
        <w:rPr>
          <w:rFonts w:ascii="Times New Roman" w:hAnsi="Times New Roman" w:cs="Times New Roman" w:hint="eastAsia"/>
          <w:sz w:val="18"/>
          <w:szCs w:val="18"/>
        </w:rPr>
        <w:t>健全</w:t>
      </w:r>
      <w:r w:rsidRPr="005A284F">
        <w:rPr>
          <w:rFonts w:ascii="Times New Roman" w:hAnsi="Times New Roman" w:cs="Times New Roman"/>
          <w:sz w:val="18"/>
          <w:szCs w:val="18"/>
        </w:rPr>
        <w:t>协同闭环发展食品品质化屠宰规范化控与技术创新，为屠宰加工提供稳定原料供应；屠宰行业标准全协同监管机制，确保人民群众身体健康和生命安全。</w:t>
      </w:r>
    </w:p>
    <w:p w14:paraId="0B3B6E77" w14:textId="77777777" w:rsidR="000309B5" w:rsidRPr="005A284F" w:rsidRDefault="00000000" w:rsidP="005A284F">
      <w:pPr>
        <w:pStyle w:val="a3"/>
        <w:spacing w:before="0" w:beforeAutospacing="0" w:after="0" w:afterAutospacing="0" w:line="276" w:lineRule="auto"/>
        <w:ind w:firstLine="480"/>
        <w:jc w:val="both"/>
        <w:divId w:val="2076973112"/>
        <w:rPr>
          <w:rFonts w:ascii="Times New Roman" w:hAnsi="Times New Roman" w:cs="Times New Roman"/>
          <w:sz w:val="21"/>
          <w:szCs w:val="21"/>
        </w:rPr>
      </w:pPr>
      <w:r w:rsidRPr="005A284F">
        <w:rPr>
          <w:rFonts w:ascii="Times New Roman" w:hAnsi="Times New Roman" w:cs="Times New Roman"/>
          <w:sz w:val="18"/>
          <w:szCs w:val="18"/>
        </w:rPr>
        <w:t>根据国家市场监督管理总局联合教育部、工业和信息化部、农业农村部、商务部、国家卫生健康委印发《关于加强预制菜食品安全监管促进产业高质量发展的通知》，首次在国家层面对预制菜原辅料、预加工工艺等进行了严格界定，为预制菜行业的健康、规范、高质量发展指明了方向。我国预制菜起步较晚，行业集中度较低，根据《中国烹饪协会五年（</w:t>
      </w:r>
      <w:r w:rsidRPr="005A284F">
        <w:rPr>
          <w:rFonts w:ascii="Times New Roman" w:hAnsi="Times New Roman" w:cs="Times New Roman"/>
          <w:sz w:val="18"/>
          <w:szCs w:val="18"/>
        </w:rPr>
        <w:t>2021-2025</w:t>
      </w:r>
      <w:r w:rsidRPr="005A284F">
        <w:rPr>
          <w:rFonts w:ascii="Times New Roman" w:hAnsi="Times New Roman" w:cs="Times New Roman"/>
          <w:sz w:val="18"/>
          <w:szCs w:val="18"/>
        </w:rPr>
        <w:t>）工作规划》，目前国内预制菜渗透率只有</w:t>
      </w:r>
      <w:r w:rsidRPr="005A284F">
        <w:rPr>
          <w:rFonts w:ascii="Times New Roman" w:hAnsi="Times New Roman" w:cs="Times New Roman"/>
          <w:sz w:val="18"/>
          <w:szCs w:val="18"/>
        </w:rPr>
        <w:t>10%-15%</w:t>
      </w:r>
      <w:r w:rsidRPr="005A284F">
        <w:rPr>
          <w:rFonts w:ascii="Times New Roman" w:hAnsi="Times New Roman" w:cs="Times New Roman"/>
          <w:sz w:val="18"/>
          <w:szCs w:val="18"/>
        </w:rPr>
        <w:t>，而美国、日本预制菜渗透率已达</w:t>
      </w:r>
      <w:r w:rsidRPr="005A284F">
        <w:rPr>
          <w:rFonts w:ascii="Times New Roman" w:hAnsi="Times New Roman" w:cs="Times New Roman"/>
          <w:sz w:val="18"/>
          <w:szCs w:val="18"/>
        </w:rPr>
        <w:t>60%</w:t>
      </w:r>
      <w:r w:rsidRPr="005A284F">
        <w:rPr>
          <w:rFonts w:ascii="Times New Roman" w:hAnsi="Times New Roman" w:cs="Times New Roman"/>
          <w:sz w:val="18"/>
          <w:szCs w:val="18"/>
        </w:rPr>
        <w:t>以上，中国预制菜市场还有较大的扩容空间。</w:t>
      </w:r>
    </w:p>
    <w:p w14:paraId="02099171" w14:textId="77777777" w:rsidR="000309B5" w:rsidRPr="005A284F" w:rsidRDefault="00000000" w:rsidP="005A284F">
      <w:pPr>
        <w:pStyle w:val="a3"/>
        <w:spacing w:before="0" w:beforeAutospacing="0" w:after="0" w:afterAutospacing="0" w:line="276" w:lineRule="auto"/>
        <w:ind w:firstLine="480"/>
        <w:jc w:val="both"/>
        <w:divId w:val="2076973112"/>
        <w:rPr>
          <w:rFonts w:ascii="Times New Roman" w:hAnsi="Times New Roman" w:cs="Times New Roman"/>
          <w:sz w:val="21"/>
          <w:szCs w:val="21"/>
        </w:rPr>
      </w:pPr>
      <w:r w:rsidRPr="005A284F">
        <w:rPr>
          <w:rFonts w:ascii="Times New Roman" w:hAnsi="Times New Roman" w:cs="Times New Roman"/>
          <w:sz w:val="18"/>
          <w:szCs w:val="18"/>
        </w:rPr>
        <w:t>山东省作为中国预制菜产业大省，当地政府积极推动预制菜行业的发展。根据山东省发展改革委等</w:t>
      </w:r>
      <w:r w:rsidRPr="005A284F">
        <w:rPr>
          <w:rFonts w:ascii="Times New Roman" w:hAnsi="Times New Roman" w:cs="Times New Roman"/>
          <w:sz w:val="18"/>
          <w:szCs w:val="18"/>
        </w:rPr>
        <w:t>12</w:t>
      </w:r>
      <w:r w:rsidRPr="005A284F">
        <w:rPr>
          <w:rFonts w:ascii="Times New Roman" w:hAnsi="Times New Roman" w:cs="Times New Roman"/>
          <w:sz w:val="18"/>
          <w:szCs w:val="18"/>
        </w:rPr>
        <w:t>部门联合印发《山东省预制菜产业高质量发展规划（</w:t>
      </w:r>
      <w:r w:rsidRPr="005A284F">
        <w:rPr>
          <w:rFonts w:ascii="Times New Roman" w:hAnsi="Times New Roman" w:cs="Times New Roman"/>
          <w:sz w:val="18"/>
          <w:szCs w:val="18"/>
        </w:rPr>
        <w:t>2024-2027</w:t>
      </w:r>
      <w:r w:rsidRPr="005A284F">
        <w:rPr>
          <w:rFonts w:ascii="Times New Roman" w:hAnsi="Times New Roman" w:cs="Times New Roman"/>
          <w:sz w:val="18"/>
          <w:szCs w:val="18"/>
        </w:rPr>
        <w:t>年）》，山东未来将把潍坊、青岛、烟台、临沂作为四大核心增长极进行重点布局，整体带动全省预制菜产业提质增效、转型升级。力争到</w:t>
      </w:r>
      <w:r w:rsidRPr="005A284F">
        <w:rPr>
          <w:rFonts w:ascii="Times New Roman" w:hAnsi="Times New Roman" w:cs="Times New Roman"/>
          <w:sz w:val="18"/>
          <w:szCs w:val="18"/>
        </w:rPr>
        <w:t>2027</w:t>
      </w:r>
      <w:r w:rsidRPr="005A284F">
        <w:rPr>
          <w:rFonts w:ascii="Times New Roman" w:hAnsi="Times New Roman" w:cs="Times New Roman"/>
          <w:sz w:val="18"/>
          <w:szCs w:val="18"/>
        </w:rPr>
        <w:t>年，全省预制菜市场经营主体数量突破</w:t>
      </w:r>
      <w:r w:rsidRPr="005A284F">
        <w:rPr>
          <w:rFonts w:ascii="Times New Roman" w:hAnsi="Times New Roman" w:cs="Times New Roman"/>
          <w:sz w:val="18"/>
          <w:szCs w:val="18"/>
        </w:rPr>
        <w:t>8,000</w:t>
      </w:r>
      <w:r w:rsidRPr="005A284F">
        <w:rPr>
          <w:rFonts w:ascii="Times New Roman" w:hAnsi="Times New Roman" w:cs="Times New Roman"/>
          <w:sz w:val="18"/>
          <w:szCs w:val="18"/>
        </w:rPr>
        <w:t>家，全产业链产值超过</w:t>
      </w:r>
      <w:r w:rsidRPr="005A284F">
        <w:rPr>
          <w:rFonts w:ascii="Times New Roman" w:hAnsi="Times New Roman" w:cs="Times New Roman"/>
          <w:sz w:val="18"/>
          <w:szCs w:val="18"/>
        </w:rPr>
        <w:t>6,600</w:t>
      </w:r>
      <w:r w:rsidRPr="005A284F">
        <w:rPr>
          <w:rFonts w:ascii="Times New Roman" w:hAnsi="Times New Roman" w:cs="Times New Roman"/>
          <w:sz w:val="18"/>
          <w:szCs w:val="18"/>
        </w:rPr>
        <w:t>亿元。</w:t>
      </w:r>
    </w:p>
    <w:p w14:paraId="441D5718" w14:textId="77777777" w:rsidR="000309B5" w:rsidRPr="005A284F" w:rsidRDefault="00000000" w:rsidP="005A284F">
      <w:pPr>
        <w:pStyle w:val="a3"/>
        <w:spacing w:before="0" w:beforeAutospacing="0" w:after="0" w:afterAutospacing="0" w:line="276" w:lineRule="auto"/>
        <w:ind w:firstLine="480"/>
        <w:jc w:val="both"/>
        <w:divId w:val="2076973112"/>
        <w:rPr>
          <w:rFonts w:ascii="Times New Roman" w:hAnsi="Times New Roman" w:cs="Times New Roman"/>
          <w:sz w:val="21"/>
          <w:szCs w:val="21"/>
        </w:rPr>
      </w:pPr>
      <w:r w:rsidRPr="005A284F">
        <w:rPr>
          <w:rFonts w:ascii="Times New Roman" w:hAnsi="Times New Roman" w:cs="Times New Roman"/>
          <w:sz w:val="18"/>
          <w:szCs w:val="18"/>
        </w:rPr>
        <w:t>2</w:t>
      </w:r>
      <w:r w:rsidRPr="005A284F">
        <w:rPr>
          <w:rFonts w:ascii="Times New Roman" w:hAnsi="Times New Roman" w:cs="Times New Roman"/>
          <w:sz w:val="18"/>
          <w:szCs w:val="18"/>
        </w:rPr>
        <w:t>、生猪养殖行业</w:t>
      </w:r>
    </w:p>
    <w:p w14:paraId="34A312A8" w14:textId="77777777" w:rsidR="000309B5" w:rsidRPr="005A284F" w:rsidRDefault="00000000" w:rsidP="005A284F">
      <w:pPr>
        <w:pStyle w:val="a3"/>
        <w:spacing w:before="0" w:beforeAutospacing="0" w:after="0" w:afterAutospacing="0" w:line="276" w:lineRule="auto"/>
        <w:ind w:firstLine="480"/>
        <w:jc w:val="both"/>
        <w:divId w:val="2076973112"/>
        <w:rPr>
          <w:rFonts w:ascii="Times New Roman" w:hAnsi="Times New Roman" w:cs="Times New Roman"/>
          <w:sz w:val="21"/>
          <w:szCs w:val="21"/>
        </w:rPr>
      </w:pPr>
      <w:r w:rsidRPr="005A284F">
        <w:rPr>
          <w:rFonts w:ascii="Times New Roman" w:hAnsi="Times New Roman" w:cs="Times New Roman"/>
          <w:sz w:val="18"/>
          <w:szCs w:val="18"/>
        </w:rPr>
        <w:t>根据国家统计局及农业农村部数据，</w:t>
      </w:r>
      <w:r w:rsidRPr="005A284F">
        <w:rPr>
          <w:rFonts w:ascii="Times New Roman" w:hAnsi="Times New Roman" w:cs="Times New Roman"/>
          <w:sz w:val="18"/>
          <w:szCs w:val="18"/>
        </w:rPr>
        <w:t>2025</w:t>
      </w:r>
      <w:r w:rsidRPr="005A284F">
        <w:rPr>
          <w:rFonts w:ascii="Times New Roman" w:hAnsi="Times New Roman" w:cs="Times New Roman"/>
          <w:sz w:val="18"/>
          <w:szCs w:val="18"/>
        </w:rPr>
        <w:t>年上半年，全国生猪出栏</w:t>
      </w:r>
      <w:r w:rsidRPr="005A284F">
        <w:rPr>
          <w:rFonts w:ascii="Times New Roman" w:hAnsi="Times New Roman" w:cs="Times New Roman"/>
          <w:sz w:val="18"/>
          <w:szCs w:val="18"/>
        </w:rPr>
        <w:t>36,619</w:t>
      </w:r>
      <w:r w:rsidRPr="005A284F">
        <w:rPr>
          <w:rFonts w:ascii="Times New Roman" w:hAnsi="Times New Roman" w:cs="Times New Roman"/>
          <w:sz w:val="18"/>
          <w:szCs w:val="18"/>
        </w:rPr>
        <w:t>万头，同比减少</w:t>
      </w:r>
      <w:r w:rsidRPr="005A284F">
        <w:rPr>
          <w:rFonts w:ascii="Times New Roman" w:hAnsi="Times New Roman" w:cs="Times New Roman"/>
          <w:sz w:val="18"/>
          <w:szCs w:val="18"/>
        </w:rPr>
        <w:t>224</w:t>
      </w:r>
      <w:r w:rsidRPr="005A284F">
        <w:rPr>
          <w:rFonts w:ascii="Times New Roman" w:hAnsi="Times New Roman" w:cs="Times New Roman"/>
          <w:sz w:val="18"/>
          <w:szCs w:val="18"/>
        </w:rPr>
        <w:t>万头，同比减少</w:t>
      </w:r>
      <w:r w:rsidRPr="005A284F">
        <w:rPr>
          <w:rFonts w:ascii="Times New Roman" w:hAnsi="Times New Roman" w:cs="Times New Roman"/>
          <w:sz w:val="18"/>
          <w:szCs w:val="18"/>
        </w:rPr>
        <w:t>0.6%</w:t>
      </w:r>
      <w:r w:rsidRPr="005A284F">
        <w:rPr>
          <w:rFonts w:ascii="Times New Roman" w:hAnsi="Times New Roman" w:cs="Times New Roman"/>
          <w:sz w:val="18"/>
          <w:szCs w:val="18"/>
        </w:rPr>
        <w:t>；截至</w:t>
      </w:r>
      <w:r w:rsidRPr="005A284F">
        <w:rPr>
          <w:rFonts w:ascii="Times New Roman" w:hAnsi="Times New Roman" w:cs="Times New Roman"/>
          <w:sz w:val="18"/>
          <w:szCs w:val="18"/>
        </w:rPr>
        <w:t>2025</w:t>
      </w:r>
      <w:r w:rsidRPr="005A284F">
        <w:rPr>
          <w:rFonts w:ascii="Times New Roman" w:hAnsi="Times New Roman" w:cs="Times New Roman"/>
          <w:sz w:val="18"/>
          <w:szCs w:val="18"/>
        </w:rPr>
        <w:t>年</w:t>
      </w:r>
      <w:r w:rsidRPr="005A284F">
        <w:rPr>
          <w:rFonts w:ascii="Times New Roman" w:hAnsi="Times New Roman" w:cs="Times New Roman"/>
          <w:sz w:val="18"/>
          <w:szCs w:val="18"/>
        </w:rPr>
        <w:t>6</w:t>
      </w:r>
      <w:r w:rsidRPr="005A284F">
        <w:rPr>
          <w:rFonts w:ascii="Times New Roman" w:hAnsi="Times New Roman" w:cs="Times New Roman"/>
          <w:sz w:val="18"/>
          <w:szCs w:val="18"/>
        </w:rPr>
        <w:t>月底，全国生猪存栏</w:t>
      </w:r>
      <w:r w:rsidRPr="005A284F">
        <w:rPr>
          <w:rFonts w:ascii="Times New Roman" w:hAnsi="Times New Roman" w:cs="Times New Roman"/>
          <w:sz w:val="18"/>
          <w:szCs w:val="18"/>
        </w:rPr>
        <w:t>42,447</w:t>
      </w:r>
      <w:r w:rsidRPr="005A284F">
        <w:rPr>
          <w:rFonts w:ascii="Times New Roman" w:hAnsi="Times New Roman" w:cs="Times New Roman"/>
          <w:sz w:val="18"/>
          <w:szCs w:val="18"/>
        </w:rPr>
        <w:t>万头，同比增加</w:t>
      </w:r>
      <w:r w:rsidRPr="005A284F">
        <w:rPr>
          <w:rFonts w:ascii="Times New Roman" w:hAnsi="Times New Roman" w:cs="Times New Roman"/>
          <w:sz w:val="18"/>
          <w:szCs w:val="18"/>
        </w:rPr>
        <w:t>914</w:t>
      </w:r>
      <w:r w:rsidRPr="005A284F">
        <w:rPr>
          <w:rFonts w:ascii="Times New Roman" w:hAnsi="Times New Roman" w:cs="Times New Roman"/>
          <w:sz w:val="18"/>
          <w:szCs w:val="18"/>
        </w:rPr>
        <w:t>万头，同比增加</w:t>
      </w:r>
      <w:r w:rsidRPr="005A284F">
        <w:rPr>
          <w:rFonts w:ascii="Times New Roman" w:hAnsi="Times New Roman" w:cs="Times New Roman"/>
          <w:sz w:val="18"/>
          <w:szCs w:val="18"/>
        </w:rPr>
        <w:t>2.2%</w:t>
      </w:r>
      <w:r w:rsidRPr="005A284F">
        <w:rPr>
          <w:rFonts w:ascii="Times New Roman" w:hAnsi="Times New Roman" w:cs="Times New Roman"/>
          <w:sz w:val="18"/>
          <w:szCs w:val="18"/>
        </w:rPr>
        <w:t>；能繁母猪存栏数量为</w:t>
      </w:r>
      <w:r w:rsidRPr="005A284F">
        <w:rPr>
          <w:rFonts w:ascii="Times New Roman" w:hAnsi="Times New Roman" w:cs="Times New Roman"/>
          <w:sz w:val="18"/>
          <w:szCs w:val="18"/>
        </w:rPr>
        <w:t>4,043</w:t>
      </w:r>
      <w:r w:rsidRPr="005A284F">
        <w:rPr>
          <w:rFonts w:ascii="Times New Roman" w:hAnsi="Times New Roman" w:cs="Times New Roman"/>
          <w:sz w:val="18"/>
          <w:szCs w:val="18"/>
        </w:rPr>
        <w:t>万头，相当于正常保有量的</w:t>
      </w:r>
      <w:r w:rsidRPr="005A284F">
        <w:rPr>
          <w:rFonts w:ascii="Times New Roman" w:hAnsi="Times New Roman" w:cs="Times New Roman"/>
          <w:sz w:val="18"/>
          <w:szCs w:val="18"/>
        </w:rPr>
        <w:t>103.7%</w:t>
      </w:r>
      <w:r w:rsidRPr="005A284F">
        <w:rPr>
          <w:rFonts w:ascii="Times New Roman" w:hAnsi="Times New Roman" w:cs="Times New Roman"/>
          <w:sz w:val="18"/>
          <w:szCs w:val="18"/>
        </w:rPr>
        <w:t>，产能正常，处于绿色区域。</w:t>
      </w:r>
      <w:r w:rsidRPr="005A284F">
        <w:rPr>
          <w:rFonts w:ascii="Times New Roman" w:hAnsi="Times New Roman" w:cs="Times New Roman"/>
          <w:sz w:val="18"/>
          <w:szCs w:val="18"/>
        </w:rPr>
        <w:t>2025</w:t>
      </w:r>
      <w:r w:rsidRPr="005A284F">
        <w:rPr>
          <w:rFonts w:ascii="Times New Roman" w:hAnsi="Times New Roman" w:cs="Times New Roman"/>
          <w:sz w:val="18"/>
          <w:szCs w:val="18"/>
        </w:rPr>
        <w:t>年上半年猪肉产量为</w:t>
      </w:r>
      <w:r w:rsidRPr="005A284F">
        <w:rPr>
          <w:rFonts w:ascii="Times New Roman" w:hAnsi="Times New Roman" w:cs="Times New Roman"/>
          <w:sz w:val="18"/>
          <w:szCs w:val="18"/>
        </w:rPr>
        <w:t>3,020</w:t>
      </w:r>
      <w:r w:rsidRPr="005A284F">
        <w:rPr>
          <w:rFonts w:ascii="Times New Roman" w:hAnsi="Times New Roman" w:cs="Times New Roman"/>
          <w:sz w:val="18"/>
          <w:szCs w:val="18"/>
        </w:rPr>
        <w:t>万吨，同比上升</w:t>
      </w:r>
      <w:r w:rsidRPr="005A284F">
        <w:rPr>
          <w:rFonts w:ascii="Times New Roman" w:hAnsi="Times New Roman" w:cs="Times New Roman"/>
          <w:sz w:val="18"/>
          <w:szCs w:val="18"/>
        </w:rPr>
        <w:t>1.3%</w:t>
      </w:r>
      <w:r w:rsidRPr="005A284F">
        <w:rPr>
          <w:rFonts w:ascii="Times New Roman" w:hAnsi="Times New Roman" w:cs="Times New Roman"/>
          <w:sz w:val="18"/>
          <w:szCs w:val="18"/>
        </w:rPr>
        <w:t>；</w:t>
      </w:r>
      <w:r w:rsidRPr="005A284F">
        <w:rPr>
          <w:rFonts w:ascii="Times New Roman" w:hAnsi="Times New Roman" w:cs="Times New Roman"/>
          <w:sz w:val="18"/>
          <w:szCs w:val="18"/>
        </w:rPr>
        <w:t>2025</w:t>
      </w:r>
      <w:r w:rsidRPr="005A284F">
        <w:rPr>
          <w:rFonts w:ascii="Times New Roman" w:hAnsi="Times New Roman" w:cs="Times New Roman"/>
          <w:sz w:val="18"/>
          <w:szCs w:val="18"/>
        </w:rPr>
        <w:t>年</w:t>
      </w:r>
      <w:r w:rsidRPr="005A284F">
        <w:rPr>
          <w:rFonts w:ascii="Times New Roman" w:hAnsi="Times New Roman" w:cs="Times New Roman"/>
          <w:sz w:val="18"/>
          <w:szCs w:val="18"/>
        </w:rPr>
        <w:t>1-6</w:t>
      </w:r>
      <w:r w:rsidRPr="005A284F">
        <w:rPr>
          <w:rFonts w:ascii="Times New Roman" w:hAnsi="Times New Roman" w:cs="Times New Roman"/>
          <w:sz w:val="18"/>
          <w:szCs w:val="18"/>
        </w:rPr>
        <w:t>月全国生猪出场价格逐月降低，从</w:t>
      </w:r>
      <w:r w:rsidRPr="005A284F">
        <w:rPr>
          <w:rFonts w:ascii="Times New Roman" w:hAnsi="Times New Roman" w:cs="Times New Roman"/>
          <w:sz w:val="18"/>
          <w:szCs w:val="18"/>
        </w:rPr>
        <w:t>1</w:t>
      </w:r>
      <w:r w:rsidRPr="005A284F">
        <w:rPr>
          <w:rFonts w:ascii="Times New Roman" w:hAnsi="Times New Roman" w:cs="Times New Roman"/>
          <w:sz w:val="18"/>
          <w:szCs w:val="18"/>
        </w:rPr>
        <w:t>月的</w:t>
      </w:r>
      <w:r w:rsidRPr="005A284F">
        <w:rPr>
          <w:rFonts w:ascii="Times New Roman" w:hAnsi="Times New Roman" w:cs="Times New Roman"/>
          <w:sz w:val="18"/>
          <w:szCs w:val="18"/>
        </w:rPr>
        <w:t>16.41</w:t>
      </w:r>
      <w:r w:rsidRPr="005A284F">
        <w:rPr>
          <w:rFonts w:ascii="Times New Roman" w:hAnsi="Times New Roman" w:cs="Times New Roman"/>
          <w:sz w:val="18"/>
          <w:szCs w:val="18"/>
        </w:rPr>
        <w:t>元</w:t>
      </w:r>
      <w:r w:rsidRPr="005A284F">
        <w:rPr>
          <w:rFonts w:ascii="Times New Roman" w:hAnsi="Times New Roman" w:cs="Times New Roman"/>
          <w:sz w:val="18"/>
          <w:szCs w:val="18"/>
        </w:rPr>
        <w:t>/</w:t>
      </w:r>
      <w:r w:rsidRPr="005A284F">
        <w:rPr>
          <w:rFonts w:ascii="Times New Roman" w:hAnsi="Times New Roman" w:cs="Times New Roman"/>
          <w:sz w:val="18"/>
          <w:szCs w:val="18"/>
        </w:rPr>
        <w:t>公斤降至</w:t>
      </w:r>
      <w:r w:rsidRPr="005A284F">
        <w:rPr>
          <w:rFonts w:ascii="Times New Roman" w:hAnsi="Times New Roman" w:cs="Times New Roman"/>
          <w:sz w:val="18"/>
          <w:szCs w:val="18"/>
        </w:rPr>
        <w:t>6</w:t>
      </w:r>
      <w:r w:rsidRPr="005A284F">
        <w:rPr>
          <w:rFonts w:ascii="Times New Roman" w:hAnsi="Times New Roman" w:cs="Times New Roman"/>
          <w:sz w:val="18"/>
          <w:szCs w:val="18"/>
        </w:rPr>
        <w:t>月的</w:t>
      </w:r>
      <w:r w:rsidRPr="005A284F">
        <w:rPr>
          <w:rFonts w:ascii="Times New Roman" w:hAnsi="Times New Roman" w:cs="Times New Roman"/>
          <w:sz w:val="18"/>
          <w:szCs w:val="18"/>
        </w:rPr>
        <w:t>14.57</w:t>
      </w:r>
      <w:r w:rsidRPr="005A284F">
        <w:rPr>
          <w:rFonts w:ascii="Times New Roman" w:hAnsi="Times New Roman" w:cs="Times New Roman"/>
          <w:sz w:val="18"/>
          <w:szCs w:val="18"/>
        </w:rPr>
        <w:t>元</w:t>
      </w:r>
      <w:r w:rsidRPr="005A284F">
        <w:rPr>
          <w:rFonts w:ascii="Times New Roman" w:hAnsi="Times New Roman" w:cs="Times New Roman"/>
          <w:sz w:val="18"/>
          <w:szCs w:val="18"/>
        </w:rPr>
        <w:t>/</w:t>
      </w:r>
      <w:r w:rsidRPr="005A284F">
        <w:rPr>
          <w:rFonts w:ascii="Times New Roman" w:hAnsi="Times New Roman" w:cs="Times New Roman"/>
          <w:sz w:val="18"/>
          <w:szCs w:val="18"/>
        </w:rPr>
        <w:t>公斤。虽然生猪养殖成本也在降低，但受价格的影响，生猪头均利润同样逐月下降，头均利润已从</w:t>
      </w:r>
      <w:r w:rsidRPr="005A284F">
        <w:rPr>
          <w:rFonts w:ascii="Times New Roman" w:hAnsi="Times New Roman" w:cs="Times New Roman"/>
          <w:sz w:val="18"/>
          <w:szCs w:val="18"/>
        </w:rPr>
        <w:t>1</w:t>
      </w:r>
      <w:r w:rsidRPr="005A284F">
        <w:rPr>
          <w:rFonts w:ascii="Times New Roman" w:hAnsi="Times New Roman" w:cs="Times New Roman"/>
          <w:sz w:val="18"/>
          <w:szCs w:val="18"/>
        </w:rPr>
        <w:t>月的</w:t>
      </w:r>
      <w:r w:rsidRPr="005A284F">
        <w:rPr>
          <w:rFonts w:ascii="Times New Roman" w:hAnsi="Times New Roman" w:cs="Times New Roman"/>
          <w:sz w:val="18"/>
          <w:szCs w:val="18"/>
        </w:rPr>
        <w:t>215</w:t>
      </w:r>
      <w:r w:rsidRPr="005A284F">
        <w:rPr>
          <w:rFonts w:ascii="Times New Roman" w:hAnsi="Times New Roman" w:cs="Times New Roman"/>
          <w:sz w:val="18"/>
          <w:szCs w:val="18"/>
        </w:rPr>
        <w:t>元降至</w:t>
      </w:r>
      <w:r w:rsidRPr="005A284F">
        <w:rPr>
          <w:rFonts w:ascii="Times New Roman" w:hAnsi="Times New Roman" w:cs="Times New Roman"/>
          <w:sz w:val="18"/>
          <w:szCs w:val="18"/>
        </w:rPr>
        <w:t>6</w:t>
      </w:r>
      <w:r w:rsidRPr="005A284F">
        <w:rPr>
          <w:rFonts w:ascii="Times New Roman" w:hAnsi="Times New Roman" w:cs="Times New Roman"/>
          <w:sz w:val="18"/>
          <w:szCs w:val="18"/>
        </w:rPr>
        <w:t>月的</w:t>
      </w:r>
      <w:r w:rsidRPr="005A284F">
        <w:rPr>
          <w:rFonts w:ascii="Times New Roman" w:hAnsi="Times New Roman" w:cs="Times New Roman"/>
          <w:sz w:val="18"/>
          <w:szCs w:val="18"/>
        </w:rPr>
        <w:t>7</w:t>
      </w:r>
      <w:r w:rsidRPr="005A284F">
        <w:rPr>
          <w:rFonts w:ascii="Times New Roman" w:hAnsi="Times New Roman" w:cs="Times New Roman"/>
          <w:sz w:val="18"/>
          <w:szCs w:val="18"/>
        </w:rPr>
        <w:t>元。</w:t>
      </w:r>
    </w:p>
    <w:p w14:paraId="28ADBFDB" w14:textId="77777777" w:rsidR="00580394" w:rsidRDefault="00000000" w:rsidP="00580394">
      <w:pPr>
        <w:pStyle w:val="a3"/>
        <w:spacing w:before="0" w:beforeAutospacing="0" w:after="0" w:afterAutospacing="0" w:line="276" w:lineRule="auto"/>
        <w:ind w:firstLine="480"/>
        <w:jc w:val="both"/>
        <w:divId w:val="2076973112"/>
        <w:rPr>
          <w:rFonts w:ascii="Times New Roman" w:hAnsi="Times New Roman" w:cs="Times New Roman"/>
          <w:sz w:val="21"/>
          <w:szCs w:val="21"/>
        </w:rPr>
      </w:pPr>
      <w:r w:rsidRPr="005A284F">
        <w:rPr>
          <w:rFonts w:ascii="Times New Roman" w:hAnsi="Times New Roman" w:cs="Times New Roman"/>
          <w:sz w:val="18"/>
          <w:szCs w:val="18"/>
        </w:rPr>
        <w:t>3</w:t>
      </w:r>
      <w:r w:rsidRPr="005A284F">
        <w:rPr>
          <w:rFonts w:ascii="Times New Roman" w:hAnsi="Times New Roman" w:cs="Times New Roman"/>
          <w:sz w:val="18"/>
          <w:szCs w:val="18"/>
        </w:rPr>
        <w:t>、生猪屠宰行业</w:t>
      </w:r>
    </w:p>
    <w:p w14:paraId="41B45E03" w14:textId="7C0A0D50" w:rsidR="000309B5" w:rsidRPr="005A284F" w:rsidRDefault="00000000" w:rsidP="00580394">
      <w:pPr>
        <w:pStyle w:val="a3"/>
        <w:spacing w:before="0" w:beforeAutospacing="0" w:after="0" w:afterAutospacing="0" w:line="276" w:lineRule="auto"/>
        <w:ind w:firstLine="480"/>
        <w:jc w:val="both"/>
        <w:divId w:val="2076973112"/>
        <w:rPr>
          <w:rFonts w:ascii="Times New Roman" w:hAnsi="Times New Roman" w:cs="Times New Roman"/>
          <w:sz w:val="21"/>
          <w:szCs w:val="21"/>
        </w:rPr>
      </w:pPr>
      <w:r w:rsidRPr="005A284F">
        <w:rPr>
          <w:rFonts w:ascii="Times New Roman" w:hAnsi="Times New Roman" w:cs="Times New Roman"/>
          <w:sz w:val="18"/>
          <w:szCs w:val="18"/>
        </w:rPr>
        <w:t>根据国家统计局及农业农村部数据，</w:t>
      </w:r>
      <w:r w:rsidRPr="005A284F">
        <w:rPr>
          <w:rFonts w:ascii="Times New Roman" w:hAnsi="Times New Roman" w:cs="Times New Roman"/>
          <w:sz w:val="18"/>
          <w:szCs w:val="18"/>
        </w:rPr>
        <w:t>2021</w:t>
      </w:r>
      <w:r w:rsidRPr="005A284F">
        <w:rPr>
          <w:rFonts w:ascii="Times New Roman" w:hAnsi="Times New Roman" w:cs="Times New Roman"/>
          <w:sz w:val="18"/>
          <w:szCs w:val="18"/>
        </w:rPr>
        <w:t>年至</w:t>
      </w:r>
      <w:r w:rsidRPr="005A284F">
        <w:rPr>
          <w:rFonts w:ascii="Times New Roman" w:hAnsi="Times New Roman" w:cs="Times New Roman"/>
          <w:sz w:val="18"/>
          <w:szCs w:val="18"/>
        </w:rPr>
        <w:t>2024</w:t>
      </w:r>
      <w:r w:rsidRPr="005A284F">
        <w:rPr>
          <w:rFonts w:ascii="Times New Roman" w:hAnsi="Times New Roman" w:cs="Times New Roman"/>
          <w:sz w:val="18"/>
          <w:szCs w:val="18"/>
        </w:rPr>
        <w:t>年，我国规模以上定点屠宰企业（年屠宰量</w:t>
      </w:r>
      <w:r w:rsidRPr="005A284F">
        <w:rPr>
          <w:rFonts w:ascii="Times New Roman" w:hAnsi="Times New Roman" w:cs="Times New Roman"/>
          <w:sz w:val="18"/>
          <w:szCs w:val="18"/>
        </w:rPr>
        <w:t>2</w:t>
      </w:r>
      <w:r w:rsidRPr="005A284F">
        <w:rPr>
          <w:rFonts w:ascii="Times New Roman" w:hAnsi="Times New Roman" w:cs="Times New Roman"/>
          <w:sz w:val="18"/>
          <w:szCs w:val="18"/>
        </w:rPr>
        <w:t>万头以上）生猪屠宰数量分别为</w:t>
      </w:r>
      <w:r w:rsidRPr="005A284F">
        <w:rPr>
          <w:rFonts w:ascii="Times New Roman" w:hAnsi="Times New Roman" w:cs="Times New Roman"/>
          <w:sz w:val="18"/>
          <w:szCs w:val="18"/>
        </w:rPr>
        <w:t>26,485</w:t>
      </w:r>
      <w:r w:rsidRPr="005A284F">
        <w:rPr>
          <w:rFonts w:ascii="Times New Roman" w:hAnsi="Times New Roman" w:cs="Times New Roman"/>
          <w:sz w:val="18"/>
          <w:szCs w:val="18"/>
        </w:rPr>
        <w:t>万头、</w:t>
      </w:r>
      <w:r w:rsidRPr="005A284F">
        <w:rPr>
          <w:rFonts w:ascii="Times New Roman" w:hAnsi="Times New Roman" w:cs="Times New Roman"/>
          <w:sz w:val="18"/>
          <w:szCs w:val="18"/>
        </w:rPr>
        <w:t>28,538</w:t>
      </w:r>
      <w:r w:rsidRPr="005A284F">
        <w:rPr>
          <w:rFonts w:ascii="Times New Roman" w:hAnsi="Times New Roman" w:cs="Times New Roman"/>
          <w:sz w:val="18"/>
          <w:szCs w:val="18"/>
        </w:rPr>
        <w:t>万头、</w:t>
      </w:r>
      <w:r w:rsidRPr="005A284F">
        <w:rPr>
          <w:rFonts w:ascii="Times New Roman" w:hAnsi="Times New Roman" w:cs="Times New Roman"/>
          <w:sz w:val="18"/>
          <w:szCs w:val="18"/>
        </w:rPr>
        <w:t>34,371</w:t>
      </w:r>
      <w:r w:rsidRPr="005A284F">
        <w:rPr>
          <w:rFonts w:ascii="Times New Roman" w:hAnsi="Times New Roman" w:cs="Times New Roman"/>
          <w:sz w:val="18"/>
          <w:szCs w:val="18"/>
        </w:rPr>
        <w:t>万头、</w:t>
      </w:r>
      <w:r w:rsidRPr="005A284F">
        <w:rPr>
          <w:rFonts w:ascii="Times New Roman" w:hAnsi="Times New Roman" w:cs="Times New Roman"/>
          <w:sz w:val="18"/>
          <w:szCs w:val="18"/>
        </w:rPr>
        <w:t>33,773</w:t>
      </w:r>
      <w:r w:rsidRPr="005A284F">
        <w:rPr>
          <w:rFonts w:ascii="Times New Roman" w:hAnsi="Times New Roman" w:cs="Times New Roman"/>
          <w:sz w:val="18"/>
          <w:szCs w:val="18"/>
        </w:rPr>
        <w:t>万头，规模以上定点屠宰生猪占比从</w:t>
      </w:r>
      <w:r w:rsidRPr="005A284F">
        <w:rPr>
          <w:rFonts w:ascii="Times New Roman" w:hAnsi="Times New Roman" w:cs="Times New Roman"/>
          <w:sz w:val="18"/>
          <w:szCs w:val="18"/>
        </w:rPr>
        <w:t>2021</w:t>
      </w:r>
      <w:r w:rsidRPr="005A284F">
        <w:rPr>
          <w:rFonts w:ascii="Times New Roman" w:hAnsi="Times New Roman" w:cs="Times New Roman"/>
          <w:sz w:val="18"/>
          <w:szCs w:val="18"/>
        </w:rPr>
        <w:t>年的</w:t>
      </w:r>
      <w:r w:rsidRPr="005A284F">
        <w:rPr>
          <w:rFonts w:ascii="Times New Roman" w:hAnsi="Times New Roman" w:cs="Times New Roman"/>
          <w:sz w:val="18"/>
          <w:szCs w:val="18"/>
        </w:rPr>
        <w:t>39.45%</w:t>
      </w:r>
      <w:r w:rsidRPr="005A284F">
        <w:rPr>
          <w:rFonts w:ascii="Times New Roman" w:hAnsi="Times New Roman" w:cs="Times New Roman"/>
          <w:sz w:val="18"/>
          <w:szCs w:val="18"/>
        </w:rPr>
        <w:t>提升至</w:t>
      </w:r>
      <w:r w:rsidRPr="005A284F">
        <w:rPr>
          <w:rFonts w:ascii="Times New Roman" w:hAnsi="Times New Roman" w:cs="Times New Roman"/>
          <w:sz w:val="18"/>
          <w:szCs w:val="18"/>
        </w:rPr>
        <w:t>2024</w:t>
      </w:r>
      <w:r w:rsidRPr="005A284F">
        <w:rPr>
          <w:rFonts w:ascii="Times New Roman" w:hAnsi="Times New Roman" w:cs="Times New Roman"/>
          <w:sz w:val="18"/>
          <w:szCs w:val="18"/>
        </w:rPr>
        <w:t>年的</w:t>
      </w:r>
      <w:r w:rsidRPr="005A284F">
        <w:rPr>
          <w:rFonts w:ascii="Times New Roman" w:hAnsi="Times New Roman" w:cs="Times New Roman"/>
          <w:sz w:val="18"/>
          <w:szCs w:val="18"/>
        </w:rPr>
        <w:t>48.07%</w:t>
      </w:r>
      <w:r w:rsidRPr="005A284F">
        <w:rPr>
          <w:rFonts w:ascii="Times New Roman" w:hAnsi="Times New Roman" w:cs="Times New Roman"/>
          <w:sz w:val="18"/>
          <w:szCs w:val="18"/>
        </w:rPr>
        <w:t>。</w:t>
      </w:r>
      <w:r w:rsidRPr="005A284F">
        <w:rPr>
          <w:rFonts w:ascii="Times New Roman" w:hAnsi="Times New Roman" w:cs="Times New Roman"/>
          <w:sz w:val="18"/>
          <w:szCs w:val="18"/>
        </w:rPr>
        <w:t>2025</w:t>
      </w:r>
      <w:r w:rsidRPr="005A284F">
        <w:rPr>
          <w:rFonts w:ascii="Times New Roman" w:hAnsi="Times New Roman" w:cs="Times New Roman"/>
          <w:sz w:val="18"/>
          <w:szCs w:val="18"/>
        </w:rPr>
        <w:t>年</w:t>
      </w:r>
      <w:r w:rsidRPr="005A284F">
        <w:rPr>
          <w:rFonts w:ascii="Times New Roman" w:hAnsi="Times New Roman" w:cs="Times New Roman"/>
          <w:sz w:val="18"/>
          <w:szCs w:val="18"/>
        </w:rPr>
        <w:t>1-6</w:t>
      </w:r>
      <w:r w:rsidRPr="005A284F">
        <w:rPr>
          <w:rFonts w:ascii="Times New Roman" w:hAnsi="Times New Roman" w:cs="Times New Roman"/>
          <w:sz w:val="18"/>
          <w:szCs w:val="18"/>
        </w:rPr>
        <w:t>月，规模以上定点屠宰企业（年屠宰量</w:t>
      </w:r>
      <w:r w:rsidRPr="005A284F">
        <w:rPr>
          <w:rFonts w:ascii="Times New Roman" w:hAnsi="Times New Roman" w:cs="Times New Roman"/>
          <w:sz w:val="18"/>
          <w:szCs w:val="18"/>
        </w:rPr>
        <w:t>2</w:t>
      </w:r>
      <w:r w:rsidRPr="005A284F">
        <w:rPr>
          <w:rFonts w:ascii="Times New Roman" w:hAnsi="Times New Roman" w:cs="Times New Roman"/>
          <w:sz w:val="18"/>
          <w:szCs w:val="18"/>
        </w:rPr>
        <w:t>万头以上）生猪屠宰数量为</w:t>
      </w:r>
      <w:r w:rsidRPr="005A284F">
        <w:rPr>
          <w:rFonts w:ascii="Times New Roman" w:hAnsi="Times New Roman" w:cs="Times New Roman"/>
          <w:sz w:val="18"/>
          <w:szCs w:val="18"/>
        </w:rPr>
        <w:t>18,355</w:t>
      </w:r>
      <w:r w:rsidRPr="005A284F">
        <w:rPr>
          <w:rFonts w:ascii="Times New Roman" w:hAnsi="Times New Roman" w:cs="Times New Roman"/>
          <w:sz w:val="18"/>
          <w:szCs w:val="18"/>
        </w:rPr>
        <w:t>万头，同比增加</w:t>
      </w:r>
      <w:r w:rsidRPr="005A284F">
        <w:rPr>
          <w:rFonts w:ascii="Times New Roman" w:hAnsi="Times New Roman" w:cs="Times New Roman"/>
          <w:sz w:val="18"/>
          <w:szCs w:val="18"/>
        </w:rPr>
        <w:t>14.5%</w:t>
      </w:r>
      <w:r w:rsidRPr="005A284F">
        <w:rPr>
          <w:rFonts w:ascii="Times New Roman" w:hAnsi="Times New Roman" w:cs="Times New Roman"/>
          <w:sz w:val="18"/>
          <w:szCs w:val="18"/>
        </w:rPr>
        <w:t>。农村农业部于</w:t>
      </w:r>
      <w:r w:rsidRPr="005A284F">
        <w:rPr>
          <w:rFonts w:ascii="Times New Roman" w:hAnsi="Times New Roman" w:cs="Times New Roman"/>
          <w:sz w:val="18"/>
          <w:szCs w:val="18"/>
        </w:rPr>
        <w:t>2024</w:t>
      </w:r>
      <w:r w:rsidRPr="005A284F">
        <w:rPr>
          <w:rFonts w:ascii="Times New Roman" w:hAnsi="Times New Roman" w:cs="Times New Roman"/>
          <w:sz w:val="18"/>
          <w:szCs w:val="18"/>
        </w:rPr>
        <w:t>年</w:t>
      </w:r>
      <w:r w:rsidRPr="005A284F">
        <w:rPr>
          <w:rFonts w:ascii="Times New Roman" w:hAnsi="Times New Roman" w:cs="Times New Roman"/>
          <w:sz w:val="18"/>
          <w:szCs w:val="18"/>
        </w:rPr>
        <w:t>12</w:t>
      </w:r>
      <w:r w:rsidRPr="005A284F">
        <w:rPr>
          <w:rFonts w:ascii="Times New Roman" w:hAnsi="Times New Roman" w:cs="Times New Roman"/>
          <w:sz w:val="18"/>
          <w:szCs w:val="18"/>
        </w:rPr>
        <w:t>月</w:t>
      </w:r>
      <w:r w:rsidRPr="005A284F">
        <w:rPr>
          <w:rFonts w:ascii="Times New Roman" w:hAnsi="Times New Roman" w:cs="Times New Roman"/>
          <w:sz w:val="18"/>
          <w:szCs w:val="18"/>
        </w:rPr>
        <w:t>24</w:t>
      </w:r>
      <w:r w:rsidRPr="005A284F">
        <w:rPr>
          <w:rFonts w:ascii="Times New Roman" w:hAnsi="Times New Roman" w:cs="Times New Roman"/>
          <w:sz w:val="18"/>
          <w:szCs w:val="18"/>
        </w:rPr>
        <w:t>日颁布《生猪定点屠宰厂（场）设置审查规定》，该规定自</w:t>
      </w:r>
      <w:r w:rsidRPr="005A284F">
        <w:rPr>
          <w:rFonts w:ascii="Times New Roman" w:hAnsi="Times New Roman" w:cs="Times New Roman"/>
          <w:sz w:val="18"/>
          <w:szCs w:val="18"/>
        </w:rPr>
        <w:t>2025</w:t>
      </w:r>
      <w:r w:rsidRPr="005A284F">
        <w:rPr>
          <w:rFonts w:ascii="Times New Roman" w:hAnsi="Times New Roman" w:cs="Times New Roman"/>
          <w:sz w:val="18"/>
          <w:szCs w:val="18"/>
        </w:rPr>
        <w:t>年</w:t>
      </w:r>
      <w:r w:rsidRPr="005A284F">
        <w:rPr>
          <w:rFonts w:ascii="Times New Roman" w:hAnsi="Times New Roman" w:cs="Times New Roman"/>
          <w:sz w:val="18"/>
          <w:szCs w:val="18"/>
        </w:rPr>
        <w:t>3</w:t>
      </w:r>
      <w:r w:rsidRPr="005A284F">
        <w:rPr>
          <w:rFonts w:ascii="Times New Roman" w:hAnsi="Times New Roman" w:cs="Times New Roman"/>
          <w:sz w:val="18"/>
          <w:szCs w:val="18"/>
        </w:rPr>
        <w:t>月</w:t>
      </w:r>
      <w:r w:rsidRPr="005A284F">
        <w:rPr>
          <w:rFonts w:ascii="Times New Roman" w:hAnsi="Times New Roman" w:cs="Times New Roman"/>
          <w:sz w:val="18"/>
          <w:szCs w:val="18"/>
        </w:rPr>
        <w:t>1</w:t>
      </w:r>
      <w:r w:rsidRPr="005A284F">
        <w:rPr>
          <w:rFonts w:ascii="Times New Roman" w:hAnsi="Times New Roman" w:cs="Times New Roman"/>
          <w:sz w:val="18"/>
          <w:szCs w:val="18"/>
        </w:rPr>
        <w:t>日起施行，进一步加强对生猪屠宰行业的管理，并增强了生猪产品的质量安全及人民身体健康。因此，在消费升级和政策调控的双重驱动下，行业集中度逐渐提升的同时也在加强对行业的监督管理，不断提高防疫、环保和食品安全等方面的要求。未来，大型屠宰企业将凭借规模、品牌、渠道、技术等优势在未来的发展中拥有更好的发展机遇。</w:t>
      </w:r>
    </w:p>
    <w:p w14:paraId="3F87819D" w14:textId="77777777" w:rsidR="000309B5" w:rsidRPr="005A284F" w:rsidRDefault="00000000" w:rsidP="005A284F">
      <w:pPr>
        <w:pStyle w:val="a3"/>
        <w:spacing w:before="0" w:beforeAutospacing="0" w:after="0" w:afterAutospacing="0" w:line="276" w:lineRule="auto"/>
        <w:ind w:firstLine="480"/>
        <w:jc w:val="both"/>
        <w:divId w:val="2076973112"/>
        <w:rPr>
          <w:rFonts w:ascii="Times New Roman" w:hAnsi="Times New Roman" w:cs="Times New Roman"/>
          <w:sz w:val="21"/>
          <w:szCs w:val="21"/>
        </w:rPr>
      </w:pPr>
      <w:r w:rsidRPr="005A284F">
        <w:rPr>
          <w:rFonts w:ascii="Times New Roman" w:hAnsi="Times New Roman" w:cs="Times New Roman"/>
          <w:sz w:val="18"/>
          <w:szCs w:val="18"/>
        </w:rPr>
        <w:t>（二）报告期内公司从事的主要业务</w:t>
      </w:r>
    </w:p>
    <w:p w14:paraId="4C844CC9" w14:textId="77777777" w:rsidR="000309B5" w:rsidRPr="005A284F" w:rsidRDefault="00000000" w:rsidP="005A284F">
      <w:pPr>
        <w:pStyle w:val="a3"/>
        <w:spacing w:before="0" w:beforeAutospacing="0" w:after="0" w:afterAutospacing="0" w:line="276" w:lineRule="auto"/>
        <w:ind w:firstLine="480"/>
        <w:jc w:val="both"/>
        <w:divId w:val="2076973112"/>
        <w:rPr>
          <w:rFonts w:ascii="Times New Roman" w:hAnsi="Times New Roman" w:cs="Times New Roman"/>
          <w:sz w:val="21"/>
          <w:szCs w:val="21"/>
        </w:rPr>
      </w:pPr>
      <w:r w:rsidRPr="005A284F">
        <w:rPr>
          <w:rFonts w:ascii="Times New Roman" w:hAnsi="Times New Roman" w:cs="Times New Roman"/>
          <w:sz w:val="18"/>
          <w:szCs w:val="18"/>
        </w:rPr>
        <w:t>报告期内，公司秉持</w:t>
      </w:r>
      <w:r w:rsidRPr="005A284F">
        <w:rPr>
          <w:rFonts w:ascii="Times New Roman" w:hAnsi="Times New Roman" w:cs="Times New Roman"/>
          <w:sz w:val="18"/>
          <w:szCs w:val="18"/>
        </w:rPr>
        <w:t>“</w:t>
      </w:r>
      <w:r w:rsidRPr="005A284F">
        <w:rPr>
          <w:rFonts w:ascii="Times New Roman" w:hAnsi="Times New Roman" w:cs="Times New Roman"/>
          <w:sz w:val="18"/>
          <w:szCs w:val="18"/>
        </w:rPr>
        <w:t>一体两翼</w:t>
      </w:r>
      <w:r w:rsidRPr="005A284F">
        <w:rPr>
          <w:rFonts w:ascii="Times New Roman" w:hAnsi="Times New Roman" w:cs="Times New Roman"/>
          <w:sz w:val="18"/>
          <w:szCs w:val="18"/>
        </w:rPr>
        <w:t>”</w:t>
      </w:r>
      <w:r w:rsidRPr="005A284F">
        <w:rPr>
          <w:rFonts w:ascii="Times New Roman" w:hAnsi="Times New Roman" w:cs="Times New Roman"/>
          <w:sz w:val="18"/>
          <w:szCs w:val="18"/>
        </w:rPr>
        <w:t>发展战略，以食品为主体，以养殖和屠宰为两翼支撑，致力于发展成为中国领先的食品企业，为中国人健康饮食提供高品质的系统解决方案。主要产品为预制食品（预制食材、预制半成品及预制成品）、熟食制品及鲜冻肉。报告期内，公司实现整体营业收入</w:t>
      </w:r>
      <w:r w:rsidRPr="005A284F">
        <w:rPr>
          <w:rFonts w:ascii="Times New Roman" w:hAnsi="Times New Roman" w:cs="Times New Roman"/>
          <w:sz w:val="18"/>
          <w:szCs w:val="18"/>
        </w:rPr>
        <w:t>49.75</w:t>
      </w:r>
      <w:r w:rsidRPr="005A284F">
        <w:rPr>
          <w:rFonts w:ascii="Times New Roman" w:hAnsi="Times New Roman" w:cs="Times New Roman"/>
          <w:sz w:val="18"/>
          <w:szCs w:val="18"/>
        </w:rPr>
        <w:t>亿元，归属于上市公司股东的净利润为</w:t>
      </w:r>
      <w:r w:rsidRPr="005A284F">
        <w:rPr>
          <w:rFonts w:ascii="Times New Roman" w:hAnsi="Times New Roman" w:cs="Times New Roman"/>
          <w:sz w:val="18"/>
          <w:szCs w:val="18"/>
        </w:rPr>
        <w:t>3,516.87</w:t>
      </w:r>
      <w:r w:rsidRPr="005A284F">
        <w:rPr>
          <w:rFonts w:ascii="Times New Roman" w:hAnsi="Times New Roman" w:cs="Times New Roman"/>
          <w:sz w:val="18"/>
          <w:szCs w:val="18"/>
        </w:rPr>
        <w:t>万元。</w:t>
      </w:r>
    </w:p>
    <w:p w14:paraId="0A829251" w14:textId="77777777" w:rsidR="000309B5" w:rsidRPr="005A284F" w:rsidRDefault="00000000" w:rsidP="005A284F">
      <w:pPr>
        <w:pStyle w:val="a3"/>
        <w:spacing w:before="0" w:beforeAutospacing="0" w:after="0" w:afterAutospacing="0" w:line="276" w:lineRule="auto"/>
        <w:ind w:firstLine="480"/>
        <w:jc w:val="both"/>
        <w:divId w:val="2076973112"/>
        <w:rPr>
          <w:rFonts w:ascii="Times New Roman" w:hAnsi="Times New Roman" w:cs="Times New Roman"/>
          <w:sz w:val="21"/>
          <w:szCs w:val="21"/>
        </w:rPr>
      </w:pPr>
      <w:r w:rsidRPr="005A284F">
        <w:rPr>
          <w:rFonts w:ascii="Times New Roman" w:hAnsi="Times New Roman" w:cs="Times New Roman"/>
          <w:sz w:val="18"/>
          <w:szCs w:val="18"/>
        </w:rPr>
        <w:t>1</w:t>
      </w:r>
      <w:r w:rsidRPr="005A284F">
        <w:rPr>
          <w:rFonts w:ascii="Times New Roman" w:hAnsi="Times New Roman" w:cs="Times New Roman"/>
          <w:sz w:val="18"/>
          <w:szCs w:val="18"/>
        </w:rPr>
        <w:t>、食品业务</w:t>
      </w:r>
    </w:p>
    <w:p w14:paraId="4E33D1FE" w14:textId="77777777" w:rsidR="000309B5" w:rsidRPr="005A284F" w:rsidRDefault="00000000" w:rsidP="005A284F">
      <w:pPr>
        <w:pStyle w:val="a3"/>
        <w:spacing w:before="0" w:beforeAutospacing="0" w:after="0" w:afterAutospacing="0" w:line="276" w:lineRule="auto"/>
        <w:ind w:firstLine="480"/>
        <w:jc w:val="both"/>
        <w:divId w:val="2076973112"/>
        <w:rPr>
          <w:rFonts w:ascii="Times New Roman" w:hAnsi="Times New Roman" w:cs="Times New Roman"/>
          <w:sz w:val="21"/>
          <w:szCs w:val="21"/>
        </w:rPr>
      </w:pPr>
      <w:r w:rsidRPr="005A284F">
        <w:rPr>
          <w:rFonts w:ascii="Times New Roman" w:hAnsi="Times New Roman" w:cs="Times New Roman"/>
          <w:sz w:val="18"/>
          <w:szCs w:val="18"/>
        </w:rPr>
        <w:lastRenderedPageBreak/>
        <w:t>公司食品业务主要包括预制食品和熟食制品的研发、生产和销售。公司立足山东、上海、四川三大食品研发中心，形成</w:t>
      </w:r>
      <w:r w:rsidRPr="005A284F">
        <w:rPr>
          <w:rFonts w:ascii="Times New Roman" w:hAnsi="Times New Roman" w:cs="Times New Roman"/>
          <w:sz w:val="18"/>
          <w:szCs w:val="18"/>
        </w:rPr>
        <w:t>“</w:t>
      </w:r>
      <w:r w:rsidRPr="005A284F">
        <w:rPr>
          <w:rFonts w:ascii="Times New Roman" w:hAnsi="Times New Roman" w:cs="Times New Roman"/>
          <w:sz w:val="18"/>
          <w:szCs w:val="18"/>
        </w:rPr>
        <w:t>三位一体</w:t>
      </w:r>
      <w:r w:rsidRPr="005A284F">
        <w:rPr>
          <w:rFonts w:ascii="Times New Roman" w:hAnsi="Times New Roman" w:cs="Times New Roman"/>
          <w:sz w:val="18"/>
          <w:szCs w:val="18"/>
        </w:rPr>
        <w:t>”</w:t>
      </w:r>
      <w:r w:rsidRPr="005A284F">
        <w:rPr>
          <w:rFonts w:ascii="Times New Roman" w:hAnsi="Times New Roman" w:cs="Times New Roman"/>
          <w:sz w:val="18"/>
          <w:szCs w:val="18"/>
        </w:rPr>
        <w:t>研发格局，以市场需求为导向，持续加大在产品设计、口味创新、质量控制、保鲜技术和加工工艺的投入，深度把握当地食品口味和客户的喜好程度，持续推进特色食品的主动研发。在生产上，公司聚焦战略路径的构建与夯实，基本实现华东、华北、西南、华中等区域的全覆盖及全国化的产能布局，目前共有食品加工厂</w:t>
      </w:r>
      <w:r w:rsidRPr="005A284F">
        <w:rPr>
          <w:rFonts w:ascii="Times New Roman" w:hAnsi="Times New Roman" w:cs="Times New Roman"/>
          <w:sz w:val="18"/>
          <w:szCs w:val="18"/>
        </w:rPr>
        <w:t>4</w:t>
      </w:r>
      <w:r w:rsidRPr="005A284F">
        <w:rPr>
          <w:rFonts w:ascii="Times New Roman" w:hAnsi="Times New Roman" w:cs="Times New Roman"/>
          <w:sz w:val="18"/>
          <w:szCs w:val="18"/>
        </w:rPr>
        <w:t>个，设计年加工产能</w:t>
      </w:r>
      <w:r w:rsidRPr="005A284F">
        <w:rPr>
          <w:rFonts w:ascii="Times New Roman" w:hAnsi="Times New Roman" w:cs="Times New Roman"/>
          <w:sz w:val="18"/>
          <w:szCs w:val="18"/>
        </w:rPr>
        <w:t>33</w:t>
      </w:r>
      <w:r w:rsidRPr="005A284F">
        <w:rPr>
          <w:rFonts w:ascii="Times New Roman" w:hAnsi="Times New Roman" w:cs="Times New Roman"/>
          <w:sz w:val="18"/>
          <w:szCs w:val="18"/>
        </w:rPr>
        <w:t>万吨。目前，公司已与海底捞、肯德基、麦当劳、西贝莜面村、荷美尔、半天妖、永辉、</w:t>
      </w:r>
      <w:r w:rsidRPr="005A284F">
        <w:rPr>
          <w:rFonts w:ascii="Times New Roman" w:hAnsi="Times New Roman" w:cs="Times New Roman"/>
          <w:sz w:val="18"/>
          <w:szCs w:val="18"/>
        </w:rPr>
        <w:t>TIM</w:t>
      </w:r>
      <w:r w:rsidRPr="005A284F">
        <w:rPr>
          <w:rFonts w:ascii="Times New Roman" w:hAnsi="Times New Roman" w:cs="Times New Roman"/>
          <w:sz w:val="18"/>
          <w:szCs w:val="18"/>
        </w:rPr>
        <w:t>咖啡、库迪等多个知名餐饮连锁企业、食品加工企业和大型连锁商超等客户建立了长期稳定的合作关系，成长为国内优秀的食品餐饮供应商之一。报告期内，公司实现食品销售收入</w:t>
      </w:r>
      <w:r w:rsidRPr="005A284F">
        <w:rPr>
          <w:rFonts w:ascii="Times New Roman" w:hAnsi="Times New Roman" w:cs="Times New Roman"/>
          <w:sz w:val="18"/>
          <w:szCs w:val="18"/>
        </w:rPr>
        <w:t>8.66</w:t>
      </w:r>
      <w:r w:rsidRPr="005A284F">
        <w:rPr>
          <w:rFonts w:ascii="Times New Roman" w:hAnsi="Times New Roman" w:cs="Times New Roman"/>
          <w:sz w:val="18"/>
          <w:szCs w:val="18"/>
        </w:rPr>
        <w:t>亿元，其中预制菜实现收入</w:t>
      </w:r>
      <w:r w:rsidRPr="005A284F">
        <w:rPr>
          <w:rFonts w:ascii="Times New Roman" w:hAnsi="Times New Roman" w:cs="Times New Roman"/>
          <w:sz w:val="18"/>
          <w:szCs w:val="18"/>
        </w:rPr>
        <w:t>7.83</w:t>
      </w:r>
      <w:r w:rsidRPr="005A284F">
        <w:rPr>
          <w:rFonts w:ascii="Times New Roman" w:hAnsi="Times New Roman" w:cs="Times New Roman"/>
          <w:sz w:val="18"/>
          <w:szCs w:val="18"/>
        </w:rPr>
        <w:t>亿元。</w:t>
      </w:r>
    </w:p>
    <w:p w14:paraId="350BC954" w14:textId="77777777" w:rsidR="000309B5" w:rsidRPr="005A284F" w:rsidRDefault="00000000" w:rsidP="005A284F">
      <w:pPr>
        <w:pStyle w:val="a3"/>
        <w:spacing w:before="0" w:beforeAutospacing="0" w:after="0" w:afterAutospacing="0" w:line="276" w:lineRule="auto"/>
        <w:ind w:firstLine="480"/>
        <w:jc w:val="both"/>
        <w:divId w:val="2076973112"/>
        <w:rPr>
          <w:rFonts w:ascii="Times New Roman" w:hAnsi="Times New Roman" w:cs="Times New Roman"/>
          <w:sz w:val="21"/>
          <w:szCs w:val="21"/>
        </w:rPr>
      </w:pPr>
      <w:r w:rsidRPr="005A284F">
        <w:rPr>
          <w:rFonts w:ascii="Times New Roman" w:hAnsi="Times New Roman" w:cs="Times New Roman"/>
          <w:sz w:val="18"/>
          <w:szCs w:val="18"/>
        </w:rPr>
        <w:t>2</w:t>
      </w:r>
      <w:r w:rsidRPr="005A284F">
        <w:rPr>
          <w:rFonts w:ascii="Times New Roman" w:hAnsi="Times New Roman" w:cs="Times New Roman"/>
          <w:sz w:val="18"/>
          <w:szCs w:val="18"/>
        </w:rPr>
        <w:t>、屠宰业务</w:t>
      </w:r>
    </w:p>
    <w:p w14:paraId="20375D01" w14:textId="77777777" w:rsidR="000309B5" w:rsidRPr="005A284F" w:rsidRDefault="00000000" w:rsidP="005A284F">
      <w:pPr>
        <w:pStyle w:val="a3"/>
        <w:spacing w:before="0" w:beforeAutospacing="0" w:after="0" w:afterAutospacing="0" w:line="276" w:lineRule="auto"/>
        <w:ind w:firstLine="480"/>
        <w:jc w:val="both"/>
        <w:divId w:val="2076973112"/>
        <w:rPr>
          <w:rFonts w:ascii="Times New Roman" w:hAnsi="Times New Roman" w:cs="Times New Roman"/>
          <w:sz w:val="21"/>
          <w:szCs w:val="21"/>
        </w:rPr>
      </w:pPr>
      <w:r w:rsidRPr="005A284F">
        <w:rPr>
          <w:rFonts w:ascii="Times New Roman" w:hAnsi="Times New Roman" w:cs="Times New Roman"/>
          <w:sz w:val="18"/>
          <w:szCs w:val="18"/>
        </w:rPr>
        <w:t>公司屠宰业务主要包括生猪屠宰及鲜冻肉的加工业务，目前公司拥有莱阳、聊城、潍坊、河南、巴中、安达等</w:t>
      </w:r>
      <w:r w:rsidRPr="005A284F">
        <w:rPr>
          <w:rFonts w:ascii="Times New Roman" w:hAnsi="Times New Roman" w:cs="Times New Roman"/>
          <w:sz w:val="18"/>
          <w:szCs w:val="18"/>
        </w:rPr>
        <w:t>8</w:t>
      </w:r>
      <w:r w:rsidRPr="005A284F">
        <w:rPr>
          <w:rFonts w:ascii="Times New Roman" w:hAnsi="Times New Roman" w:cs="Times New Roman"/>
          <w:sz w:val="18"/>
          <w:szCs w:val="18"/>
        </w:rPr>
        <w:t>个大型屠宰场。报告期内，屠宰生猪</w:t>
      </w:r>
      <w:r w:rsidRPr="005A284F">
        <w:rPr>
          <w:rFonts w:ascii="Times New Roman" w:hAnsi="Times New Roman" w:cs="Times New Roman"/>
          <w:sz w:val="18"/>
          <w:szCs w:val="18"/>
        </w:rPr>
        <w:t>246</w:t>
      </w:r>
      <w:r w:rsidRPr="005A284F">
        <w:rPr>
          <w:rFonts w:ascii="Times New Roman" w:hAnsi="Times New Roman" w:cs="Times New Roman"/>
          <w:sz w:val="18"/>
          <w:szCs w:val="18"/>
        </w:rPr>
        <w:t>万头。生猪是生产鲜冻肉的主要原材料，从生猪产品到鲜冻肉的加工完成需经过宰杀工序、劈脊工序、分割工序和包装工序。公司生猪屠宰线采用国际一流进口设备，全自动生猪屠宰，分割白条肉，以全封闭、无菌式的生产管理，保证出产产品完全符合国际化高标准的卫生要求。屠宰后的生猪迅速进行预冷排酸，使胴体温度降至</w:t>
      </w:r>
      <w:r w:rsidRPr="005A284F">
        <w:rPr>
          <w:rFonts w:ascii="Times New Roman" w:hAnsi="Times New Roman" w:cs="Times New Roman"/>
          <w:sz w:val="18"/>
          <w:szCs w:val="18"/>
        </w:rPr>
        <w:t>0-4</w:t>
      </w:r>
      <w:r w:rsidRPr="005A284F">
        <w:rPr>
          <w:rFonts w:ascii="Times New Roman" w:hAnsi="Times New Roman" w:cs="Times New Roman"/>
          <w:sz w:val="18"/>
          <w:szCs w:val="18"/>
        </w:rPr>
        <w:t>摄氏度，并在后续加工、物流、销售环节中始终保持这一温度，确保低温环境下的高安全系数，肌肉经过排酸软化质地柔软有弹性，食用更营养更鲜美。全程冷链直达终端销售，使微生物等菌类生长繁殖得到更有效控制，真正实现从养殖场到终端的全产业链、全程管控、全程可溯体系。报告期内，公司屠宰业务实现收入</w:t>
      </w:r>
      <w:r w:rsidRPr="005A284F">
        <w:rPr>
          <w:rFonts w:ascii="Times New Roman" w:hAnsi="Times New Roman" w:cs="Times New Roman"/>
          <w:sz w:val="18"/>
          <w:szCs w:val="18"/>
        </w:rPr>
        <w:t>40.73</w:t>
      </w:r>
      <w:r w:rsidRPr="005A284F">
        <w:rPr>
          <w:rFonts w:ascii="Times New Roman" w:hAnsi="Times New Roman" w:cs="Times New Roman"/>
          <w:sz w:val="18"/>
          <w:szCs w:val="18"/>
        </w:rPr>
        <w:t>亿元。</w:t>
      </w:r>
    </w:p>
    <w:p w14:paraId="06F7BFC4" w14:textId="77777777" w:rsidR="000309B5" w:rsidRPr="005A284F" w:rsidRDefault="00000000" w:rsidP="005A284F">
      <w:pPr>
        <w:pStyle w:val="a3"/>
        <w:spacing w:before="0" w:beforeAutospacing="0" w:after="0" w:afterAutospacing="0" w:line="276" w:lineRule="auto"/>
        <w:ind w:firstLine="480"/>
        <w:jc w:val="both"/>
        <w:divId w:val="2076973112"/>
        <w:rPr>
          <w:rFonts w:ascii="Times New Roman" w:hAnsi="Times New Roman" w:cs="Times New Roman"/>
          <w:sz w:val="21"/>
          <w:szCs w:val="21"/>
        </w:rPr>
      </w:pPr>
      <w:r w:rsidRPr="005A284F">
        <w:rPr>
          <w:rFonts w:ascii="Times New Roman" w:hAnsi="Times New Roman" w:cs="Times New Roman"/>
          <w:sz w:val="18"/>
          <w:szCs w:val="18"/>
        </w:rPr>
        <w:t>3</w:t>
      </w:r>
      <w:r w:rsidRPr="005A284F">
        <w:rPr>
          <w:rFonts w:ascii="Times New Roman" w:hAnsi="Times New Roman" w:cs="Times New Roman"/>
          <w:sz w:val="18"/>
          <w:szCs w:val="18"/>
        </w:rPr>
        <w:t>、养殖业务</w:t>
      </w:r>
    </w:p>
    <w:p w14:paraId="698471DB" w14:textId="77777777" w:rsidR="000309B5" w:rsidRPr="005A284F" w:rsidRDefault="00000000" w:rsidP="005A284F">
      <w:pPr>
        <w:pStyle w:val="a3"/>
        <w:spacing w:before="0" w:beforeAutospacing="0" w:after="0" w:afterAutospacing="0" w:line="276" w:lineRule="auto"/>
        <w:ind w:firstLine="480"/>
        <w:jc w:val="both"/>
        <w:divId w:val="2076973112"/>
        <w:rPr>
          <w:rFonts w:ascii="Times New Roman" w:hAnsi="Times New Roman" w:cs="Times New Roman"/>
          <w:sz w:val="21"/>
          <w:szCs w:val="21"/>
        </w:rPr>
      </w:pPr>
      <w:r w:rsidRPr="005A284F">
        <w:rPr>
          <w:rFonts w:ascii="Times New Roman" w:hAnsi="Times New Roman" w:cs="Times New Roman"/>
          <w:sz w:val="18"/>
          <w:szCs w:val="18"/>
        </w:rPr>
        <w:t>公司养殖业务主要定位于为食品业务把控原材料成本和满足大客户的溯源需求，并根据大客户的需要进行产能的动态调配。公司养殖业务主要采取</w:t>
      </w:r>
      <w:r w:rsidRPr="005A284F">
        <w:rPr>
          <w:rFonts w:ascii="Times New Roman" w:hAnsi="Times New Roman" w:cs="Times New Roman"/>
          <w:sz w:val="18"/>
          <w:szCs w:val="18"/>
        </w:rPr>
        <w:t>“</w:t>
      </w:r>
      <w:r w:rsidRPr="005A284F">
        <w:rPr>
          <w:rFonts w:ascii="Times New Roman" w:hAnsi="Times New Roman" w:cs="Times New Roman"/>
          <w:sz w:val="18"/>
          <w:szCs w:val="18"/>
        </w:rPr>
        <w:t>公司</w:t>
      </w:r>
      <w:r w:rsidRPr="005A284F">
        <w:rPr>
          <w:rFonts w:ascii="Times New Roman" w:hAnsi="Times New Roman" w:cs="Times New Roman"/>
          <w:sz w:val="18"/>
          <w:szCs w:val="18"/>
        </w:rPr>
        <w:t>+</w:t>
      </w:r>
      <w:r w:rsidRPr="005A284F">
        <w:rPr>
          <w:rFonts w:ascii="Times New Roman" w:hAnsi="Times New Roman" w:cs="Times New Roman"/>
          <w:sz w:val="18"/>
          <w:szCs w:val="18"/>
        </w:rPr>
        <w:t>农户</w:t>
      </w:r>
      <w:r w:rsidRPr="005A284F">
        <w:rPr>
          <w:rFonts w:ascii="Times New Roman" w:hAnsi="Times New Roman" w:cs="Times New Roman"/>
          <w:sz w:val="18"/>
          <w:szCs w:val="18"/>
        </w:rPr>
        <w:t>”</w:t>
      </w:r>
      <w:r w:rsidRPr="005A284F">
        <w:rPr>
          <w:rFonts w:ascii="Times New Roman" w:hAnsi="Times New Roman" w:cs="Times New Roman"/>
          <w:sz w:val="18"/>
          <w:szCs w:val="18"/>
        </w:rPr>
        <w:t>和公司自养两种养殖模式。在</w:t>
      </w:r>
      <w:r w:rsidRPr="005A284F">
        <w:rPr>
          <w:rFonts w:ascii="Times New Roman" w:hAnsi="Times New Roman" w:cs="Times New Roman"/>
          <w:sz w:val="18"/>
          <w:szCs w:val="18"/>
        </w:rPr>
        <w:t>“</w:t>
      </w:r>
      <w:r w:rsidRPr="005A284F">
        <w:rPr>
          <w:rFonts w:ascii="Times New Roman" w:hAnsi="Times New Roman" w:cs="Times New Roman"/>
          <w:sz w:val="18"/>
          <w:szCs w:val="18"/>
        </w:rPr>
        <w:t>公司</w:t>
      </w:r>
      <w:r w:rsidRPr="005A284F">
        <w:rPr>
          <w:rFonts w:ascii="Times New Roman" w:hAnsi="Times New Roman" w:cs="Times New Roman"/>
          <w:sz w:val="18"/>
          <w:szCs w:val="18"/>
        </w:rPr>
        <w:t>+</w:t>
      </w:r>
      <w:r w:rsidRPr="005A284F">
        <w:rPr>
          <w:rFonts w:ascii="Times New Roman" w:hAnsi="Times New Roman" w:cs="Times New Roman"/>
          <w:sz w:val="18"/>
          <w:szCs w:val="18"/>
        </w:rPr>
        <w:t>农户</w:t>
      </w:r>
      <w:r w:rsidRPr="005A284F">
        <w:rPr>
          <w:rFonts w:ascii="Times New Roman" w:hAnsi="Times New Roman" w:cs="Times New Roman"/>
          <w:sz w:val="18"/>
          <w:szCs w:val="18"/>
        </w:rPr>
        <w:t>”</w:t>
      </w:r>
      <w:r w:rsidRPr="005A284F">
        <w:rPr>
          <w:rFonts w:ascii="Times New Roman" w:hAnsi="Times New Roman" w:cs="Times New Roman"/>
          <w:sz w:val="18"/>
          <w:szCs w:val="18"/>
        </w:rPr>
        <w:t>的模式下，公司通过委托代养的方法与农户合作，委托模式采取统一规划、统一猪种、统一饲料、统一防疫、统一保健和统一检测全力保障生猪养殖品质。在公司自养的模式下，公司对养殖场实施完全控制，公司管理涵盖了从种猪到育肥猪的整个养殖过程。公司通过自建饲料公司，自产饲料进行生猪喂养，结合</w:t>
      </w:r>
      <w:r w:rsidRPr="005A284F">
        <w:rPr>
          <w:rFonts w:ascii="Times New Roman" w:hAnsi="Times New Roman" w:cs="Times New Roman"/>
          <w:sz w:val="18"/>
          <w:szCs w:val="18"/>
        </w:rPr>
        <w:t>“</w:t>
      </w:r>
      <w:r w:rsidRPr="005A284F">
        <w:rPr>
          <w:rFonts w:ascii="Times New Roman" w:hAnsi="Times New Roman" w:cs="Times New Roman"/>
          <w:sz w:val="18"/>
          <w:szCs w:val="18"/>
        </w:rPr>
        <w:t>全产业链</w:t>
      </w:r>
      <w:r w:rsidRPr="005A284F">
        <w:rPr>
          <w:rFonts w:ascii="Times New Roman" w:hAnsi="Times New Roman" w:cs="Times New Roman"/>
          <w:sz w:val="18"/>
          <w:szCs w:val="18"/>
        </w:rPr>
        <w:t>”</w:t>
      </w:r>
      <w:r w:rsidRPr="005A284F">
        <w:rPr>
          <w:rFonts w:ascii="Times New Roman" w:hAnsi="Times New Roman" w:cs="Times New Roman"/>
          <w:sz w:val="18"/>
          <w:szCs w:val="18"/>
        </w:rPr>
        <w:t>发展模式，通过全过程质量控制，为企业客户提供优质的产品供应和品质保障。同时养殖业务作为公司食品业务的支撑，可以降低原材料采购成本，提高公司盈利水平，降低周期影响。报告期内，公司生猪出栏量为</w:t>
      </w:r>
      <w:r w:rsidRPr="005A284F">
        <w:rPr>
          <w:rFonts w:ascii="Times New Roman" w:hAnsi="Times New Roman" w:cs="Times New Roman"/>
          <w:sz w:val="18"/>
          <w:szCs w:val="18"/>
        </w:rPr>
        <w:t>23.9</w:t>
      </w:r>
      <w:r w:rsidRPr="005A284F">
        <w:rPr>
          <w:rFonts w:ascii="Times New Roman" w:hAnsi="Times New Roman" w:cs="Times New Roman"/>
          <w:sz w:val="18"/>
          <w:szCs w:val="18"/>
        </w:rPr>
        <w:t>万头。</w:t>
      </w:r>
    </w:p>
    <w:p w14:paraId="34815011" w14:textId="59DAD753" w:rsidR="006C011D" w:rsidRPr="002F17CB" w:rsidRDefault="00000000" w:rsidP="002F17CB">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公司需遵守《深圳证券交易所上市公司自律监管指引第</w:t>
      </w: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号</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行业信息披露》中的</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食品及酒制造相关业务</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的披露要求</w:t>
      </w:r>
    </w:p>
    <w:p w14:paraId="5FE97DA8"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品牌运营情况</w:t>
      </w:r>
    </w:p>
    <w:p w14:paraId="1B867BF0" w14:textId="77777777" w:rsidR="000309B5" w:rsidRPr="005A284F" w:rsidRDefault="00000000" w:rsidP="005A284F">
      <w:pPr>
        <w:pStyle w:val="a3"/>
        <w:spacing w:before="0" w:beforeAutospacing="0" w:after="0" w:afterAutospacing="0"/>
        <w:ind w:firstLineChars="200" w:firstLine="360"/>
        <w:jc w:val="both"/>
        <w:divId w:val="501550448"/>
        <w:rPr>
          <w:rFonts w:ascii="Times New Roman" w:hAnsi="Times New Roman" w:cs="Times New Roman"/>
          <w:sz w:val="18"/>
          <w:szCs w:val="18"/>
        </w:rPr>
      </w:pPr>
      <w:r w:rsidRPr="005A284F">
        <w:rPr>
          <w:rFonts w:ascii="Times New Roman" w:hAnsi="Times New Roman" w:cs="Times New Roman"/>
          <w:sz w:val="18"/>
          <w:szCs w:val="18"/>
        </w:rPr>
        <w:t>报告期内，公司持续坚持</w:t>
      </w:r>
      <w:r w:rsidRPr="005A284F">
        <w:rPr>
          <w:rFonts w:ascii="Times New Roman" w:hAnsi="Times New Roman" w:cs="Times New Roman"/>
          <w:sz w:val="18"/>
          <w:szCs w:val="18"/>
        </w:rPr>
        <w:t>“</w:t>
      </w:r>
      <w:r w:rsidRPr="005A284F">
        <w:rPr>
          <w:rFonts w:ascii="Times New Roman" w:hAnsi="Times New Roman" w:cs="Times New Roman"/>
          <w:sz w:val="18"/>
          <w:szCs w:val="18"/>
        </w:rPr>
        <w:t>一体两翼</w:t>
      </w:r>
      <w:r w:rsidRPr="005A284F">
        <w:rPr>
          <w:rFonts w:ascii="Times New Roman" w:hAnsi="Times New Roman" w:cs="Times New Roman"/>
          <w:sz w:val="18"/>
          <w:szCs w:val="18"/>
        </w:rPr>
        <w:t>”</w:t>
      </w:r>
      <w:r w:rsidRPr="005A284F">
        <w:rPr>
          <w:rFonts w:ascii="Times New Roman" w:hAnsi="Times New Roman" w:cs="Times New Roman"/>
          <w:sz w:val="18"/>
          <w:szCs w:val="18"/>
        </w:rPr>
        <w:t>发展战略，围绕</w:t>
      </w:r>
      <w:r w:rsidRPr="005A284F">
        <w:rPr>
          <w:rFonts w:ascii="Times New Roman" w:hAnsi="Times New Roman" w:cs="Times New Roman"/>
          <w:sz w:val="18"/>
          <w:szCs w:val="18"/>
        </w:rPr>
        <w:t>“</w:t>
      </w:r>
      <w:r w:rsidRPr="005A284F">
        <w:rPr>
          <w:rFonts w:ascii="Times New Roman" w:hAnsi="Times New Roman" w:cs="Times New Roman"/>
          <w:sz w:val="18"/>
          <w:szCs w:val="18"/>
        </w:rPr>
        <w:t>贴近市场、以创新赋能产品体系、助力销售</w:t>
      </w:r>
      <w:r w:rsidRPr="005A284F">
        <w:rPr>
          <w:rFonts w:ascii="Times New Roman" w:hAnsi="Times New Roman" w:cs="Times New Roman"/>
          <w:sz w:val="18"/>
          <w:szCs w:val="18"/>
        </w:rPr>
        <w:t>”</w:t>
      </w:r>
      <w:r w:rsidRPr="005A284F">
        <w:rPr>
          <w:rFonts w:ascii="Times New Roman" w:hAnsi="Times New Roman" w:cs="Times New Roman"/>
          <w:sz w:val="18"/>
          <w:szCs w:val="18"/>
        </w:rPr>
        <w:t>展开工作。通过深度洞察市场，为销售提供精准方向；以创新赋能产品体系；打造</w:t>
      </w:r>
      <w:r w:rsidRPr="005A284F">
        <w:rPr>
          <w:rFonts w:ascii="Times New Roman" w:hAnsi="Times New Roman" w:cs="Times New Roman"/>
          <w:sz w:val="18"/>
          <w:szCs w:val="18"/>
        </w:rPr>
        <w:t>“</w:t>
      </w:r>
      <w:r w:rsidRPr="005A284F">
        <w:rPr>
          <w:rFonts w:ascii="Times New Roman" w:hAnsi="Times New Roman" w:cs="Times New Roman"/>
          <w:sz w:val="18"/>
          <w:szCs w:val="18"/>
        </w:rPr>
        <w:t>销售导向</w:t>
      </w:r>
      <w:r w:rsidRPr="005A284F">
        <w:rPr>
          <w:rFonts w:ascii="Times New Roman" w:hAnsi="Times New Roman" w:cs="Times New Roman"/>
          <w:sz w:val="18"/>
          <w:szCs w:val="18"/>
        </w:rPr>
        <w:t>”</w:t>
      </w:r>
      <w:r w:rsidRPr="005A284F">
        <w:rPr>
          <w:rFonts w:ascii="Times New Roman" w:hAnsi="Times New Roman" w:cs="Times New Roman"/>
          <w:sz w:val="18"/>
          <w:szCs w:val="18"/>
        </w:rPr>
        <w:t>的品牌内容与工具；同时联动销售团队，打通</w:t>
      </w:r>
      <w:r w:rsidRPr="005A284F">
        <w:rPr>
          <w:rFonts w:ascii="Times New Roman" w:hAnsi="Times New Roman" w:cs="Times New Roman"/>
          <w:sz w:val="18"/>
          <w:szCs w:val="18"/>
        </w:rPr>
        <w:t>“</w:t>
      </w:r>
      <w:r w:rsidRPr="005A284F">
        <w:rPr>
          <w:rFonts w:ascii="Times New Roman" w:hAnsi="Times New Roman" w:cs="Times New Roman"/>
          <w:sz w:val="18"/>
          <w:szCs w:val="18"/>
        </w:rPr>
        <w:t>品牌</w:t>
      </w:r>
      <w:r w:rsidRPr="005A284F">
        <w:rPr>
          <w:rFonts w:ascii="Times New Roman" w:hAnsi="Times New Roman" w:cs="Times New Roman"/>
          <w:sz w:val="18"/>
          <w:szCs w:val="18"/>
        </w:rPr>
        <w:t>-</w:t>
      </w:r>
      <w:r w:rsidRPr="005A284F">
        <w:rPr>
          <w:rFonts w:ascii="Times New Roman" w:hAnsi="Times New Roman" w:cs="Times New Roman"/>
          <w:sz w:val="18"/>
          <w:szCs w:val="18"/>
        </w:rPr>
        <w:t>销售</w:t>
      </w:r>
      <w:r w:rsidRPr="005A284F">
        <w:rPr>
          <w:rFonts w:ascii="Times New Roman" w:hAnsi="Times New Roman" w:cs="Times New Roman"/>
          <w:sz w:val="18"/>
          <w:szCs w:val="18"/>
        </w:rPr>
        <w:t>”</w:t>
      </w:r>
      <w:r w:rsidRPr="005A284F">
        <w:rPr>
          <w:rFonts w:ascii="Times New Roman" w:hAnsi="Times New Roman" w:cs="Times New Roman"/>
          <w:sz w:val="18"/>
          <w:szCs w:val="18"/>
        </w:rPr>
        <w:t>协同链路。公司品牌影响力与市场竞争力稳步提升。</w:t>
      </w:r>
    </w:p>
    <w:p w14:paraId="114D5ADE"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主要销售模式</w:t>
      </w:r>
    </w:p>
    <w:p w14:paraId="5FA39E5C" w14:textId="7F836810" w:rsidR="000309B5" w:rsidRPr="005A284F" w:rsidRDefault="00000000">
      <w:pPr>
        <w:pStyle w:val="a3"/>
        <w:spacing w:before="0" w:beforeAutospacing="0" w:after="0" w:afterAutospacing="0" w:line="276" w:lineRule="auto"/>
        <w:ind w:firstLine="360"/>
        <w:jc w:val="both"/>
        <w:divId w:val="1792165127"/>
        <w:rPr>
          <w:rFonts w:ascii="Times New Roman" w:hAnsi="Times New Roman" w:cs="Times New Roman"/>
        </w:rPr>
      </w:pPr>
      <w:r w:rsidRPr="005A284F">
        <w:rPr>
          <w:rFonts w:ascii="Times New Roman" w:hAnsi="Times New Roman" w:cs="Times New Roman"/>
          <w:sz w:val="18"/>
          <w:szCs w:val="18"/>
        </w:rPr>
        <w:t>公司销售模式以经销渠道为主。经销渠道占比</w:t>
      </w:r>
      <w:r w:rsidRPr="005A284F">
        <w:rPr>
          <w:rFonts w:ascii="Times New Roman" w:hAnsi="Times New Roman" w:cs="Times New Roman"/>
          <w:sz w:val="18"/>
          <w:szCs w:val="18"/>
        </w:rPr>
        <w:t>77.49%</w:t>
      </w:r>
      <w:r w:rsidRPr="005A284F">
        <w:rPr>
          <w:rFonts w:ascii="Times New Roman" w:hAnsi="Times New Roman" w:cs="Times New Roman"/>
          <w:sz w:val="18"/>
          <w:szCs w:val="18"/>
        </w:rPr>
        <w:t>，主要包括生鲜市场、冻品市场、农贸市场、中小型餐饮连锁和</w:t>
      </w:r>
      <w:r w:rsidRPr="005A284F">
        <w:rPr>
          <w:rFonts w:ascii="Times New Roman" w:hAnsi="Times New Roman" w:cs="Times New Roman"/>
          <w:sz w:val="18"/>
          <w:szCs w:val="18"/>
        </w:rPr>
        <w:t>BC</w:t>
      </w:r>
      <w:r w:rsidRPr="005A284F">
        <w:rPr>
          <w:rFonts w:ascii="Times New Roman" w:hAnsi="Times New Roman" w:cs="Times New Roman"/>
          <w:sz w:val="18"/>
          <w:szCs w:val="18"/>
        </w:rPr>
        <w:t>商超等。直营渠道占比</w:t>
      </w:r>
      <w:r w:rsidRPr="005A284F">
        <w:rPr>
          <w:rFonts w:ascii="Times New Roman" w:hAnsi="Times New Roman" w:cs="Times New Roman"/>
          <w:sz w:val="18"/>
          <w:szCs w:val="18"/>
        </w:rPr>
        <w:t>22.51%</w:t>
      </w:r>
      <w:r w:rsidRPr="005A284F">
        <w:rPr>
          <w:rFonts w:ascii="Times New Roman" w:hAnsi="Times New Roman" w:cs="Times New Roman"/>
          <w:sz w:val="18"/>
          <w:szCs w:val="18"/>
        </w:rPr>
        <w:t>，主要包括大型餐饮、食品加工企业、全国知名连锁商超、自营专卖店、线上新零售和特通渠道等。</w:t>
      </w:r>
    </w:p>
    <w:p w14:paraId="22FF139A"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经销模式</w:t>
      </w:r>
    </w:p>
    <w:p w14:paraId="2E9FCF2B" w14:textId="77777777" w:rsidR="006C011D" w:rsidRPr="005A284F" w:rsidRDefault="00000000">
      <w:pPr>
        <w:spacing w:before="100" w:after="100" w:line="240" w:lineRule="exact"/>
        <w:rPr>
          <w:rFonts w:ascii="宋体" w:eastAsia="宋体" w:hAnsi="宋体" w:cs="Times New Roman" w:hint="eastAsia"/>
          <w:sz w:val="18"/>
          <w:szCs w:val="18"/>
        </w:rPr>
      </w:pPr>
      <w:r w:rsidRPr="005A284F">
        <w:rPr>
          <w:rFonts w:ascii="宋体" w:eastAsia="宋体" w:hAnsi="宋体" w:cs="Times New Roman"/>
          <w:sz w:val="18"/>
          <w:szCs w:val="18"/>
        </w:rPr>
        <w:sym w:font="Wingdings 2" w:char="F052"/>
      </w:r>
      <w:r w:rsidRPr="005A284F">
        <w:rPr>
          <w:rFonts w:ascii="宋体" w:eastAsia="宋体" w:hAnsi="宋体" w:cs="Times New Roman"/>
          <w:sz w:val="18"/>
          <w:szCs w:val="18"/>
        </w:rPr>
        <w:t>适用 □不适用</w:t>
      </w:r>
    </w:p>
    <w:p w14:paraId="43DB5E64" w14:textId="6F3C2133" w:rsidR="000309B5" w:rsidRPr="005A284F" w:rsidRDefault="00000000">
      <w:pPr>
        <w:pStyle w:val="a3"/>
        <w:spacing w:before="0" w:beforeAutospacing="0" w:after="0" w:afterAutospacing="0" w:line="276" w:lineRule="auto"/>
        <w:ind w:firstLine="360"/>
        <w:jc w:val="both"/>
        <w:divId w:val="1439056627"/>
        <w:rPr>
          <w:rFonts w:ascii="Times New Roman" w:hAnsi="Times New Roman" w:cs="Times New Roman"/>
        </w:rPr>
      </w:pPr>
      <w:r w:rsidRPr="005A284F">
        <w:rPr>
          <w:rFonts w:ascii="Times New Roman" w:hAnsi="Times New Roman" w:cs="Times New Roman"/>
          <w:sz w:val="18"/>
          <w:szCs w:val="18"/>
        </w:rPr>
        <w:t>在公司全国化布局下，建立了以经销商为主的全国性销售网络。报告期内，公司前五大经销客户销售总额合计为</w:t>
      </w:r>
      <w:r w:rsidRPr="005A284F">
        <w:rPr>
          <w:rFonts w:ascii="Times New Roman" w:hAnsi="Times New Roman" w:cs="Times New Roman"/>
          <w:sz w:val="18"/>
          <w:szCs w:val="18"/>
        </w:rPr>
        <w:t>33</w:t>
      </w:r>
      <w:r w:rsidR="005A284F">
        <w:rPr>
          <w:rFonts w:ascii="Times New Roman" w:hAnsi="Times New Roman" w:cs="Times New Roman" w:hint="eastAsia"/>
          <w:sz w:val="18"/>
          <w:szCs w:val="18"/>
        </w:rPr>
        <w:t>,</w:t>
      </w:r>
      <w:r w:rsidRPr="005A284F">
        <w:rPr>
          <w:rFonts w:ascii="Times New Roman" w:hAnsi="Times New Roman" w:cs="Times New Roman"/>
          <w:sz w:val="18"/>
          <w:szCs w:val="18"/>
        </w:rPr>
        <w:t>348.87</w:t>
      </w:r>
      <w:r w:rsidRPr="005A284F">
        <w:rPr>
          <w:rFonts w:ascii="Times New Roman" w:hAnsi="Times New Roman" w:cs="Times New Roman"/>
          <w:sz w:val="18"/>
          <w:szCs w:val="18"/>
        </w:rPr>
        <w:t>万元，占公司营业收入的</w:t>
      </w:r>
      <w:r w:rsidRPr="005A284F">
        <w:rPr>
          <w:rFonts w:ascii="Times New Roman" w:hAnsi="Times New Roman" w:cs="Times New Roman"/>
          <w:sz w:val="18"/>
          <w:szCs w:val="18"/>
        </w:rPr>
        <w:t>6.70%</w:t>
      </w:r>
      <w:r w:rsidRPr="005A284F">
        <w:rPr>
          <w:rFonts w:ascii="Times New Roman" w:hAnsi="Times New Roman" w:cs="Times New Roman"/>
          <w:sz w:val="18"/>
          <w:szCs w:val="18"/>
        </w:rPr>
        <w:t>，截至本报告期末，公司前五大经销商客户应收账款合计为</w:t>
      </w:r>
      <w:r w:rsidRPr="005A284F">
        <w:rPr>
          <w:rFonts w:ascii="Times New Roman" w:hAnsi="Times New Roman" w:cs="Times New Roman"/>
          <w:sz w:val="18"/>
          <w:szCs w:val="18"/>
        </w:rPr>
        <w:t>4</w:t>
      </w:r>
      <w:r w:rsidR="00A55F3B">
        <w:rPr>
          <w:rFonts w:ascii="Times New Roman" w:hAnsi="Times New Roman" w:cs="Times New Roman" w:hint="eastAsia"/>
          <w:sz w:val="18"/>
          <w:szCs w:val="18"/>
        </w:rPr>
        <w:t>,</w:t>
      </w:r>
      <w:r w:rsidRPr="005A284F">
        <w:rPr>
          <w:rFonts w:ascii="Times New Roman" w:hAnsi="Times New Roman" w:cs="Times New Roman"/>
          <w:sz w:val="18"/>
          <w:szCs w:val="18"/>
        </w:rPr>
        <w:t>460.31</w:t>
      </w:r>
      <w:r w:rsidRPr="005A284F">
        <w:rPr>
          <w:rFonts w:ascii="Times New Roman" w:hAnsi="Times New Roman" w:cs="Times New Roman"/>
          <w:sz w:val="18"/>
          <w:szCs w:val="18"/>
        </w:rPr>
        <w:t>万元。按产品分类的营业收入、营业成本、毛利率及同比变动情况见</w:t>
      </w:r>
      <w:r w:rsidRPr="005A284F">
        <w:rPr>
          <w:rFonts w:ascii="Times New Roman" w:hAnsi="Times New Roman" w:cs="Times New Roman"/>
          <w:sz w:val="18"/>
          <w:szCs w:val="18"/>
        </w:rPr>
        <w:t>“</w:t>
      </w:r>
      <w:r w:rsidRPr="005A284F">
        <w:rPr>
          <w:rFonts w:ascii="Times New Roman" w:hAnsi="Times New Roman" w:cs="Times New Roman"/>
          <w:sz w:val="18"/>
          <w:szCs w:val="18"/>
        </w:rPr>
        <w:t>管理层讨论与分析</w:t>
      </w:r>
      <w:r w:rsidRPr="005A284F">
        <w:rPr>
          <w:rFonts w:ascii="Times New Roman" w:hAnsi="Times New Roman" w:cs="Times New Roman"/>
          <w:sz w:val="18"/>
          <w:szCs w:val="18"/>
        </w:rPr>
        <w:t>”</w:t>
      </w:r>
      <w:r w:rsidRPr="005A284F">
        <w:rPr>
          <w:rFonts w:ascii="Times New Roman" w:hAnsi="Times New Roman" w:cs="Times New Roman"/>
          <w:sz w:val="18"/>
          <w:szCs w:val="18"/>
        </w:rPr>
        <w:t>中</w:t>
      </w:r>
      <w:r w:rsidRPr="005A284F">
        <w:rPr>
          <w:rFonts w:ascii="Times New Roman" w:hAnsi="Times New Roman" w:cs="Times New Roman"/>
          <w:sz w:val="18"/>
          <w:szCs w:val="18"/>
        </w:rPr>
        <w:t>“</w:t>
      </w:r>
      <w:r w:rsidRPr="005A284F">
        <w:rPr>
          <w:rFonts w:ascii="Times New Roman" w:hAnsi="Times New Roman" w:cs="Times New Roman"/>
          <w:sz w:val="18"/>
          <w:szCs w:val="18"/>
        </w:rPr>
        <w:t>主营业务分析</w:t>
      </w:r>
      <w:r w:rsidRPr="005A284F">
        <w:rPr>
          <w:rFonts w:ascii="Times New Roman" w:hAnsi="Times New Roman" w:cs="Times New Roman"/>
          <w:sz w:val="18"/>
          <w:szCs w:val="18"/>
        </w:rPr>
        <w:t>”</w:t>
      </w:r>
      <w:r w:rsidRPr="005A284F">
        <w:rPr>
          <w:rFonts w:ascii="Times New Roman" w:hAnsi="Times New Roman" w:cs="Times New Roman"/>
          <w:sz w:val="18"/>
          <w:szCs w:val="18"/>
        </w:rPr>
        <w:t>。</w:t>
      </w:r>
    </w:p>
    <w:p w14:paraId="51C0FDE4"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门店销售终端占比超过</w:t>
      </w:r>
      <w:r w:rsidRPr="005A284F">
        <w:rPr>
          <w:rFonts w:ascii="Times New Roman" w:eastAsia="宋体" w:hAnsi="Times New Roman" w:cs="Times New Roman"/>
          <w:sz w:val="18"/>
          <w:szCs w:val="18"/>
        </w:rPr>
        <w:t>10%</w:t>
      </w:r>
    </w:p>
    <w:p w14:paraId="73D8EC51" w14:textId="77777777" w:rsidR="006C011D" w:rsidRPr="005A284F" w:rsidRDefault="00000000">
      <w:pPr>
        <w:spacing w:before="100" w:after="100" w:line="240" w:lineRule="exact"/>
        <w:rPr>
          <w:rFonts w:ascii="宋体" w:eastAsia="宋体" w:hAnsi="宋体" w:cs="Times New Roman" w:hint="eastAsia"/>
          <w:sz w:val="18"/>
          <w:szCs w:val="18"/>
        </w:rPr>
      </w:pPr>
      <w:r w:rsidRPr="005A284F">
        <w:rPr>
          <w:rFonts w:ascii="宋体" w:eastAsia="宋体" w:hAnsi="宋体" w:cs="Times New Roman"/>
          <w:sz w:val="18"/>
          <w:szCs w:val="18"/>
        </w:rPr>
        <w:lastRenderedPageBreak/>
        <w:t xml:space="preserve">□适用 </w:t>
      </w:r>
      <w:r w:rsidRPr="005A284F">
        <w:rPr>
          <w:rFonts w:ascii="宋体" w:eastAsia="宋体" w:hAnsi="宋体" w:cs="Times New Roman"/>
          <w:sz w:val="18"/>
          <w:szCs w:val="18"/>
        </w:rPr>
        <w:sym w:font="Wingdings 2" w:char="F052"/>
      </w:r>
      <w:r w:rsidRPr="005A284F">
        <w:rPr>
          <w:rFonts w:ascii="宋体" w:eastAsia="宋体" w:hAnsi="宋体" w:cs="Times New Roman"/>
          <w:sz w:val="18"/>
          <w:szCs w:val="18"/>
        </w:rPr>
        <w:t>不适用</w:t>
      </w:r>
    </w:p>
    <w:p w14:paraId="63EECD1E"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线上直销销售</w:t>
      </w:r>
    </w:p>
    <w:p w14:paraId="5B3FF51A" w14:textId="77777777" w:rsidR="006C011D" w:rsidRPr="005A284F" w:rsidRDefault="00000000">
      <w:pPr>
        <w:spacing w:before="100" w:after="100" w:line="240" w:lineRule="exact"/>
        <w:rPr>
          <w:rFonts w:ascii="宋体" w:eastAsia="宋体" w:hAnsi="宋体" w:cs="Times New Roman" w:hint="eastAsia"/>
          <w:sz w:val="18"/>
          <w:szCs w:val="18"/>
        </w:rPr>
      </w:pPr>
      <w:r w:rsidRPr="005A284F">
        <w:rPr>
          <w:rFonts w:ascii="宋体" w:eastAsia="宋体" w:hAnsi="宋体" w:cs="Times New Roman"/>
          <w:sz w:val="18"/>
          <w:szCs w:val="18"/>
        </w:rPr>
        <w:sym w:font="Wingdings 2" w:char="F052"/>
      </w:r>
      <w:r w:rsidRPr="005A284F">
        <w:rPr>
          <w:rFonts w:ascii="宋体" w:eastAsia="宋体" w:hAnsi="宋体" w:cs="Times New Roman"/>
          <w:sz w:val="18"/>
          <w:szCs w:val="18"/>
        </w:rPr>
        <w:t>适用 □不适用</w:t>
      </w:r>
    </w:p>
    <w:p w14:paraId="3FAAD44A" w14:textId="77777777" w:rsidR="000309B5" w:rsidRPr="005A284F" w:rsidRDefault="00000000">
      <w:pPr>
        <w:pStyle w:val="a3"/>
        <w:ind w:firstLine="360"/>
        <w:divId w:val="1690332539"/>
        <w:rPr>
          <w:rFonts w:ascii="Times New Roman" w:hAnsi="Times New Roman" w:cs="Times New Roman"/>
        </w:rPr>
      </w:pPr>
      <w:r w:rsidRPr="005A284F">
        <w:rPr>
          <w:rFonts w:ascii="Times New Roman" w:hAnsi="Times New Roman" w:cs="Times New Roman"/>
          <w:sz w:val="18"/>
          <w:szCs w:val="18"/>
        </w:rPr>
        <w:t>公司线上销售主要依托京东、抖音、快手、拼多多、美团快驴、微商城、美菜、私域、天猫、视频号等</w:t>
      </w:r>
      <w:r w:rsidRPr="005A284F">
        <w:rPr>
          <w:rFonts w:ascii="Times New Roman" w:hAnsi="Times New Roman" w:cs="Times New Roman"/>
          <w:sz w:val="18"/>
          <w:szCs w:val="18"/>
        </w:rPr>
        <w:t>10</w:t>
      </w:r>
      <w:r w:rsidRPr="005A284F">
        <w:rPr>
          <w:rFonts w:ascii="Times New Roman" w:hAnsi="Times New Roman" w:cs="Times New Roman"/>
          <w:sz w:val="18"/>
          <w:szCs w:val="18"/>
        </w:rPr>
        <w:t>余个线上平台进行销售，</w:t>
      </w:r>
      <w:r w:rsidRPr="005A284F">
        <w:rPr>
          <w:rFonts w:ascii="Times New Roman" w:hAnsi="Times New Roman" w:cs="Times New Roman"/>
          <w:sz w:val="18"/>
          <w:szCs w:val="18"/>
        </w:rPr>
        <w:t>2025</w:t>
      </w:r>
      <w:r w:rsidRPr="005A284F">
        <w:rPr>
          <w:rFonts w:ascii="Times New Roman" w:hAnsi="Times New Roman" w:cs="Times New Roman"/>
          <w:sz w:val="18"/>
          <w:szCs w:val="18"/>
        </w:rPr>
        <w:t>年上半年线上销售额较去年同期增加</w:t>
      </w:r>
      <w:r w:rsidRPr="005A284F">
        <w:rPr>
          <w:rFonts w:ascii="Times New Roman" w:hAnsi="Times New Roman" w:cs="Times New Roman"/>
          <w:sz w:val="18"/>
          <w:szCs w:val="18"/>
        </w:rPr>
        <w:t>44.98%</w:t>
      </w:r>
      <w:r w:rsidRPr="005A284F">
        <w:rPr>
          <w:rFonts w:ascii="Times New Roman" w:hAnsi="Times New Roman" w:cs="Times New Roman"/>
          <w:sz w:val="18"/>
          <w:szCs w:val="18"/>
        </w:rPr>
        <w:t>。线上销售产品主要涵盖公司预制食材、预制半成品、预制成品等预制菜系列产品和低温火腿、老式火腿、烤肠等熟食类制品以及鲜冻肉系列产品。</w:t>
      </w:r>
    </w:p>
    <w:p w14:paraId="179EFFAA"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占当期营业收入总额</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以上的主要产品销售价格较上一报告期的变动幅度超过</w:t>
      </w:r>
      <w:r w:rsidRPr="005A284F">
        <w:rPr>
          <w:rFonts w:ascii="Times New Roman" w:eastAsia="宋体" w:hAnsi="Times New Roman" w:cs="Times New Roman"/>
          <w:sz w:val="18"/>
          <w:szCs w:val="18"/>
        </w:rPr>
        <w:t>30%</w:t>
      </w:r>
    </w:p>
    <w:p w14:paraId="49C2DBFF" w14:textId="77777777" w:rsidR="006C011D" w:rsidRPr="005A284F" w:rsidRDefault="00000000">
      <w:pPr>
        <w:spacing w:before="100" w:after="100" w:line="240" w:lineRule="exact"/>
        <w:rPr>
          <w:rFonts w:ascii="宋体" w:eastAsia="宋体" w:hAnsi="宋体" w:cs="Times New Roman" w:hint="eastAsia"/>
          <w:sz w:val="18"/>
          <w:szCs w:val="18"/>
        </w:rPr>
      </w:pPr>
      <w:r w:rsidRPr="005A284F">
        <w:rPr>
          <w:rFonts w:ascii="宋体" w:eastAsia="宋体" w:hAnsi="宋体" w:cs="Times New Roman"/>
          <w:sz w:val="18"/>
          <w:szCs w:val="18"/>
        </w:rPr>
        <w:t xml:space="preserve">□适用 </w:t>
      </w:r>
      <w:r w:rsidRPr="005A284F">
        <w:rPr>
          <w:rFonts w:ascii="宋体" w:eastAsia="宋体" w:hAnsi="宋体" w:cs="Times New Roman"/>
          <w:sz w:val="18"/>
          <w:szCs w:val="18"/>
        </w:rPr>
        <w:sym w:font="Wingdings 2" w:char="F052"/>
      </w:r>
      <w:r w:rsidRPr="005A284F">
        <w:rPr>
          <w:rFonts w:ascii="宋体" w:eastAsia="宋体" w:hAnsi="宋体" w:cs="Times New Roman"/>
          <w:sz w:val="18"/>
          <w:szCs w:val="18"/>
        </w:rPr>
        <w:t>不适用</w:t>
      </w:r>
    </w:p>
    <w:p w14:paraId="537EAB2A"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采购模式及采购内容</w:t>
      </w:r>
    </w:p>
    <w:p w14:paraId="3D7948D1" w14:textId="77777777" w:rsidR="006C011D" w:rsidRPr="005A284F" w:rsidRDefault="00000000">
      <w:pPr>
        <w:spacing w:before="120" w:after="12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23EFF65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EB5C9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采购模式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4C889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采购内容</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21D4D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主要采购内容的金额</w:t>
            </w:r>
          </w:p>
        </w:tc>
      </w:tr>
      <w:tr w:rsidR="006C011D" w:rsidRPr="005A284F" w14:paraId="1B513D6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7CAD34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合同</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按需采购</w:t>
            </w:r>
          </w:p>
        </w:tc>
        <w:tc>
          <w:tcPr>
            <w:tcW w:w="3213" w:type="dxa"/>
            <w:tcBorders>
              <w:top w:val="single" w:sz="2" w:space="0" w:color="auto"/>
              <w:left w:val="single" w:sz="2" w:space="0" w:color="auto"/>
              <w:bottom w:val="single" w:sz="2" w:space="0" w:color="auto"/>
              <w:right w:val="single" w:sz="2" w:space="0" w:color="auto"/>
            </w:tcBorders>
            <w:vAlign w:val="center"/>
          </w:tcPr>
          <w:p w14:paraId="4B17486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原材料</w:t>
            </w:r>
          </w:p>
        </w:tc>
        <w:tc>
          <w:tcPr>
            <w:tcW w:w="3213" w:type="dxa"/>
            <w:tcBorders>
              <w:top w:val="single" w:sz="2" w:space="0" w:color="auto"/>
              <w:left w:val="single" w:sz="2" w:space="0" w:color="auto"/>
              <w:bottom w:val="single" w:sz="2" w:space="0" w:color="auto"/>
              <w:right w:val="single" w:sz="2" w:space="0" w:color="auto"/>
            </w:tcBorders>
            <w:vAlign w:val="center"/>
          </w:tcPr>
          <w:p w14:paraId="5742089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4,428,997,952.73</w:t>
            </w:r>
          </w:p>
        </w:tc>
      </w:tr>
      <w:tr w:rsidR="006C011D" w:rsidRPr="005A284F" w14:paraId="37E2361E"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6ADBED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合同</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按需采购</w:t>
            </w:r>
          </w:p>
        </w:tc>
        <w:tc>
          <w:tcPr>
            <w:tcW w:w="3213" w:type="dxa"/>
            <w:tcBorders>
              <w:top w:val="single" w:sz="2" w:space="0" w:color="auto"/>
              <w:left w:val="single" w:sz="2" w:space="0" w:color="auto"/>
              <w:bottom w:val="single" w:sz="2" w:space="0" w:color="auto"/>
              <w:right w:val="single" w:sz="2" w:space="0" w:color="auto"/>
            </w:tcBorders>
            <w:vAlign w:val="center"/>
          </w:tcPr>
          <w:p w14:paraId="227EDB7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燃料和动力</w:t>
            </w:r>
          </w:p>
        </w:tc>
        <w:tc>
          <w:tcPr>
            <w:tcW w:w="3213" w:type="dxa"/>
            <w:tcBorders>
              <w:top w:val="single" w:sz="2" w:space="0" w:color="auto"/>
              <w:left w:val="single" w:sz="2" w:space="0" w:color="auto"/>
              <w:bottom w:val="single" w:sz="2" w:space="0" w:color="auto"/>
              <w:right w:val="single" w:sz="2" w:space="0" w:color="auto"/>
            </w:tcBorders>
            <w:vAlign w:val="center"/>
          </w:tcPr>
          <w:p w14:paraId="77B6B8F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52,170,791.80</w:t>
            </w:r>
          </w:p>
        </w:tc>
      </w:tr>
    </w:tbl>
    <w:p w14:paraId="7C42EFD7"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向合作社或农户采购原材料占采购总金额比例超过</w:t>
      </w:r>
      <w:r w:rsidRPr="005A284F">
        <w:rPr>
          <w:rFonts w:ascii="Times New Roman" w:eastAsia="宋体" w:hAnsi="Times New Roman" w:cs="Times New Roman"/>
          <w:sz w:val="18"/>
          <w:szCs w:val="18"/>
        </w:rPr>
        <w:t>30%</w:t>
      </w:r>
    </w:p>
    <w:p w14:paraId="2EF80E3B" w14:textId="77777777" w:rsidR="006C011D" w:rsidRPr="005A284F" w:rsidRDefault="00000000">
      <w:pPr>
        <w:spacing w:before="100" w:after="100" w:line="240" w:lineRule="exact"/>
        <w:rPr>
          <w:rFonts w:ascii="宋体" w:eastAsia="宋体" w:hAnsi="宋体" w:cs="Times New Roman" w:hint="eastAsia"/>
          <w:sz w:val="18"/>
          <w:szCs w:val="18"/>
        </w:rPr>
      </w:pPr>
      <w:r w:rsidRPr="005A284F">
        <w:rPr>
          <w:rFonts w:ascii="宋体" w:eastAsia="宋体" w:hAnsi="宋体" w:cs="Times New Roman"/>
          <w:sz w:val="18"/>
          <w:szCs w:val="18"/>
        </w:rPr>
        <w:t xml:space="preserve">□适用 </w:t>
      </w:r>
      <w:r w:rsidRPr="005A284F">
        <w:rPr>
          <w:rFonts w:ascii="宋体" w:eastAsia="宋体" w:hAnsi="宋体" w:cs="Times New Roman"/>
          <w:sz w:val="18"/>
          <w:szCs w:val="18"/>
        </w:rPr>
        <w:sym w:font="Wingdings 2" w:char="F052"/>
      </w:r>
      <w:r w:rsidRPr="005A284F">
        <w:rPr>
          <w:rFonts w:ascii="宋体" w:eastAsia="宋体" w:hAnsi="宋体" w:cs="Times New Roman"/>
          <w:sz w:val="18"/>
          <w:szCs w:val="18"/>
        </w:rPr>
        <w:t>不适用</w:t>
      </w:r>
    </w:p>
    <w:p w14:paraId="7D46C279"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主要外购原材料价格同比变动超过</w:t>
      </w:r>
      <w:r w:rsidRPr="005A284F">
        <w:rPr>
          <w:rFonts w:ascii="Times New Roman" w:eastAsia="宋体" w:hAnsi="Times New Roman" w:cs="Times New Roman"/>
          <w:sz w:val="18"/>
          <w:szCs w:val="18"/>
        </w:rPr>
        <w:t>30%</w:t>
      </w:r>
    </w:p>
    <w:p w14:paraId="1E9FA261" w14:textId="77777777" w:rsidR="006C011D" w:rsidRPr="005A284F" w:rsidRDefault="00000000" w:rsidP="005A284F">
      <w:pPr>
        <w:spacing w:before="100" w:after="100" w:line="240" w:lineRule="exact"/>
        <w:rPr>
          <w:rFonts w:ascii="宋体" w:eastAsia="宋体" w:hAnsi="宋体" w:cs="Times New Roman" w:hint="eastAsia"/>
          <w:sz w:val="18"/>
          <w:szCs w:val="18"/>
        </w:rPr>
      </w:pPr>
      <w:r w:rsidRPr="005A284F">
        <w:rPr>
          <w:rFonts w:ascii="宋体" w:eastAsia="宋体" w:hAnsi="宋体" w:cs="Times New Roman"/>
          <w:sz w:val="18"/>
          <w:szCs w:val="18"/>
        </w:rPr>
        <w:t xml:space="preserve">□适用 </w:t>
      </w:r>
      <w:r w:rsidRPr="005A284F">
        <w:rPr>
          <w:rFonts w:ascii="宋体" w:eastAsia="宋体" w:hAnsi="宋体" w:cs="Times New Roman"/>
          <w:sz w:val="18"/>
          <w:szCs w:val="18"/>
        </w:rPr>
        <w:sym w:font="Wingdings 2" w:char="F052"/>
      </w:r>
      <w:r w:rsidRPr="005A284F">
        <w:rPr>
          <w:rFonts w:ascii="宋体" w:eastAsia="宋体" w:hAnsi="宋体" w:cs="Times New Roman"/>
          <w:sz w:val="18"/>
          <w:szCs w:val="18"/>
        </w:rPr>
        <w:t>不适用</w:t>
      </w:r>
    </w:p>
    <w:p w14:paraId="6D2537FB"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主要生产模式</w:t>
      </w:r>
    </w:p>
    <w:p w14:paraId="47E182BB" w14:textId="77777777" w:rsidR="000309B5" w:rsidRPr="005A284F" w:rsidRDefault="00000000" w:rsidP="005A284F">
      <w:pPr>
        <w:pStyle w:val="a3"/>
        <w:spacing w:line="276" w:lineRule="auto"/>
        <w:ind w:firstLineChars="200" w:firstLine="360"/>
        <w:jc w:val="both"/>
        <w:divId w:val="765658931"/>
        <w:rPr>
          <w:rFonts w:ascii="Times New Roman" w:hAnsi="Times New Roman" w:cs="Times New Roman"/>
          <w:sz w:val="18"/>
          <w:szCs w:val="18"/>
        </w:rPr>
      </w:pPr>
      <w:r w:rsidRPr="005A284F">
        <w:rPr>
          <w:rFonts w:ascii="Times New Roman" w:hAnsi="Times New Roman" w:cs="Times New Roman"/>
          <w:sz w:val="18"/>
          <w:szCs w:val="18"/>
        </w:rPr>
        <w:t>公司实行</w:t>
      </w:r>
      <w:r w:rsidRPr="005A284F">
        <w:rPr>
          <w:rFonts w:ascii="Times New Roman" w:hAnsi="Times New Roman" w:cs="Times New Roman"/>
          <w:sz w:val="18"/>
          <w:szCs w:val="18"/>
        </w:rPr>
        <w:t>“</w:t>
      </w:r>
      <w:r w:rsidRPr="005A284F">
        <w:rPr>
          <w:rFonts w:ascii="Times New Roman" w:hAnsi="Times New Roman" w:cs="Times New Roman"/>
          <w:sz w:val="18"/>
          <w:szCs w:val="18"/>
        </w:rPr>
        <w:t>以销定产</w:t>
      </w:r>
      <w:r w:rsidRPr="005A284F">
        <w:rPr>
          <w:rFonts w:ascii="Times New Roman" w:hAnsi="Times New Roman" w:cs="Times New Roman"/>
          <w:sz w:val="18"/>
          <w:szCs w:val="18"/>
        </w:rPr>
        <w:t>”</w:t>
      </w:r>
      <w:r w:rsidRPr="005A284F">
        <w:rPr>
          <w:rFonts w:ascii="Times New Roman" w:hAnsi="Times New Roman" w:cs="Times New Roman"/>
          <w:sz w:val="18"/>
          <w:szCs w:val="18"/>
        </w:rPr>
        <w:t>经营模式，主要涉及预制食品、肉制品和鲜冻肉生产等板块，并根据市场订单、产品库存及市场预测情况等合理制定生产计划。公司主要产品以自产为主，由公司采购原辅料、包材等，在自有厂区生产加工。在实际生产过程中，基于对市场的把控和客户的实际需求进行订单预测，由销售部门提报产品需求，通过系统计算用料需求，导出理论采购量，同时分析原辅料库存、各车间领用及请购情况，下达原辅物料采购计划给采购部，下达生产计划给生产部。</w:t>
      </w:r>
    </w:p>
    <w:p w14:paraId="3161252A"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委托加工生产</w:t>
      </w:r>
    </w:p>
    <w:p w14:paraId="76DB7EF1" w14:textId="77777777" w:rsidR="006C011D" w:rsidRPr="005A284F" w:rsidRDefault="00000000">
      <w:pPr>
        <w:spacing w:before="100" w:after="100" w:line="240" w:lineRule="exact"/>
        <w:rPr>
          <w:rFonts w:ascii="宋体" w:eastAsia="宋体" w:hAnsi="宋体" w:cs="Times New Roman" w:hint="eastAsia"/>
          <w:sz w:val="18"/>
          <w:szCs w:val="18"/>
        </w:rPr>
      </w:pPr>
      <w:r w:rsidRPr="005A284F">
        <w:rPr>
          <w:rFonts w:ascii="宋体" w:eastAsia="宋体" w:hAnsi="宋体" w:cs="Times New Roman"/>
          <w:sz w:val="18"/>
          <w:szCs w:val="18"/>
        </w:rPr>
        <w:t xml:space="preserve">□适用 </w:t>
      </w:r>
      <w:r w:rsidRPr="005A284F">
        <w:rPr>
          <w:rFonts w:ascii="宋体" w:eastAsia="宋体" w:hAnsi="宋体" w:cs="Times New Roman"/>
          <w:sz w:val="18"/>
          <w:szCs w:val="18"/>
        </w:rPr>
        <w:sym w:font="Wingdings 2" w:char="F052"/>
      </w:r>
      <w:r w:rsidRPr="005A284F">
        <w:rPr>
          <w:rFonts w:ascii="宋体" w:eastAsia="宋体" w:hAnsi="宋体" w:cs="Times New Roman"/>
          <w:sz w:val="18"/>
          <w:szCs w:val="18"/>
        </w:rPr>
        <w:t>不适用</w:t>
      </w:r>
    </w:p>
    <w:p w14:paraId="5DA1D6B7"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营业成本的主要构成项目</w:t>
      </w:r>
    </w:p>
    <w:p w14:paraId="24B70B5D" w14:textId="77777777" w:rsidR="000309B5" w:rsidRPr="005A284F" w:rsidRDefault="00000000">
      <w:pPr>
        <w:pStyle w:val="a3"/>
        <w:divId w:val="467672444"/>
        <w:rPr>
          <w:rFonts w:ascii="Times New Roman" w:hAnsi="Times New Roman" w:cs="Times New Roman"/>
          <w:sz w:val="18"/>
          <w:szCs w:val="18"/>
        </w:rPr>
      </w:pPr>
      <w:r w:rsidRPr="005A284F">
        <w:rPr>
          <w:rFonts w:ascii="Times New Roman" w:hAnsi="Times New Roman" w:cs="Times New Roman"/>
          <w:sz w:val="18"/>
          <w:szCs w:val="18"/>
        </w:rPr>
        <w:t>参见本节</w:t>
      </w:r>
      <w:r w:rsidRPr="005A284F">
        <w:rPr>
          <w:rFonts w:ascii="Times New Roman" w:hAnsi="Times New Roman" w:cs="Times New Roman"/>
          <w:sz w:val="18"/>
          <w:szCs w:val="18"/>
        </w:rPr>
        <w:t>“</w:t>
      </w:r>
      <w:r w:rsidRPr="005A284F">
        <w:rPr>
          <w:rFonts w:ascii="Times New Roman" w:hAnsi="Times New Roman" w:cs="Times New Roman"/>
          <w:sz w:val="18"/>
          <w:szCs w:val="18"/>
        </w:rPr>
        <w:t>主营业务分析</w:t>
      </w:r>
      <w:r w:rsidRPr="005A284F">
        <w:rPr>
          <w:rFonts w:ascii="Times New Roman" w:hAnsi="Times New Roman" w:cs="Times New Roman"/>
          <w:sz w:val="18"/>
          <w:szCs w:val="18"/>
        </w:rPr>
        <w:t>”</w:t>
      </w:r>
    </w:p>
    <w:p w14:paraId="1D3BC34F"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产量与库存量</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89"/>
        <w:gridCol w:w="1531"/>
        <w:gridCol w:w="1531"/>
        <w:gridCol w:w="1531"/>
        <w:gridCol w:w="1531"/>
        <w:gridCol w:w="1531"/>
      </w:tblGrid>
      <w:tr w:rsidR="000309B5" w:rsidRPr="005A284F" w14:paraId="51680CFD" w14:textId="77777777" w:rsidTr="00EE3DD0">
        <w:trPr>
          <w:divId w:val="1110513695"/>
          <w:trHeight w:val="157"/>
        </w:trPr>
        <w:tc>
          <w:tcPr>
            <w:tcW w:w="1889" w:type="dxa"/>
            <w:tcMar>
              <w:top w:w="15" w:type="dxa"/>
              <w:left w:w="15" w:type="dxa"/>
              <w:bottom w:w="0" w:type="dxa"/>
              <w:right w:w="15" w:type="dxa"/>
            </w:tcMar>
            <w:vAlign w:val="center"/>
            <w:hideMark/>
          </w:tcPr>
          <w:p w14:paraId="18C05CFB" w14:textId="77777777" w:rsidR="000309B5" w:rsidRPr="005A284F" w:rsidRDefault="00000000" w:rsidP="005A284F">
            <w:pPr>
              <w:pStyle w:val="a3"/>
              <w:spacing w:before="0" w:beforeAutospacing="0" w:after="0" w:afterAutospacing="0"/>
              <w:jc w:val="center"/>
              <w:rPr>
                <w:rFonts w:ascii="Times New Roman" w:hAnsi="Times New Roman" w:cs="Times New Roman"/>
                <w:sz w:val="21"/>
                <w:szCs w:val="21"/>
              </w:rPr>
            </w:pPr>
            <w:r w:rsidRPr="005A284F">
              <w:rPr>
                <w:rFonts w:ascii="Times New Roman" w:hAnsi="Times New Roman" w:cs="Times New Roman"/>
                <w:color w:val="000000"/>
                <w:sz w:val="18"/>
                <w:szCs w:val="18"/>
              </w:rPr>
              <w:t>行业分类</w:t>
            </w:r>
          </w:p>
        </w:tc>
        <w:tc>
          <w:tcPr>
            <w:tcW w:w="1531" w:type="dxa"/>
            <w:tcMar>
              <w:top w:w="15" w:type="dxa"/>
              <w:left w:w="15" w:type="dxa"/>
              <w:bottom w:w="0" w:type="dxa"/>
              <w:right w:w="15" w:type="dxa"/>
            </w:tcMar>
            <w:vAlign w:val="center"/>
            <w:hideMark/>
          </w:tcPr>
          <w:p w14:paraId="26BBD443" w14:textId="77777777" w:rsidR="000309B5" w:rsidRPr="005A284F" w:rsidRDefault="00000000" w:rsidP="005A284F">
            <w:pPr>
              <w:pStyle w:val="a3"/>
              <w:spacing w:before="0" w:beforeAutospacing="0" w:after="0" w:afterAutospacing="0"/>
              <w:jc w:val="center"/>
              <w:rPr>
                <w:rFonts w:ascii="Times New Roman" w:hAnsi="Times New Roman" w:cs="Times New Roman"/>
                <w:sz w:val="21"/>
                <w:szCs w:val="21"/>
              </w:rPr>
            </w:pPr>
            <w:r w:rsidRPr="005A284F">
              <w:rPr>
                <w:rFonts w:ascii="Times New Roman" w:hAnsi="Times New Roman" w:cs="Times New Roman"/>
                <w:color w:val="000000"/>
                <w:sz w:val="18"/>
                <w:szCs w:val="18"/>
              </w:rPr>
              <w:t>项目</w:t>
            </w:r>
          </w:p>
        </w:tc>
        <w:tc>
          <w:tcPr>
            <w:tcW w:w="1531" w:type="dxa"/>
            <w:tcMar>
              <w:top w:w="15" w:type="dxa"/>
              <w:left w:w="15" w:type="dxa"/>
              <w:bottom w:w="0" w:type="dxa"/>
              <w:right w:w="15" w:type="dxa"/>
            </w:tcMar>
            <w:vAlign w:val="center"/>
            <w:hideMark/>
          </w:tcPr>
          <w:p w14:paraId="0ECAE855" w14:textId="77777777" w:rsidR="000309B5" w:rsidRPr="005A284F" w:rsidRDefault="00000000" w:rsidP="005A284F">
            <w:pPr>
              <w:pStyle w:val="a3"/>
              <w:spacing w:before="0" w:beforeAutospacing="0" w:after="0" w:afterAutospacing="0"/>
              <w:jc w:val="center"/>
              <w:rPr>
                <w:rFonts w:ascii="Times New Roman" w:hAnsi="Times New Roman" w:cs="Times New Roman"/>
                <w:sz w:val="21"/>
                <w:szCs w:val="21"/>
              </w:rPr>
            </w:pPr>
            <w:r w:rsidRPr="005A284F">
              <w:rPr>
                <w:rFonts w:ascii="Times New Roman" w:hAnsi="Times New Roman" w:cs="Times New Roman"/>
                <w:color w:val="000000"/>
                <w:sz w:val="18"/>
                <w:szCs w:val="18"/>
              </w:rPr>
              <w:t>单位</w:t>
            </w:r>
          </w:p>
        </w:tc>
        <w:tc>
          <w:tcPr>
            <w:tcW w:w="1531" w:type="dxa"/>
            <w:tcMar>
              <w:top w:w="15" w:type="dxa"/>
              <w:left w:w="15" w:type="dxa"/>
              <w:bottom w:w="0" w:type="dxa"/>
              <w:right w:w="15" w:type="dxa"/>
            </w:tcMar>
            <w:vAlign w:val="center"/>
            <w:hideMark/>
          </w:tcPr>
          <w:p w14:paraId="193FBE20" w14:textId="77777777" w:rsidR="000309B5" w:rsidRPr="005A284F" w:rsidRDefault="00000000" w:rsidP="005A284F">
            <w:pPr>
              <w:pStyle w:val="a3"/>
              <w:spacing w:before="0" w:beforeAutospacing="0" w:after="0" w:afterAutospacing="0"/>
              <w:jc w:val="center"/>
              <w:rPr>
                <w:rFonts w:ascii="Times New Roman" w:hAnsi="Times New Roman" w:cs="Times New Roman"/>
                <w:sz w:val="21"/>
                <w:szCs w:val="21"/>
              </w:rPr>
            </w:pPr>
            <w:r w:rsidRPr="005A284F">
              <w:rPr>
                <w:rFonts w:ascii="Times New Roman" w:hAnsi="Times New Roman" w:cs="Times New Roman"/>
                <w:color w:val="000000"/>
                <w:sz w:val="18"/>
                <w:szCs w:val="18"/>
              </w:rPr>
              <w:t>2025</w:t>
            </w:r>
            <w:r w:rsidRPr="005A284F">
              <w:rPr>
                <w:rFonts w:ascii="Times New Roman" w:hAnsi="Times New Roman" w:cs="Times New Roman"/>
                <w:color w:val="000000"/>
                <w:sz w:val="18"/>
                <w:szCs w:val="18"/>
              </w:rPr>
              <w:t>年半年度</w:t>
            </w:r>
          </w:p>
        </w:tc>
        <w:tc>
          <w:tcPr>
            <w:tcW w:w="1531" w:type="dxa"/>
            <w:tcMar>
              <w:top w:w="15" w:type="dxa"/>
              <w:left w:w="15" w:type="dxa"/>
              <w:bottom w:w="0" w:type="dxa"/>
              <w:right w:w="15" w:type="dxa"/>
            </w:tcMar>
            <w:vAlign w:val="center"/>
            <w:hideMark/>
          </w:tcPr>
          <w:p w14:paraId="3D6DA2C6" w14:textId="0E96EB50" w:rsidR="000309B5" w:rsidRPr="005A284F" w:rsidRDefault="00000000" w:rsidP="005A284F">
            <w:pPr>
              <w:pStyle w:val="a3"/>
              <w:spacing w:before="0" w:beforeAutospacing="0" w:after="0" w:afterAutospacing="0"/>
              <w:jc w:val="center"/>
              <w:rPr>
                <w:rFonts w:ascii="Times New Roman" w:hAnsi="Times New Roman" w:cs="Times New Roman"/>
                <w:sz w:val="21"/>
                <w:szCs w:val="21"/>
              </w:rPr>
            </w:pPr>
            <w:r w:rsidRPr="005A284F">
              <w:rPr>
                <w:rFonts w:ascii="Times New Roman" w:hAnsi="Times New Roman" w:cs="Times New Roman"/>
                <w:color w:val="000000"/>
                <w:sz w:val="18"/>
                <w:szCs w:val="18"/>
              </w:rPr>
              <w:t>2024</w:t>
            </w:r>
            <w:r w:rsidRPr="005A284F">
              <w:rPr>
                <w:rFonts w:ascii="Times New Roman" w:hAnsi="Times New Roman" w:cs="Times New Roman"/>
                <w:color w:val="000000"/>
                <w:sz w:val="18"/>
                <w:szCs w:val="18"/>
              </w:rPr>
              <w:t>年半年度</w:t>
            </w:r>
          </w:p>
        </w:tc>
        <w:tc>
          <w:tcPr>
            <w:tcW w:w="1531" w:type="dxa"/>
            <w:tcMar>
              <w:top w:w="15" w:type="dxa"/>
              <w:left w:w="15" w:type="dxa"/>
              <w:bottom w:w="0" w:type="dxa"/>
              <w:right w:w="15" w:type="dxa"/>
            </w:tcMar>
            <w:vAlign w:val="center"/>
            <w:hideMark/>
          </w:tcPr>
          <w:p w14:paraId="320A54E8" w14:textId="77777777" w:rsidR="000309B5" w:rsidRPr="005A284F" w:rsidRDefault="00000000" w:rsidP="005A284F">
            <w:pPr>
              <w:pStyle w:val="a3"/>
              <w:spacing w:before="0" w:beforeAutospacing="0" w:after="0" w:afterAutospacing="0"/>
              <w:jc w:val="center"/>
              <w:rPr>
                <w:rFonts w:ascii="Times New Roman" w:hAnsi="Times New Roman" w:cs="Times New Roman"/>
                <w:sz w:val="21"/>
                <w:szCs w:val="21"/>
              </w:rPr>
            </w:pPr>
            <w:r w:rsidRPr="005A284F">
              <w:rPr>
                <w:rFonts w:ascii="Times New Roman" w:hAnsi="Times New Roman" w:cs="Times New Roman"/>
                <w:color w:val="000000"/>
                <w:sz w:val="18"/>
                <w:szCs w:val="18"/>
              </w:rPr>
              <w:t>同比增减</w:t>
            </w:r>
          </w:p>
        </w:tc>
      </w:tr>
      <w:tr w:rsidR="000309B5" w:rsidRPr="005A284F" w14:paraId="013E0EA4" w14:textId="77777777" w:rsidTr="00EE3DD0">
        <w:trPr>
          <w:divId w:val="1110513695"/>
          <w:trHeight w:val="276"/>
        </w:trPr>
        <w:tc>
          <w:tcPr>
            <w:tcW w:w="1889" w:type="dxa"/>
            <w:vMerge w:val="restart"/>
            <w:tcMar>
              <w:top w:w="15" w:type="dxa"/>
              <w:left w:w="15" w:type="dxa"/>
              <w:bottom w:w="0" w:type="dxa"/>
              <w:right w:w="15" w:type="dxa"/>
            </w:tcMar>
            <w:vAlign w:val="center"/>
            <w:hideMark/>
          </w:tcPr>
          <w:p w14:paraId="1FC73568" w14:textId="77777777" w:rsidR="000309B5" w:rsidRPr="005A284F" w:rsidRDefault="00000000">
            <w:pPr>
              <w:pStyle w:val="a3"/>
              <w:spacing w:before="0" w:beforeAutospacing="0" w:after="0" w:afterAutospacing="0"/>
              <w:jc w:val="center"/>
              <w:rPr>
                <w:rFonts w:ascii="Times New Roman" w:hAnsi="Times New Roman" w:cs="Times New Roman"/>
                <w:sz w:val="21"/>
                <w:szCs w:val="21"/>
              </w:rPr>
            </w:pPr>
            <w:r w:rsidRPr="005A284F">
              <w:rPr>
                <w:rFonts w:ascii="Times New Roman" w:hAnsi="Times New Roman" w:cs="Times New Roman"/>
                <w:color w:val="000000"/>
                <w:sz w:val="18"/>
                <w:szCs w:val="18"/>
              </w:rPr>
              <w:t>生猪屠宰及肉类加工</w:t>
            </w:r>
          </w:p>
        </w:tc>
        <w:tc>
          <w:tcPr>
            <w:tcW w:w="1531" w:type="dxa"/>
            <w:tcMar>
              <w:top w:w="15" w:type="dxa"/>
              <w:left w:w="15" w:type="dxa"/>
              <w:bottom w:w="0" w:type="dxa"/>
              <w:right w:w="15" w:type="dxa"/>
            </w:tcMar>
            <w:vAlign w:val="center"/>
            <w:hideMark/>
          </w:tcPr>
          <w:p w14:paraId="3858950C" w14:textId="77777777" w:rsidR="000309B5" w:rsidRPr="005A284F" w:rsidRDefault="00000000" w:rsidP="005A284F">
            <w:pPr>
              <w:pStyle w:val="a3"/>
              <w:spacing w:before="0" w:beforeAutospacing="0" w:after="0" w:afterAutospacing="0"/>
              <w:jc w:val="center"/>
              <w:rPr>
                <w:rFonts w:ascii="Times New Roman" w:hAnsi="Times New Roman" w:cs="Times New Roman"/>
                <w:sz w:val="21"/>
                <w:szCs w:val="21"/>
              </w:rPr>
            </w:pPr>
            <w:r w:rsidRPr="005A284F">
              <w:rPr>
                <w:rFonts w:ascii="Times New Roman" w:hAnsi="Times New Roman" w:cs="Times New Roman"/>
                <w:color w:val="000000"/>
                <w:sz w:val="18"/>
                <w:szCs w:val="18"/>
              </w:rPr>
              <w:t>销售量</w:t>
            </w:r>
          </w:p>
        </w:tc>
        <w:tc>
          <w:tcPr>
            <w:tcW w:w="1531" w:type="dxa"/>
            <w:tcMar>
              <w:top w:w="15" w:type="dxa"/>
              <w:left w:w="15" w:type="dxa"/>
              <w:bottom w:w="0" w:type="dxa"/>
              <w:right w:w="15" w:type="dxa"/>
            </w:tcMar>
            <w:vAlign w:val="center"/>
            <w:hideMark/>
          </w:tcPr>
          <w:p w14:paraId="395AC507" w14:textId="77777777" w:rsidR="000309B5" w:rsidRPr="005A284F" w:rsidRDefault="00000000" w:rsidP="005A284F">
            <w:pPr>
              <w:pStyle w:val="a3"/>
              <w:spacing w:before="0" w:beforeAutospacing="0" w:after="0" w:afterAutospacing="0"/>
              <w:jc w:val="center"/>
              <w:rPr>
                <w:rFonts w:ascii="Times New Roman" w:hAnsi="Times New Roman" w:cs="Times New Roman"/>
                <w:sz w:val="21"/>
                <w:szCs w:val="21"/>
              </w:rPr>
            </w:pPr>
            <w:r w:rsidRPr="005A284F">
              <w:rPr>
                <w:rFonts w:ascii="Times New Roman" w:hAnsi="Times New Roman" w:cs="Times New Roman"/>
                <w:color w:val="000000"/>
                <w:sz w:val="18"/>
                <w:szCs w:val="18"/>
              </w:rPr>
              <w:t>吨</w:t>
            </w:r>
          </w:p>
        </w:tc>
        <w:tc>
          <w:tcPr>
            <w:tcW w:w="1531" w:type="dxa"/>
            <w:tcMar>
              <w:top w:w="15" w:type="dxa"/>
              <w:left w:w="15" w:type="dxa"/>
              <w:bottom w:w="0" w:type="dxa"/>
              <w:right w:w="15" w:type="dxa"/>
            </w:tcMar>
            <w:vAlign w:val="center"/>
            <w:hideMark/>
          </w:tcPr>
          <w:p w14:paraId="6A4564F3" w14:textId="77777777" w:rsidR="000309B5" w:rsidRPr="005A284F" w:rsidRDefault="00000000" w:rsidP="005A284F">
            <w:pPr>
              <w:pStyle w:val="a3"/>
              <w:spacing w:before="0" w:beforeAutospacing="0" w:after="0" w:afterAutospacing="0"/>
              <w:jc w:val="right"/>
              <w:rPr>
                <w:rFonts w:ascii="Times New Roman" w:hAnsi="Times New Roman" w:cs="Times New Roman"/>
                <w:sz w:val="18"/>
                <w:szCs w:val="18"/>
              </w:rPr>
            </w:pPr>
            <w:r w:rsidRPr="005A284F">
              <w:rPr>
                <w:rFonts w:ascii="Times New Roman" w:hAnsi="Times New Roman" w:cs="Times New Roman"/>
                <w:sz w:val="18"/>
                <w:szCs w:val="18"/>
              </w:rPr>
              <w:t>293,537.59</w:t>
            </w:r>
          </w:p>
        </w:tc>
        <w:tc>
          <w:tcPr>
            <w:tcW w:w="1531" w:type="dxa"/>
            <w:tcMar>
              <w:top w:w="15" w:type="dxa"/>
              <w:left w:w="15" w:type="dxa"/>
              <w:bottom w:w="0" w:type="dxa"/>
              <w:right w:w="15" w:type="dxa"/>
            </w:tcMar>
            <w:vAlign w:val="center"/>
            <w:hideMark/>
          </w:tcPr>
          <w:p w14:paraId="033E9C17" w14:textId="77777777" w:rsidR="000309B5" w:rsidRPr="005A284F" w:rsidRDefault="00000000" w:rsidP="005A284F">
            <w:pPr>
              <w:pStyle w:val="a3"/>
              <w:spacing w:before="0" w:beforeAutospacing="0" w:after="0" w:afterAutospacing="0"/>
              <w:jc w:val="right"/>
              <w:rPr>
                <w:rFonts w:ascii="Times New Roman" w:hAnsi="Times New Roman" w:cs="Times New Roman"/>
                <w:sz w:val="18"/>
                <w:szCs w:val="18"/>
              </w:rPr>
            </w:pPr>
            <w:r w:rsidRPr="005A284F">
              <w:rPr>
                <w:rFonts w:ascii="Times New Roman" w:hAnsi="Times New Roman" w:cs="Times New Roman"/>
                <w:color w:val="000000"/>
                <w:sz w:val="18"/>
                <w:szCs w:val="18"/>
              </w:rPr>
              <w:t>287,440.78</w:t>
            </w:r>
          </w:p>
        </w:tc>
        <w:tc>
          <w:tcPr>
            <w:tcW w:w="1531" w:type="dxa"/>
            <w:tcMar>
              <w:top w:w="15" w:type="dxa"/>
              <w:left w:w="15" w:type="dxa"/>
              <w:bottom w:w="0" w:type="dxa"/>
              <w:right w:w="15" w:type="dxa"/>
            </w:tcMar>
            <w:vAlign w:val="center"/>
            <w:hideMark/>
          </w:tcPr>
          <w:p w14:paraId="13F6E1B8" w14:textId="4ECE226B" w:rsidR="000309B5" w:rsidRPr="005A284F" w:rsidRDefault="00000000">
            <w:pPr>
              <w:pStyle w:val="a3"/>
              <w:spacing w:before="0" w:beforeAutospacing="0" w:after="0" w:afterAutospacing="0"/>
              <w:jc w:val="right"/>
              <w:rPr>
                <w:rFonts w:ascii="Times New Roman" w:hAnsi="Times New Roman" w:cs="Times New Roman"/>
                <w:sz w:val="18"/>
                <w:szCs w:val="18"/>
              </w:rPr>
            </w:pPr>
            <w:r w:rsidRPr="005A284F">
              <w:rPr>
                <w:rFonts w:ascii="Times New Roman" w:hAnsi="Times New Roman" w:cs="Times New Roman"/>
                <w:color w:val="000000"/>
                <w:sz w:val="18"/>
                <w:szCs w:val="18"/>
              </w:rPr>
              <w:t>2.12%</w:t>
            </w:r>
          </w:p>
        </w:tc>
      </w:tr>
      <w:tr w:rsidR="000309B5" w:rsidRPr="005A284F" w14:paraId="384EE765" w14:textId="77777777" w:rsidTr="00EE3DD0">
        <w:trPr>
          <w:divId w:val="1110513695"/>
          <w:trHeight w:val="276"/>
        </w:trPr>
        <w:tc>
          <w:tcPr>
            <w:tcW w:w="0" w:type="auto"/>
            <w:vMerge/>
            <w:vAlign w:val="center"/>
            <w:hideMark/>
          </w:tcPr>
          <w:p w14:paraId="44C455F0" w14:textId="77777777" w:rsidR="000309B5" w:rsidRPr="005A284F" w:rsidRDefault="000309B5">
            <w:pPr>
              <w:rPr>
                <w:rFonts w:ascii="Times New Roman" w:eastAsia="宋体" w:hAnsi="Times New Roman" w:cs="Times New Roman"/>
                <w:sz w:val="21"/>
                <w:szCs w:val="21"/>
              </w:rPr>
            </w:pPr>
          </w:p>
        </w:tc>
        <w:tc>
          <w:tcPr>
            <w:tcW w:w="1531" w:type="dxa"/>
            <w:tcMar>
              <w:top w:w="15" w:type="dxa"/>
              <w:left w:w="15" w:type="dxa"/>
              <w:bottom w:w="0" w:type="dxa"/>
              <w:right w:w="15" w:type="dxa"/>
            </w:tcMar>
            <w:vAlign w:val="center"/>
            <w:hideMark/>
          </w:tcPr>
          <w:p w14:paraId="3B21A00C" w14:textId="77777777" w:rsidR="000309B5" w:rsidRPr="005A284F" w:rsidRDefault="00000000" w:rsidP="005A284F">
            <w:pPr>
              <w:pStyle w:val="a3"/>
              <w:spacing w:before="0" w:beforeAutospacing="0" w:after="0" w:afterAutospacing="0"/>
              <w:jc w:val="center"/>
              <w:rPr>
                <w:rFonts w:ascii="Times New Roman" w:hAnsi="Times New Roman" w:cs="Times New Roman"/>
                <w:sz w:val="21"/>
                <w:szCs w:val="21"/>
              </w:rPr>
            </w:pPr>
            <w:r w:rsidRPr="005A284F">
              <w:rPr>
                <w:rFonts w:ascii="Times New Roman" w:hAnsi="Times New Roman" w:cs="Times New Roman"/>
                <w:color w:val="000000"/>
                <w:sz w:val="18"/>
                <w:szCs w:val="18"/>
              </w:rPr>
              <w:t>生产量</w:t>
            </w:r>
          </w:p>
        </w:tc>
        <w:tc>
          <w:tcPr>
            <w:tcW w:w="1531" w:type="dxa"/>
            <w:tcMar>
              <w:top w:w="15" w:type="dxa"/>
              <w:left w:w="15" w:type="dxa"/>
              <w:bottom w:w="0" w:type="dxa"/>
              <w:right w:w="15" w:type="dxa"/>
            </w:tcMar>
            <w:vAlign w:val="center"/>
            <w:hideMark/>
          </w:tcPr>
          <w:p w14:paraId="1405B2B8" w14:textId="77777777" w:rsidR="000309B5" w:rsidRPr="005A284F" w:rsidRDefault="00000000" w:rsidP="005A284F">
            <w:pPr>
              <w:pStyle w:val="a3"/>
              <w:spacing w:before="0" w:beforeAutospacing="0" w:after="0" w:afterAutospacing="0"/>
              <w:jc w:val="center"/>
              <w:rPr>
                <w:rFonts w:ascii="Times New Roman" w:hAnsi="Times New Roman" w:cs="Times New Roman"/>
                <w:sz w:val="21"/>
                <w:szCs w:val="21"/>
              </w:rPr>
            </w:pPr>
            <w:r w:rsidRPr="005A284F">
              <w:rPr>
                <w:rFonts w:ascii="Times New Roman" w:hAnsi="Times New Roman" w:cs="Times New Roman"/>
                <w:color w:val="000000"/>
                <w:sz w:val="18"/>
                <w:szCs w:val="18"/>
              </w:rPr>
              <w:t>吨</w:t>
            </w:r>
          </w:p>
        </w:tc>
        <w:tc>
          <w:tcPr>
            <w:tcW w:w="1531" w:type="dxa"/>
            <w:tcMar>
              <w:top w:w="15" w:type="dxa"/>
              <w:left w:w="15" w:type="dxa"/>
              <w:bottom w:w="0" w:type="dxa"/>
              <w:right w:w="15" w:type="dxa"/>
            </w:tcMar>
            <w:vAlign w:val="center"/>
            <w:hideMark/>
          </w:tcPr>
          <w:p w14:paraId="39A605D3" w14:textId="77777777" w:rsidR="000309B5" w:rsidRPr="005A284F" w:rsidRDefault="00000000" w:rsidP="005A284F">
            <w:pPr>
              <w:pStyle w:val="a3"/>
              <w:spacing w:before="0" w:beforeAutospacing="0" w:after="0" w:afterAutospacing="0"/>
              <w:jc w:val="right"/>
              <w:rPr>
                <w:rFonts w:ascii="Times New Roman" w:hAnsi="Times New Roman" w:cs="Times New Roman"/>
                <w:sz w:val="18"/>
                <w:szCs w:val="18"/>
              </w:rPr>
            </w:pPr>
            <w:r w:rsidRPr="005A284F">
              <w:rPr>
                <w:rFonts w:ascii="Times New Roman" w:hAnsi="Times New Roman" w:cs="Times New Roman"/>
                <w:sz w:val="18"/>
                <w:szCs w:val="18"/>
              </w:rPr>
              <w:t>293,397.34</w:t>
            </w:r>
          </w:p>
        </w:tc>
        <w:tc>
          <w:tcPr>
            <w:tcW w:w="1531" w:type="dxa"/>
            <w:tcMar>
              <w:top w:w="15" w:type="dxa"/>
              <w:left w:w="15" w:type="dxa"/>
              <w:bottom w:w="0" w:type="dxa"/>
              <w:right w:w="15" w:type="dxa"/>
            </w:tcMar>
            <w:vAlign w:val="center"/>
            <w:hideMark/>
          </w:tcPr>
          <w:p w14:paraId="313A4658" w14:textId="77777777" w:rsidR="000309B5" w:rsidRPr="005A284F" w:rsidRDefault="00000000" w:rsidP="005A284F">
            <w:pPr>
              <w:pStyle w:val="a3"/>
              <w:spacing w:before="0" w:beforeAutospacing="0" w:after="0" w:afterAutospacing="0"/>
              <w:jc w:val="right"/>
              <w:rPr>
                <w:rFonts w:ascii="Times New Roman" w:hAnsi="Times New Roman" w:cs="Times New Roman"/>
                <w:sz w:val="18"/>
                <w:szCs w:val="18"/>
              </w:rPr>
            </w:pPr>
            <w:r w:rsidRPr="005A284F">
              <w:rPr>
                <w:rFonts w:ascii="Times New Roman" w:hAnsi="Times New Roman" w:cs="Times New Roman"/>
                <w:color w:val="000000"/>
                <w:sz w:val="18"/>
                <w:szCs w:val="18"/>
              </w:rPr>
              <w:t>285,476.06</w:t>
            </w:r>
          </w:p>
        </w:tc>
        <w:tc>
          <w:tcPr>
            <w:tcW w:w="1531" w:type="dxa"/>
            <w:tcMar>
              <w:top w:w="15" w:type="dxa"/>
              <w:left w:w="15" w:type="dxa"/>
              <w:bottom w:w="0" w:type="dxa"/>
              <w:right w:w="15" w:type="dxa"/>
            </w:tcMar>
            <w:vAlign w:val="center"/>
            <w:hideMark/>
          </w:tcPr>
          <w:p w14:paraId="23A97DE1" w14:textId="550B5237" w:rsidR="000309B5" w:rsidRPr="005A284F" w:rsidRDefault="00000000">
            <w:pPr>
              <w:pStyle w:val="a3"/>
              <w:spacing w:before="0" w:beforeAutospacing="0" w:after="0" w:afterAutospacing="0"/>
              <w:jc w:val="right"/>
              <w:rPr>
                <w:rFonts w:ascii="Times New Roman" w:hAnsi="Times New Roman" w:cs="Times New Roman"/>
                <w:sz w:val="18"/>
                <w:szCs w:val="18"/>
              </w:rPr>
            </w:pPr>
            <w:r w:rsidRPr="005A284F">
              <w:rPr>
                <w:rFonts w:ascii="Times New Roman" w:hAnsi="Times New Roman" w:cs="Times New Roman"/>
                <w:color w:val="000000"/>
                <w:sz w:val="18"/>
                <w:szCs w:val="18"/>
              </w:rPr>
              <w:t>2.77%</w:t>
            </w:r>
          </w:p>
        </w:tc>
      </w:tr>
      <w:tr w:rsidR="000309B5" w:rsidRPr="005A284F" w14:paraId="46117B4F" w14:textId="77777777" w:rsidTr="00EE3DD0">
        <w:trPr>
          <w:divId w:val="1110513695"/>
          <w:trHeight w:val="276"/>
        </w:trPr>
        <w:tc>
          <w:tcPr>
            <w:tcW w:w="0" w:type="auto"/>
            <w:vMerge/>
            <w:vAlign w:val="center"/>
            <w:hideMark/>
          </w:tcPr>
          <w:p w14:paraId="460FF28B" w14:textId="77777777" w:rsidR="000309B5" w:rsidRPr="005A284F" w:rsidRDefault="000309B5">
            <w:pPr>
              <w:rPr>
                <w:rFonts w:ascii="Times New Roman" w:eastAsia="宋体" w:hAnsi="Times New Roman" w:cs="Times New Roman"/>
                <w:sz w:val="21"/>
                <w:szCs w:val="21"/>
              </w:rPr>
            </w:pPr>
          </w:p>
        </w:tc>
        <w:tc>
          <w:tcPr>
            <w:tcW w:w="1531" w:type="dxa"/>
            <w:tcMar>
              <w:top w:w="15" w:type="dxa"/>
              <w:left w:w="15" w:type="dxa"/>
              <w:bottom w:w="0" w:type="dxa"/>
              <w:right w:w="15" w:type="dxa"/>
            </w:tcMar>
            <w:vAlign w:val="center"/>
            <w:hideMark/>
          </w:tcPr>
          <w:p w14:paraId="6CD8AB11" w14:textId="77777777" w:rsidR="000309B5" w:rsidRPr="005A284F" w:rsidRDefault="00000000" w:rsidP="005A284F">
            <w:pPr>
              <w:pStyle w:val="a3"/>
              <w:spacing w:before="0" w:beforeAutospacing="0" w:after="0" w:afterAutospacing="0"/>
              <w:jc w:val="center"/>
              <w:rPr>
                <w:rFonts w:ascii="Times New Roman" w:hAnsi="Times New Roman" w:cs="Times New Roman"/>
                <w:sz w:val="21"/>
                <w:szCs w:val="21"/>
              </w:rPr>
            </w:pPr>
            <w:r w:rsidRPr="005A284F">
              <w:rPr>
                <w:rFonts w:ascii="Times New Roman" w:hAnsi="Times New Roman" w:cs="Times New Roman"/>
                <w:color w:val="000000"/>
                <w:sz w:val="18"/>
                <w:szCs w:val="18"/>
              </w:rPr>
              <w:t>库存量</w:t>
            </w:r>
          </w:p>
        </w:tc>
        <w:tc>
          <w:tcPr>
            <w:tcW w:w="1531" w:type="dxa"/>
            <w:tcMar>
              <w:top w:w="15" w:type="dxa"/>
              <w:left w:w="15" w:type="dxa"/>
              <w:bottom w:w="0" w:type="dxa"/>
              <w:right w:w="15" w:type="dxa"/>
            </w:tcMar>
            <w:vAlign w:val="center"/>
            <w:hideMark/>
          </w:tcPr>
          <w:p w14:paraId="4F278C95" w14:textId="77777777" w:rsidR="000309B5" w:rsidRPr="005A284F" w:rsidRDefault="00000000" w:rsidP="005A284F">
            <w:pPr>
              <w:pStyle w:val="a3"/>
              <w:spacing w:before="0" w:beforeAutospacing="0" w:after="0" w:afterAutospacing="0"/>
              <w:jc w:val="center"/>
              <w:rPr>
                <w:rFonts w:ascii="Times New Roman" w:hAnsi="Times New Roman" w:cs="Times New Roman"/>
                <w:sz w:val="21"/>
                <w:szCs w:val="21"/>
              </w:rPr>
            </w:pPr>
            <w:r w:rsidRPr="005A284F">
              <w:rPr>
                <w:rFonts w:ascii="Times New Roman" w:hAnsi="Times New Roman" w:cs="Times New Roman"/>
                <w:color w:val="000000"/>
                <w:sz w:val="18"/>
                <w:szCs w:val="18"/>
              </w:rPr>
              <w:t>吨</w:t>
            </w:r>
          </w:p>
        </w:tc>
        <w:tc>
          <w:tcPr>
            <w:tcW w:w="1531" w:type="dxa"/>
            <w:tcMar>
              <w:top w:w="15" w:type="dxa"/>
              <w:left w:w="15" w:type="dxa"/>
              <w:bottom w:w="0" w:type="dxa"/>
              <w:right w:w="15" w:type="dxa"/>
            </w:tcMar>
            <w:vAlign w:val="center"/>
            <w:hideMark/>
          </w:tcPr>
          <w:p w14:paraId="3B490F10" w14:textId="77777777" w:rsidR="000309B5" w:rsidRPr="005A284F" w:rsidRDefault="00000000" w:rsidP="005A284F">
            <w:pPr>
              <w:pStyle w:val="a3"/>
              <w:spacing w:before="0" w:beforeAutospacing="0" w:after="0" w:afterAutospacing="0"/>
              <w:jc w:val="right"/>
              <w:rPr>
                <w:rFonts w:ascii="Times New Roman" w:hAnsi="Times New Roman" w:cs="Times New Roman"/>
                <w:sz w:val="18"/>
                <w:szCs w:val="18"/>
              </w:rPr>
            </w:pPr>
            <w:r w:rsidRPr="005A284F">
              <w:rPr>
                <w:rFonts w:ascii="Times New Roman" w:hAnsi="Times New Roman" w:cs="Times New Roman"/>
                <w:sz w:val="18"/>
                <w:szCs w:val="18"/>
              </w:rPr>
              <w:t>25,844.60</w:t>
            </w:r>
          </w:p>
        </w:tc>
        <w:tc>
          <w:tcPr>
            <w:tcW w:w="1531" w:type="dxa"/>
            <w:tcMar>
              <w:top w:w="15" w:type="dxa"/>
              <w:left w:w="15" w:type="dxa"/>
              <w:bottom w:w="0" w:type="dxa"/>
              <w:right w:w="15" w:type="dxa"/>
            </w:tcMar>
            <w:vAlign w:val="center"/>
            <w:hideMark/>
          </w:tcPr>
          <w:p w14:paraId="7CD3B7F8" w14:textId="77777777" w:rsidR="000309B5" w:rsidRPr="005A284F" w:rsidRDefault="00000000" w:rsidP="005A284F">
            <w:pPr>
              <w:pStyle w:val="a3"/>
              <w:spacing w:before="0" w:beforeAutospacing="0" w:after="0" w:afterAutospacing="0"/>
              <w:jc w:val="right"/>
              <w:rPr>
                <w:rFonts w:ascii="Times New Roman" w:hAnsi="Times New Roman" w:cs="Times New Roman"/>
                <w:sz w:val="18"/>
                <w:szCs w:val="18"/>
              </w:rPr>
            </w:pPr>
            <w:r w:rsidRPr="005A284F">
              <w:rPr>
                <w:rFonts w:ascii="Times New Roman" w:hAnsi="Times New Roman" w:cs="Times New Roman"/>
                <w:color w:val="000000"/>
                <w:sz w:val="18"/>
                <w:szCs w:val="18"/>
              </w:rPr>
              <w:t>36,020.52</w:t>
            </w:r>
          </w:p>
        </w:tc>
        <w:tc>
          <w:tcPr>
            <w:tcW w:w="1531" w:type="dxa"/>
            <w:tcMar>
              <w:top w:w="15" w:type="dxa"/>
              <w:left w:w="15" w:type="dxa"/>
              <w:bottom w:w="0" w:type="dxa"/>
              <w:right w:w="15" w:type="dxa"/>
            </w:tcMar>
            <w:vAlign w:val="center"/>
            <w:hideMark/>
          </w:tcPr>
          <w:p w14:paraId="61459928" w14:textId="2E5DDEAD" w:rsidR="000309B5" w:rsidRPr="005A284F" w:rsidRDefault="00000000">
            <w:pPr>
              <w:pStyle w:val="a3"/>
              <w:spacing w:before="0" w:beforeAutospacing="0" w:after="0" w:afterAutospacing="0"/>
              <w:jc w:val="right"/>
              <w:rPr>
                <w:rFonts w:ascii="Times New Roman" w:hAnsi="Times New Roman" w:cs="Times New Roman"/>
                <w:sz w:val="18"/>
                <w:szCs w:val="18"/>
              </w:rPr>
            </w:pPr>
            <w:r w:rsidRPr="005A284F">
              <w:rPr>
                <w:rFonts w:ascii="Times New Roman" w:hAnsi="Times New Roman" w:cs="Times New Roman"/>
                <w:color w:val="000000"/>
                <w:sz w:val="18"/>
                <w:szCs w:val="18"/>
              </w:rPr>
              <w:t>-28.25%</w:t>
            </w:r>
          </w:p>
        </w:tc>
      </w:tr>
    </w:tbl>
    <w:p w14:paraId="4B4C7F20"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15" w:name="_Toc988904"/>
      <w:r w:rsidRPr="005A284F">
        <w:rPr>
          <w:rFonts w:ascii="Times New Roman" w:eastAsia="宋体" w:hAnsi="Times New Roman" w:cs="Times New Roman"/>
          <w:b/>
          <w:bCs/>
          <w:sz w:val="24"/>
          <w:szCs w:val="24"/>
        </w:rPr>
        <w:t>二、核心竞争力分析</w:t>
      </w:r>
      <w:bookmarkEnd w:id="15"/>
    </w:p>
    <w:p w14:paraId="3D1A7F0B" w14:textId="77777777" w:rsidR="00F97F74" w:rsidRDefault="00000000" w:rsidP="00F97F74">
      <w:pPr>
        <w:pStyle w:val="a3"/>
        <w:spacing w:before="0" w:beforeAutospacing="0" w:after="0" w:afterAutospacing="0" w:line="276" w:lineRule="auto"/>
        <w:ind w:firstLineChars="200" w:firstLine="360"/>
        <w:jc w:val="both"/>
        <w:divId w:val="1655916071"/>
        <w:rPr>
          <w:rFonts w:ascii="Times New Roman" w:hAnsi="Times New Roman" w:cs="Times New Roman"/>
          <w:sz w:val="18"/>
          <w:szCs w:val="18"/>
        </w:rPr>
      </w:pPr>
      <w:r w:rsidRPr="005A284F">
        <w:rPr>
          <w:rFonts w:ascii="Times New Roman" w:hAnsi="Times New Roman" w:cs="Times New Roman"/>
          <w:sz w:val="18"/>
          <w:szCs w:val="18"/>
        </w:rPr>
        <w:t>公司坚持以食品为主体，以屠宰和养殖为两翼支撑的</w:t>
      </w:r>
      <w:r w:rsidRPr="005A284F">
        <w:rPr>
          <w:rFonts w:ascii="Times New Roman" w:hAnsi="Times New Roman" w:cs="Times New Roman"/>
          <w:sz w:val="18"/>
          <w:szCs w:val="18"/>
        </w:rPr>
        <w:t>“</w:t>
      </w:r>
      <w:r w:rsidRPr="005A284F">
        <w:rPr>
          <w:rFonts w:ascii="Times New Roman" w:hAnsi="Times New Roman" w:cs="Times New Roman"/>
          <w:sz w:val="18"/>
          <w:szCs w:val="18"/>
        </w:rPr>
        <w:t>一体两翼</w:t>
      </w:r>
      <w:r w:rsidRPr="005A284F">
        <w:rPr>
          <w:rFonts w:ascii="Times New Roman" w:hAnsi="Times New Roman" w:cs="Times New Roman"/>
          <w:sz w:val="18"/>
          <w:szCs w:val="18"/>
        </w:rPr>
        <w:t>”</w:t>
      </w:r>
      <w:r w:rsidRPr="005A284F">
        <w:rPr>
          <w:rFonts w:ascii="Times New Roman" w:hAnsi="Times New Roman" w:cs="Times New Roman"/>
          <w:sz w:val="18"/>
          <w:szCs w:val="18"/>
        </w:rPr>
        <w:t>总体发展战略，凭借</w:t>
      </w:r>
      <w:r w:rsidRPr="005A284F">
        <w:rPr>
          <w:rFonts w:ascii="Times New Roman" w:hAnsi="Times New Roman" w:cs="Times New Roman"/>
          <w:sz w:val="18"/>
          <w:szCs w:val="18"/>
        </w:rPr>
        <w:t>20</w:t>
      </w:r>
      <w:r w:rsidRPr="005A284F">
        <w:rPr>
          <w:rFonts w:ascii="Times New Roman" w:hAnsi="Times New Roman" w:cs="Times New Roman"/>
          <w:sz w:val="18"/>
          <w:szCs w:val="18"/>
        </w:rPr>
        <w:t>多年从事食品行业的专业优势积累，形成了差异化的核心竞争力。公司食品业务瞄准万亿预制菜肴市场，养殖和屠宰业务的深厚经验为食品业务发展提供良好的支撑。如今，公司已经拥有全流程的研发生产能力，通过精细化加工工艺，形成众多用于不同渠道、不同市场的产品形态，满足不同客户的需求。主要竞争优势如下：</w:t>
      </w:r>
    </w:p>
    <w:p w14:paraId="6FA28EF3" w14:textId="77777777" w:rsidR="00A55F3B" w:rsidRDefault="00F97F74" w:rsidP="00A55F3B">
      <w:pPr>
        <w:pStyle w:val="a3"/>
        <w:spacing w:before="0" w:beforeAutospacing="0" w:after="0" w:afterAutospacing="0" w:line="276" w:lineRule="auto"/>
        <w:ind w:firstLine="200"/>
        <w:jc w:val="both"/>
        <w:divId w:val="1655916071"/>
        <w:rPr>
          <w:rFonts w:ascii="Times New Roman" w:hAnsi="Times New Roman" w:cs="Times New Roman"/>
          <w:sz w:val="18"/>
          <w:szCs w:val="18"/>
        </w:rPr>
      </w:pPr>
      <w:r w:rsidRPr="00F97F74">
        <w:rPr>
          <w:rFonts w:ascii="Times New Roman" w:hAnsi="Times New Roman" w:cs="Times New Roman"/>
          <w:sz w:val="18"/>
          <w:szCs w:val="18"/>
        </w:rPr>
        <w:lastRenderedPageBreak/>
        <w:t>（一</w:t>
      </w:r>
      <w:r>
        <w:rPr>
          <w:rFonts w:ascii="Times New Roman" w:hAnsi="Times New Roman" w:cs="Times New Roman"/>
          <w:sz w:val="18"/>
          <w:szCs w:val="18"/>
        </w:rPr>
        <w:t>）</w:t>
      </w:r>
      <w:r w:rsidRPr="005A284F">
        <w:rPr>
          <w:rFonts w:ascii="Times New Roman" w:hAnsi="Times New Roman" w:cs="Times New Roman"/>
          <w:sz w:val="18"/>
          <w:szCs w:val="18"/>
        </w:rPr>
        <w:t>品控优势</w:t>
      </w:r>
    </w:p>
    <w:p w14:paraId="03375DD6" w14:textId="5A00E6C9" w:rsidR="00F97F74" w:rsidRDefault="00000000" w:rsidP="00A55F3B">
      <w:pPr>
        <w:pStyle w:val="a3"/>
        <w:spacing w:before="0" w:beforeAutospacing="0" w:after="0" w:afterAutospacing="0" w:line="276" w:lineRule="auto"/>
        <w:ind w:firstLineChars="200" w:firstLine="360"/>
        <w:jc w:val="both"/>
        <w:divId w:val="1655916071"/>
        <w:rPr>
          <w:rFonts w:ascii="Times New Roman" w:hAnsi="Times New Roman" w:cs="Times New Roman"/>
          <w:sz w:val="18"/>
          <w:szCs w:val="18"/>
        </w:rPr>
      </w:pPr>
      <w:r w:rsidRPr="005A284F">
        <w:rPr>
          <w:rFonts w:ascii="Times New Roman" w:hAnsi="Times New Roman" w:cs="Times New Roman"/>
          <w:sz w:val="18"/>
          <w:szCs w:val="18"/>
        </w:rPr>
        <w:t>公司拥有二十多年对日出口的品质保障，严苛的出口品质管控体系锻造了龙大美食品质管理能力。同时，公司建立了质量与安全预警机制，从源头输入、加工过程、市场流通、市场抽检、行业动态全方位进行预警，防患于未然。并且，在多年的生产过程中，公司通过从原料采购、质量检测到冷链存储、即时零售的食品生产安全</w:t>
      </w:r>
      <w:r w:rsidRPr="005A284F">
        <w:rPr>
          <w:rFonts w:ascii="Times New Roman" w:hAnsi="Times New Roman" w:cs="Times New Roman"/>
          <w:sz w:val="18"/>
          <w:szCs w:val="18"/>
        </w:rPr>
        <w:t xml:space="preserve"> 12 </w:t>
      </w:r>
      <w:r w:rsidRPr="005A284F">
        <w:rPr>
          <w:rFonts w:ascii="Times New Roman" w:hAnsi="Times New Roman" w:cs="Times New Roman"/>
          <w:sz w:val="18"/>
          <w:szCs w:val="18"/>
        </w:rPr>
        <w:t>道工序，严守食品安全线，打造了以源头控制、质量体系、产品检测为核心的食品安全保证体系。做到批批都检验，全程可追溯，实现对原料、生产、产品的全过程把控。同时，公司品控部门拥有品质问题的一票否决权，严把出厂关。此外，全资子公司杰科检测，是专业从事食品安全检测的国家级检测机构，负责公司原料、半成品、成品和辅料等全方位检测。杰科检测目前可开展</w:t>
      </w:r>
      <w:r w:rsidRPr="005A284F">
        <w:rPr>
          <w:rFonts w:ascii="Times New Roman" w:hAnsi="Times New Roman" w:cs="Times New Roman"/>
          <w:sz w:val="18"/>
          <w:szCs w:val="18"/>
        </w:rPr>
        <w:t>8</w:t>
      </w:r>
      <w:r w:rsidRPr="005A284F">
        <w:rPr>
          <w:rFonts w:ascii="Times New Roman" w:hAnsi="Times New Roman" w:cs="Times New Roman"/>
          <w:sz w:val="18"/>
          <w:szCs w:val="18"/>
        </w:rPr>
        <w:t>个大类</w:t>
      </w:r>
      <w:r w:rsidRPr="005A284F">
        <w:rPr>
          <w:rFonts w:ascii="Times New Roman" w:hAnsi="Times New Roman" w:cs="Times New Roman"/>
          <w:sz w:val="18"/>
          <w:szCs w:val="18"/>
        </w:rPr>
        <w:t>1,111</w:t>
      </w:r>
      <w:r w:rsidRPr="005A284F">
        <w:rPr>
          <w:rFonts w:ascii="Times New Roman" w:hAnsi="Times New Roman" w:cs="Times New Roman"/>
          <w:sz w:val="18"/>
          <w:szCs w:val="18"/>
        </w:rPr>
        <w:t>项指标检测，在《色谱》《食品科学》等权威期刊发表论文</w:t>
      </w:r>
      <w:r w:rsidRPr="005A284F">
        <w:rPr>
          <w:rFonts w:ascii="Times New Roman" w:hAnsi="Times New Roman" w:cs="Times New Roman"/>
          <w:sz w:val="18"/>
          <w:szCs w:val="18"/>
        </w:rPr>
        <w:t>30</w:t>
      </w:r>
      <w:r w:rsidRPr="005A284F">
        <w:rPr>
          <w:rFonts w:ascii="Times New Roman" w:hAnsi="Times New Roman" w:cs="Times New Roman"/>
          <w:sz w:val="18"/>
          <w:szCs w:val="18"/>
        </w:rPr>
        <w:t>余篇，参与了</w:t>
      </w:r>
      <w:r w:rsidRPr="005A284F">
        <w:rPr>
          <w:rFonts w:ascii="Times New Roman" w:hAnsi="Times New Roman" w:cs="Times New Roman"/>
          <w:sz w:val="18"/>
          <w:szCs w:val="18"/>
        </w:rPr>
        <w:t>6</w:t>
      </w:r>
      <w:r w:rsidRPr="005A284F">
        <w:rPr>
          <w:rFonts w:ascii="Times New Roman" w:hAnsi="Times New Roman" w:cs="Times New Roman"/>
          <w:sz w:val="18"/>
          <w:szCs w:val="18"/>
        </w:rPr>
        <w:t>个标准的制修订。杰科检测依据国家标准、行业标准、进口国标准，为内贸和外贸企业提供专业化检测服务，年检测样品</w:t>
      </w:r>
      <w:r w:rsidRPr="005A284F">
        <w:rPr>
          <w:rFonts w:ascii="Times New Roman" w:hAnsi="Times New Roman" w:cs="Times New Roman"/>
          <w:sz w:val="18"/>
          <w:szCs w:val="18"/>
        </w:rPr>
        <w:t>4</w:t>
      </w:r>
      <w:r w:rsidRPr="005A284F">
        <w:rPr>
          <w:rFonts w:ascii="Times New Roman" w:hAnsi="Times New Roman" w:cs="Times New Roman"/>
          <w:sz w:val="18"/>
          <w:szCs w:val="18"/>
        </w:rPr>
        <w:t>万余个，进一步为公司食品安全提供了保障。</w:t>
      </w:r>
    </w:p>
    <w:p w14:paraId="10044553" w14:textId="77777777" w:rsidR="00F97F74" w:rsidRDefault="00000000" w:rsidP="00F97F74">
      <w:pPr>
        <w:pStyle w:val="a3"/>
        <w:spacing w:before="0" w:beforeAutospacing="0" w:after="0" w:afterAutospacing="0" w:line="276" w:lineRule="auto"/>
        <w:ind w:firstLine="200"/>
        <w:jc w:val="both"/>
        <w:divId w:val="1655916071"/>
        <w:rPr>
          <w:rFonts w:ascii="Times New Roman" w:hAnsi="Times New Roman" w:cs="Times New Roman"/>
          <w:sz w:val="18"/>
          <w:szCs w:val="18"/>
        </w:rPr>
      </w:pPr>
      <w:r w:rsidRPr="005A284F">
        <w:rPr>
          <w:rFonts w:ascii="Times New Roman" w:hAnsi="Times New Roman" w:cs="Times New Roman"/>
          <w:sz w:val="18"/>
          <w:szCs w:val="18"/>
        </w:rPr>
        <w:t>（二）研发优势</w:t>
      </w:r>
    </w:p>
    <w:p w14:paraId="571D07E5" w14:textId="77777777" w:rsidR="00F97F74" w:rsidRDefault="00000000" w:rsidP="00A55F3B">
      <w:pPr>
        <w:pStyle w:val="a3"/>
        <w:spacing w:before="0" w:beforeAutospacing="0" w:after="0" w:afterAutospacing="0" w:line="276" w:lineRule="auto"/>
        <w:ind w:firstLineChars="200" w:firstLine="360"/>
        <w:jc w:val="both"/>
        <w:divId w:val="1655916071"/>
        <w:rPr>
          <w:rFonts w:ascii="Times New Roman" w:hAnsi="Times New Roman" w:cs="Times New Roman"/>
          <w:sz w:val="18"/>
          <w:szCs w:val="18"/>
        </w:rPr>
      </w:pPr>
      <w:r w:rsidRPr="005A284F">
        <w:rPr>
          <w:rFonts w:ascii="Times New Roman" w:hAnsi="Times New Roman" w:cs="Times New Roman"/>
          <w:sz w:val="18"/>
          <w:szCs w:val="18"/>
        </w:rPr>
        <w:t>公司立足山东、上海、四川三大国内领先的食品研发中心，形成</w:t>
      </w:r>
      <w:r w:rsidRPr="005A284F">
        <w:rPr>
          <w:rFonts w:ascii="Times New Roman" w:hAnsi="Times New Roman" w:cs="Times New Roman"/>
          <w:sz w:val="18"/>
          <w:szCs w:val="18"/>
        </w:rPr>
        <w:t>“</w:t>
      </w:r>
      <w:r w:rsidRPr="005A284F">
        <w:rPr>
          <w:rFonts w:ascii="Times New Roman" w:hAnsi="Times New Roman" w:cs="Times New Roman"/>
          <w:sz w:val="18"/>
          <w:szCs w:val="18"/>
        </w:rPr>
        <w:t>三位一体</w:t>
      </w:r>
      <w:r w:rsidRPr="005A284F">
        <w:rPr>
          <w:rFonts w:ascii="Times New Roman" w:hAnsi="Times New Roman" w:cs="Times New Roman"/>
          <w:sz w:val="18"/>
          <w:szCs w:val="18"/>
        </w:rPr>
        <w:t>”</w:t>
      </w:r>
      <w:r w:rsidRPr="005A284F">
        <w:rPr>
          <w:rFonts w:ascii="Times New Roman" w:hAnsi="Times New Roman" w:cs="Times New Roman"/>
          <w:sz w:val="18"/>
          <w:szCs w:val="18"/>
        </w:rPr>
        <w:t>的研发格局，便于快速掌握当地客户的需求和市场变化趋势，并与当地客户进行近距离沟通和服务，深度把握当地食品口味和客户的喜好程度，持续推进特色食品的主动研发。公司已经与中国农业科学院质量标准与检测技术研究所、西华大学、山东农业大学、山东省农业科学院、济南大学、烟台大学等高校、科研院所开展稳定的产学研合作，实现工业与传统的融合，让中华美食走进千家万户。截至目前，公司已获得发明专利</w:t>
      </w:r>
      <w:r w:rsidRPr="005A284F">
        <w:rPr>
          <w:rFonts w:ascii="Times New Roman" w:hAnsi="Times New Roman" w:cs="Times New Roman"/>
          <w:sz w:val="18"/>
          <w:szCs w:val="18"/>
        </w:rPr>
        <w:t>8</w:t>
      </w:r>
      <w:r w:rsidRPr="005A284F">
        <w:rPr>
          <w:rFonts w:ascii="Times New Roman" w:hAnsi="Times New Roman" w:cs="Times New Roman"/>
          <w:sz w:val="18"/>
          <w:szCs w:val="18"/>
        </w:rPr>
        <w:t>项，实用新型专利</w:t>
      </w:r>
      <w:r w:rsidRPr="005A284F">
        <w:rPr>
          <w:rFonts w:ascii="Times New Roman" w:hAnsi="Times New Roman" w:cs="Times New Roman"/>
          <w:sz w:val="18"/>
          <w:szCs w:val="18"/>
        </w:rPr>
        <w:t>15</w:t>
      </w:r>
      <w:r w:rsidRPr="005A284F">
        <w:rPr>
          <w:rFonts w:ascii="Times New Roman" w:hAnsi="Times New Roman" w:cs="Times New Roman"/>
          <w:sz w:val="18"/>
          <w:szCs w:val="18"/>
        </w:rPr>
        <w:t>项，并参与了部分国家标准及团体标准的制定与修订，同时获得了中国食品工业协会科学技术奖一等奖、中国商业联合会科学技术奖二等奖等重量级奖项。</w:t>
      </w:r>
    </w:p>
    <w:p w14:paraId="41A7BE2B" w14:textId="77777777" w:rsidR="00F97F74" w:rsidRDefault="00000000" w:rsidP="00F97F74">
      <w:pPr>
        <w:pStyle w:val="a3"/>
        <w:spacing w:before="0" w:beforeAutospacing="0" w:after="0" w:afterAutospacing="0" w:line="276" w:lineRule="auto"/>
        <w:ind w:firstLine="200"/>
        <w:jc w:val="both"/>
        <w:divId w:val="1655916071"/>
        <w:rPr>
          <w:rFonts w:ascii="Times New Roman" w:hAnsi="Times New Roman" w:cs="Times New Roman"/>
          <w:sz w:val="18"/>
          <w:szCs w:val="18"/>
        </w:rPr>
      </w:pPr>
      <w:r w:rsidRPr="005A284F">
        <w:rPr>
          <w:rFonts w:ascii="Times New Roman" w:hAnsi="Times New Roman" w:cs="Times New Roman"/>
          <w:sz w:val="18"/>
          <w:szCs w:val="18"/>
        </w:rPr>
        <w:t>（三）产能及供应链优势</w:t>
      </w:r>
    </w:p>
    <w:p w14:paraId="2D69FC79" w14:textId="77777777" w:rsidR="00F97F74" w:rsidRDefault="00000000" w:rsidP="00A55F3B">
      <w:pPr>
        <w:pStyle w:val="a3"/>
        <w:spacing w:before="0" w:beforeAutospacing="0" w:after="0" w:afterAutospacing="0" w:line="276" w:lineRule="auto"/>
        <w:ind w:firstLineChars="200" w:firstLine="360"/>
        <w:jc w:val="both"/>
        <w:divId w:val="1655916071"/>
        <w:rPr>
          <w:rFonts w:ascii="Times New Roman" w:hAnsi="Times New Roman" w:cs="Times New Roman"/>
          <w:sz w:val="18"/>
          <w:szCs w:val="18"/>
        </w:rPr>
      </w:pPr>
      <w:r w:rsidRPr="005A284F">
        <w:rPr>
          <w:rFonts w:ascii="Times New Roman" w:hAnsi="Times New Roman" w:cs="Times New Roman"/>
          <w:sz w:val="18"/>
          <w:szCs w:val="18"/>
        </w:rPr>
        <w:t>公司屠宰总体设计产能</w:t>
      </w:r>
      <w:r w:rsidRPr="005A284F">
        <w:rPr>
          <w:rFonts w:ascii="Times New Roman" w:hAnsi="Times New Roman" w:cs="Times New Roman"/>
          <w:sz w:val="18"/>
          <w:szCs w:val="18"/>
        </w:rPr>
        <w:t>1,500</w:t>
      </w:r>
      <w:r w:rsidRPr="005A284F">
        <w:rPr>
          <w:rFonts w:ascii="Times New Roman" w:hAnsi="Times New Roman" w:cs="Times New Roman"/>
          <w:sz w:val="18"/>
          <w:szCs w:val="18"/>
        </w:rPr>
        <w:t>万头，养殖总体设计产能控制在屠宰产能的</w:t>
      </w:r>
      <w:r w:rsidRPr="005A284F">
        <w:rPr>
          <w:rFonts w:ascii="Times New Roman" w:hAnsi="Times New Roman" w:cs="Times New Roman"/>
          <w:sz w:val="18"/>
          <w:szCs w:val="18"/>
        </w:rPr>
        <w:t>10%</w:t>
      </w:r>
      <w:r w:rsidRPr="005A284F">
        <w:rPr>
          <w:rFonts w:ascii="Times New Roman" w:hAnsi="Times New Roman" w:cs="Times New Roman"/>
          <w:sz w:val="18"/>
          <w:szCs w:val="18"/>
        </w:rPr>
        <w:t>以内；现有食品加工产能</w:t>
      </w:r>
      <w:r w:rsidRPr="005A284F">
        <w:rPr>
          <w:rFonts w:ascii="Times New Roman" w:hAnsi="Times New Roman" w:cs="Times New Roman"/>
          <w:sz w:val="18"/>
          <w:szCs w:val="18"/>
        </w:rPr>
        <w:t>33</w:t>
      </w:r>
      <w:r w:rsidRPr="005A284F">
        <w:rPr>
          <w:rFonts w:ascii="Times New Roman" w:hAnsi="Times New Roman" w:cs="Times New Roman"/>
          <w:sz w:val="18"/>
          <w:szCs w:val="18"/>
        </w:rPr>
        <w:t>万吨，已基本实现华东、华北、西南、华中、华南等区域的全覆盖及全国化的产能布局。同时，经过多年发展和沉淀，公司在食品、屠宰和养殖领域积累了丰富的经营经验，形成集原材料、生产能力、新产品研发、全国化渠道等为一体的供应链整合和成本控制优势。物流配送上，公司依托源头基地和食品加工厂的全国化广泛布局，加快物流运输建设，缩短运输距离，保障运输效率和产品新鲜度，节约运输成本。随着全国化供应链布局的深入，公司通过全国化、规模化经营，解决了一般预制菜企业的区域化特征。</w:t>
      </w:r>
    </w:p>
    <w:p w14:paraId="63CC128A" w14:textId="77777777" w:rsidR="00F97F74" w:rsidRDefault="00000000" w:rsidP="00F97F74">
      <w:pPr>
        <w:pStyle w:val="a3"/>
        <w:spacing w:before="0" w:beforeAutospacing="0" w:after="0" w:afterAutospacing="0" w:line="276" w:lineRule="auto"/>
        <w:ind w:firstLine="200"/>
        <w:jc w:val="both"/>
        <w:divId w:val="1655916071"/>
        <w:rPr>
          <w:rFonts w:ascii="Times New Roman" w:hAnsi="Times New Roman" w:cs="Times New Roman"/>
          <w:sz w:val="18"/>
          <w:szCs w:val="18"/>
        </w:rPr>
      </w:pPr>
      <w:r w:rsidRPr="005A284F">
        <w:rPr>
          <w:rFonts w:ascii="Times New Roman" w:hAnsi="Times New Roman" w:cs="Times New Roman"/>
          <w:sz w:val="18"/>
          <w:szCs w:val="18"/>
        </w:rPr>
        <w:t>（四）渠道优势</w:t>
      </w:r>
    </w:p>
    <w:p w14:paraId="6AA3CFBC" w14:textId="77777777" w:rsidR="00F97F74" w:rsidRDefault="00000000" w:rsidP="00A55F3B">
      <w:pPr>
        <w:pStyle w:val="a3"/>
        <w:spacing w:before="0" w:beforeAutospacing="0" w:after="0" w:afterAutospacing="0" w:line="276" w:lineRule="auto"/>
        <w:ind w:firstLineChars="200" w:firstLine="360"/>
        <w:jc w:val="both"/>
        <w:divId w:val="1655916071"/>
        <w:rPr>
          <w:rFonts w:ascii="Times New Roman" w:hAnsi="Times New Roman" w:cs="Times New Roman"/>
          <w:sz w:val="18"/>
          <w:szCs w:val="18"/>
        </w:rPr>
      </w:pPr>
      <w:r w:rsidRPr="005A284F">
        <w:rPr>
          <w:rFonts w:ascii="Times New Roman" w:hAnsi="Times New Roman" w:cs="Times New Roman"/>
          <w:sz w:val="18"/>
          <w:szCs w:val="18"/>
        </w:rPr>
        <w:t>公司采取</w:t>
      </w:r>
      <w:r w:rsidRPr="005A284F">
        <w:rPr>
          <w:rFonts w:ascii="Times New Roman" w:hAnsi="Times New Roman" w:cs="Times New Roman"/>
          <w:sz w:val="18"/>
          <w:szCs w:val="18"/>
        </w:rPr>
        <w:t>B</w:t>
      </w:r>
      <w:r w:rsidRPr="005A284F">
        <w:rPr>
          <w:rFonts w:ascii="Times New Roman" w:hAnsi="Times New Roman" w:cs="Times New Roman"/>
          <w:sz w:val="18"/>
          <w:szCs w:val="18"/>
        </w:rPr>
        <w:t>端为主，</w:t>
      </w:r>
      <w:r w:rsidRPr="005A284F">
        <w:rPr>
          <w:rFonts w:ascii="Times New Roman" w:hAnsi="Times New Roman" w:cs="Times New Roman"/>
          <w:sz w:val="18"/>
          <w:szCs w:val="18"/>
        </w:rPr>
        <w:t>C</w:t>
      </w:r>
      <w:r w:rsidRPr="005A284F">
        <w:rPr>
          <w:rFonts w:ascii="Times New Roman" w:hAnsi="Times New Roman" w:cs="Times New Roman"/>
          <w:sz w:val="18"/>
          <w:szCs w:val="18"/>
        </w:rPr>
        <w:t>端为辅的渠道策略，依托二十余年对日出口的品质保障，建立了一套完善的客户服务标准规范。对大客户提供产品全生命周期管理服务，通过专人专班，满足客户对新品研发和产品品质的定制化需求。经过多年发展，公司已经与超过</w:t>
      </w:r>
      <w:r w:rsidRPr="005A284F">
        <w:rPr>
          <w:rFonts w:ascii="Times New Roman" w:hAnsi="Times New Roman" w:cs="Times New Roman"/>
          <w:sz w:val="18"/>
          <w:szCs w:val="18"/>
        </w:rPr>
        <w:t>1,000</w:t>
      </w:r>
      <w:r w:rsidRPr="005A284F">
        <w:rPr>
          <w:rFonts w:ascii="Times New Roman" w:hAnsi="Times New Roman" w:cs="Times New Roman"/>
          <w:sz w:val="18"/>
          <w:szCs w:val="18"/>
        </w:rPr>
        <w:t>家知名企业客户达成合作，为超过</w:t>
      </w:r>
      <w:r w:rsidRPr="005A284F">
        <w:rPr>
          <w:rFonts w:ascii="Times New Roman" w:hAnsi="Times New Roman" w:cs="Times New Roman"/>
          <w:sz w:val="18"/>
          <w:szCs w:val="18"/>
        </w:rPr>
        <w:t>200</w:t>
      </w:r>
      <w:r w:rsidRPr="005A284F">
        <w:rPr>
          <w:rFonts w:ascii="Times New Roman" w:hAnsi="Times New Roman" w:cs="Times New Roman"/>
          <w:sz w:val="18"/>
          <w:szCs w:val="18"/>
        </w:rPr>
        <w:t>家大型企业客户提供定制化产品服务。在优质的服务和产品供应体系下，公司形成了一批运营能力强，资金实力雄厚，对公司信赖度高的大客户资源。同时，公司通过积极开拓京东、抖音、拼多多、美团等平台的社区团购及电商直播渠道，</w:t>
      </w:r>
      <w:r w:rsidRPr="005A284F">
        <w:rPr>
          <w:rFonts w:ascii="Times New Roman" w:hAnsi="Times New Roman" w:cs="Times New Roman"/>
          <w:sz w:val="18"/>
          <w:szCs w:val="18"/>
        </w:rPr>
        <w:t>C</w:t>
      </w:r>
      <w:r w:rsidRPr="005A284F">
        <w:rPr>
          <w:rFonts w:ascii="Times New Roman" w:hAnsi="Times New Roman" w:cs="Times New Roman"/>
          <w:sz w:val="18"/>
          <w:szCs w:val="18"/>
        </w:rPr>
        <w:t>端客户规模实现稳步发展。</w:t>
      </w:r>
    </w:p>
    <w:p w14:paraId="50B5DC2B" w14:textId="674F5CB1" w:rsidR="000309B5" w:rsidRPr="005A284F" w:rsidRDefault="00000000" w:rsidP="00F97F74">
      <w:pPr>
        <w:pStyle w:val="a3"/>
        <w:spacing w:before="0" w:beforeAutospacing="0" w:after="0" w:afterAutospacing="0" w:line="276" w:lineRule="auto"/>
        <w:ind w:firstLine="200"/>
        <w:jc w:val="both"/>
        <w:divId w:val="1655916071"/>
        <w:rPr>
          <w:rFonts w:ascii="Times New Roman" w:hAnsi="Times New Roman" w:cs="Times New Roman"/>
          <w:sz w:val="18"/>
          <w:szCs w:val="18"/>
        </w:rPr>
      </w:pPr>
      <w:r w:rsidRPr="005A284F">
        <w:rPr>
          <w:rFonts w:ascii="Times New Roman" w:hAnsi="Times New Roman" w:cs="Times New Roman"/>
          <w:sz w:val="18"/>
          <w:szCs w:val="18"/>
        </w:rPr>
        <w:t>（五）品牌优势</w:t>
      </w:r>
    </w:p>
    <w:p w14:paraId="6BCC4CE3" w14:textId="11C0E23F" w:rsidR="000309B5" w:rsidRPr="005A284F" w:rsidRDefault="00000000" w:rsidP="00F97F74">
      <w:pPr>
        <w:pStyle w:val="a3"/>
        <w:spacing w:before="0" w:beforeAutospacing="0" w:after="0" w:afterAutospacing="0" w:line="276" w:lineRule="auto"/>
        <w:ind w:firstLineChars="200" w:firstLine="360"/>
        <w:jc w:val="both"/>
        <w:divId w:val="1655916071"/>
        <w:rPr>
          <w:rFonts w:ascii="Times New Roman" w:hAnsi="Times New Roman" w:cs="Times New Roman"/>
          <w:sz w:val="18"/>
          <w:szCs w:val="18"/>
        </w:rPr>
      </w:pPr>
      <w:r w:rsidRPr="005A284F">
        <w:rPr>
          <w:rFonts w:ascii="Times New Roman" w:hAnsi="Times New Roman" w:cs="Times New Roman"/>
          <w:sz w:val="18"/>
          <w:szCs w:val="18"/>
        </w:rPr>
        <w:t>公司高度重视品牌建设和发展，践行</w:t>
      </w:r>
      <w:r w:rsidRPr="005A284F">
        <w:rPr>
          <w:rFonts w:ascii="Times New Roman" w:hAnsi="Times New Roman" w:cs="Times New Roman"/>
          <w:sz w:val="18"/>
          <w:szCs w:val="18"/>
        </w:rPr>
        <w:t>“</w:t>
      </w:r>
      <w:r w:rsidRPr="005A284F">
        <w:rPr>
          <w:rFonts w:ascii="Times New Roman" w:hAnsi="Times New Roman" w:cs="Times New Roman"/>
          <w:sz w:val="18"/>
          <w:szCs w:val="18"/>
        </w:rPr>
        <w:t>诚信为本、品控为命、研发为天、销售为王、服务为上</w:t>
      </w:r>
      <w:r w:rsidRPr="005A284F">
        <w:rPr>
          <w:rFonts w:ascii="Times New Roman" w:hAnsi="Times New Roman" w:cs="Times New Roman"/>
          <w:sz w:val="18"/>
          <w:szCs w:val="18"/>
        </w:rPr>
        <w:t>”</w:t>
      </w:r>
      <w:r w:rsidRPr="005A284F">
        <w:rPr>
          <w:rFonts w:ascii="Times New Roman" w:hAnsi="Times New Roman" w:cs="Times New Roman"/>
          <w:sz w:val="18"/>
          <w:szCs w:val="18"/>
        </w:rPr>
        <w:t>的企业核心价值观，致力于成为国内领先的食品企业。在此基础上，公司持续强化品牌营销能力，创新打造品牌</w:t>
      </w:r>
      <w:r w:rsidRPr="005A284F">
        <w:rPr>
          <w:rFonts w:ascii="Times New Roman" w:hAnsi="Times New Roman" w:cs="Times New Roman"/>
          <w:sz w:val="18"/>
          <w:szCs w:val="18"/>
        </w:rPr>
        <w:t xml:space="preserve"> IP“</w:t>
      </w:r>
      <w:r w:rsidRPr="005A284F">
        <w:rPr>
          <w:rFonts w:ascii="Times New Roman" w:hAnsi="Times New Roman" w:cs="Times New Roman"/>
          <w:sz w:val="18"/>
          <w:szCs w:val="18"/>
        </w:rPr>
        <w:t>发发龙</w:t>
      </w:r>
      <w:r w:rsidRPr="005A284F">
        <w:rPr>
          <w:rFonts w:ascii="Times New Roman" w:hAnsi="Times New Roman" w:cs="Times New Roman"/>
          <w:sz w:val="18"/>
          <w:szCs w:val="18"/>
        </w:rPr>
        <w:t>”</w:t>
      </w:r>
      <w:r w:rsidRPr="005A284F">
        <w:rPr>
          <w:rFonts w:ascii="Times New Roman" w:hAnsi="Times New Roman" w:cs="Times New Roman"/>
          <w:sz w:val="18"/>
          <w:szCs w:val="18"/>
        </w:rPr>
        <w:t>，构建品牌与用户间的情感链接，加深品牌印象；参与中国食材电商节、西雅国际食品和饮料展览会等行业展会，增加品牌曝光度，加强与客户的洽谈合作；同时，作为世界肉类组织、中国肉类协会、山东健康肉产业联合会等行业协会的核心成员，积极参与行业标准制修订，推动产业发展。公司先后荣获</w:t>
      </w:r>
      <w:r w:rsidRPr="005A284F">
        <w:rPr>
          <w:rFonts w:ascii="Times New Roman" w:hAnsi="Times New Roman" w:cs="Times New Roman"/>
          <w:sz w:val="18"/>
          <w:szCs w:val="18"/>
        </w:rPr>
        <w:t>“</w:t>
      </w:r>
      <w:r w:rsidRPr="005A284F">
        <w:rPr>
          <w:rFonts w:ascii="Times New Roman" w:hAnsi="Times New Roman" w:cs="Times New Roman"/>
          <w:sz w:val="18"/>
          <w:szCs w:val="18"/>
        </w:rPr>
        <w:t>农业产业化国家重点龙头企业</w:t>
      </w:r>
      <w:r w:rsidRPr="005A284F">
        <w:rPr>
          <w:rFonts w:ascii="Times New Roman" w:hAnsi="Times New Roman" w:cs="Times New Roman"/>
          <w:sz w:val="18"/>
          <w:szCs w:val="18"/>
        </w:rPr>
        <w:t>”“</w:t>
      </w:r>
      <w:r w:rsidRPr="005A284F">
        <w:rPr>
          <w:rFonts w:ascii="Times New Roman" w:hAnsi="Times New Roman" w:cs="Times New Roman"/>
          <w:sz w:val="18"/>
          <w:szCs w:val="18"/>
        </w:rPr>
        <w:t>中国农业企业</w:t>
      </w:r>
      <w:r w:rsidRPr="005A284F">
        <w:rPr>
          <w:rFonts w:ascii="Times New Roman" w:hAnsi="Times New Roman" w:cs="Times New Roman"/>
          <w:sz w:val="18"/>
          <w:szCs w:val="18"/>
        </w:rPr>
        <w:t>500</w:t>
      </w:r>
      <w:r w:rsidRPr="005A284F">
        <w:rPr>
          <w:rFonts w:ascii="Times New Roman" w:hAnsi="Times New Roman" w:cs="Times New Roman"/>
          <w:sz w:val="18"/>
          <w:szCs w:val="18"/>
        </w:rPr>
        <w:t>强</w:t>
      </w:r>
      <w:r w:rsidRPr="005A284F">
        <w:rPr>
          <w:rFonts w:ascii="Times New Roman" w:hAnsi="Times New Roman" w:cs="Times New Roman"/>
          <w:sz w:val="18"/>
          <w:szCs w:val="18"/>
        </w:rPr>
        <w:t>”“</w:t>
      </w:r>
      <w:r w:rsidRPr="005A284F">
        <w:rPr>
          <w:rFonts w:ascii="Times New Roman" w:hAnsi="Times New Roman" w:cs="Times New Roman"/>
          <w:sz w:val="18"/>
          <w:szCs w:val="18"/>
        </w:rPr>
        <w:t>世界肉类组织双金会员</w:t>
      </w:r>
      <w:r w:rsidRPr="005A284F">
        <w:rPr>
          <w:rFonts w:ascii="Times New Roman" w:hAnsi="Times New Roman" w:cs="Times New Roman"/>
          <w:sz w:val="18"/>
          <w:szCs w:val="18"/>
        </w:rPr>
        <w:t>”“</w:t>
      </w:r>
      <w:r w:rsidRPr="005A284F">
        <w:rPr>
          <w:rFonts w:ascii="Times New Roman" w:hAnsi="Times New Roman" w:cs="Times New Roman"/>
          <w:sz w:val="18"/>
          <w:szCs w:val="18"/>
        </w:rPr>
        <w:t>中国肉类食品行业先进企业</w:t>
      </w:r>
      <w:r w:rsidRPr="005A284F">
        <w:rPr>
          <w:rFonts w:ascii="Times New Roman" w:hAnsi="Times New Roman" w:cs="Times New Roman"/>
          <w:sz w:val="18"/>
          <w:szCs w:val="18"/>
        </w:rPr>
        <w:t>”</w:t>
      </w:r>
      <w:r w:rsidR="009E68B2">
        <w:rPr>
          <w:rFonts w:ascii="Times New Roman" w:hAnsi="Times New Roman" w:cs="Times New Roman" w:hint="eastAsia"/>
          <w:sz w:val="18"/>
          <w:szCs w:val="18"/>
        </w:rPr>
        <w:t>和</w:t>
      </w:r>
      <w:r w:rsidRPr="005A284F">
        <w:rPr>
          <w:rFonts w:ascii="Times New Roman" w:hAnsi="Times New Roman" w:cs="Times New Roman"/>
          <w:sz w:val="18"/>
          <w:szCs w:val="18"/>
        </w:rPr>
        <w:t>“2024</w:t>
      </w:r>
      <w:r w:rsidRPr="005A284F">
        <w:rPr>
          <w:rFonts w:ascii="Times New Roman" w:hAnsi="Times New Roman" w:cs="Times New Roman"/>
          <w:sz w:val="18"/>
          <w:szCs w:val="18"/>
        </w:rPr>
        <w:t>山东企业社会责任卓越实践</w:t>
      </w:r>
      <w:r w:rsidRPr="005A284F">
        <w:rPr>
          <w:rFonts w:ascii="Times New Roman" w:hAnsi="Times New Roman" w:cs="Times New Roman"/>
          <w:sz w:val="18"/>
          <w:szCs w:val="18"/>
        </w:rPr>
        <w:t>”</w:t>
      </w:r>
      <w:r w:rsidRPr="005A284F">
        <w:rPr>
          <w:rFonts w:ascii="Times New Roman" w:hAnsi="Times New Roman" w:cs="Times New Roman"/>
          <w:sz w:val="18"/>
          <w:szCs w:val="18"/>
        </w:rPr>
        <w:t>等多项荣誉</w:t>
      </w:r>
      <w:r w:rsidR="00A55F3B">
        <w:rPr>
          <w:rFonts w:ascii="Times New Roman" w:hAnsi="Times New Roman" w:cs="Times New Roman" w:hint="eastAsia"/>
          <w:sz w:val="18"/>
          <w:szCs w:val="18"/>
        </w:rPr>
        <w:t>。</w:t>
      </w:r>
    </w:p>
    <w:p w14:paraId="17AE968E"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16" w:name="_Toc988905"/>
      <w:r w:rsidRPr="005A284F">
        <w:rPr>
          <w:rFonts w:ascii="Times New Roman" w:eastAsia="宋体" w:hAnsi="Times New Roman" w:cs="Times New Roman"/>
          <w:b/>
          <w:bCs/>
          <w:sz w:val="24"/>
          <w:szCs w:val="24"/>
        </w:rPr>
        <w:lastRenderedPageBreak/>
        <w:t>三、主营业务分析</w:t>
      </w:r>
      <w:bookmarkEnd w:id="16"/>
    </w:p>
    <w:p w14:paraId="1FD28341"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概述</w:t>
      </w:r>
    </w:p>
    <w:p w14:paraId="6A021AE5"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参见</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一、报告期内公司从事的主要业务</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相关内容。</w:t>
      </w:r>
    </w:p>
    <w:p w14:paraId="6DCEAB90"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主要财务数据同比变动情况</w:t>
      </w:r>
    </w:p>
    <w:p w14:paraId="2C98B47E" w14:textId="77777777" w:rsidR="006C011D" w:rsidRPr="005A284F" w:rsidRDefault="00000000">
      <w:pPr>
        <w:spacing w:before="120" w:after="12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C011D" w:rsidRPr="005A284F" w14:paraId="52D2328D"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950FEF1" w14:textId="77777777" w:rsidR="006C011D" w:rsidRPr="005A284F" w:rsidRDefault="006C011D">
            <w:pPr>
              <w:rPr>
                <w:rFonts w:ascii="Times New Roman" w:eastAsia="宋体" w:hAnsi="Times New Roman" w:cs="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351541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本报告期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213EFF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上年同期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1E9A90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同比增减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C054FC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变动原因</w:t>
            </w:r>
          </w:p>
        </w:tc>
      </w:tr>
      <w:tr w:rsidR="006C011D" w:rsidRPr="005A284F" w14:paraId="231956AA"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4EA19F8"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营业收入</w:t>
            </w:r>
          </w:p>
        </w:tc>
        <w:tc>
          <w:tcPr>
            <w:tcW w:w="1928" w:type="dxa"/>
            <w:tcBorders>
              <w:top w:val="single" w:sz="2" w:space="0" w:color="auto"/>
              <w:left w:val="single" w:sz="2" w:space="0" w:color="auto"/>
              <w:bottom w:val="single" w:sz="2" w:space="0" w:color="auto"/>
              <w:right w:val="single" w:sz="2" w:space="0" w:color="auto"/>
            </w:tcBorders>
            <w:vAlign w:val="center"/>
          </w:tcPr>
          <w:p w14:paraId="03F33BA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4,974,609,506.33</w:t>
            </w:r>
          </w:p>
        </w:tc>
        <w:tc>
          <w:tcPr>
            <w:tcW w:w="1928" w:type="dxa"/>
            <w:tcBorders>
              <w:top w:val="single" w:sz="2" w:space="0" w:color="auto"/>
              <w:left w:val="single" w:sz="2" w:space="0" w:color="auto"/>
              <w:bottom w:val="single" w:sz="2" w:space="0" w:color="auto"/>
              <w:right w:val="single" w:sz="2" w:space="0" w:color="auto"/>
            </w:tcBorders>
            <w:vAlign w:val="center"/>
          </w:tcPr>
          <w:p w14:paraId="25433E9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5,044,132,021.30</w:t>
            </w:r>
          </w:p>
        </w:tc>
        <w:tc>
          <w:tcPr>
            <w:tcW w:w="1928" w:type="dxa"/>
            <w:tcBorders>
              <w:top w:val="single" w:sz="2" w:space="0" w:color="auto"/>
              <w:left w:val="single" w:sz="2" w:space="0" w:color="auto"/>
              <w:bottom w:val="single" w:sz="2" w:space="0" w:color="auto"/>
              <w:right w:val="single" w:sz="2" w:space="0" w:color="auto"/>
            </w:tcBorders>
            <w:vAlign w:val="center"/>
          </w:tcPr>
          <w:p w14:paraId="1FC616E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-1.38%</w:t>
            </w:r>
          </w:p>
        </w:tc>
        <w:tc>
          <w:tcPr>
            <w:tcW w:w="1928" w:type="dxa"/>
            <w:tcBorders>
              <w:top w:val="single" w:sz="2" w:space="0" w:color="auto"/>
              <w:left w:val="single" w:sz="2" w:space="0" w:color="auto"/>
              <w:bottom w:val="single" w:sz="2" w:space="0" w:color="auto"/>
              <w:right w:val="single" w:sz="2" w:space="0" w:color="auto"/>
            </w:tcBorders>
            <w:vAlign w:val="center"/>
          </w:tcPr>
          <w:p w14:paraId="0D697E27" w14:textId="77777777" w:rsidR="006C011D" w:rsidRPr="005A284F" w:rsidRDefault="006C011D">
            <w:pPr>
              <w:spacing w:after="0" w:line="240" w:lineRule="exact"/>
              <w:rPr>
                <w:rFonts w:ascii="Times New Roman" w:eastAsia="宋体" w:hAnsi="Times New Roman" w:cs="Times New Roman"/>
                <w:sz w:val="18"/>
                <w:szCs w:val="18"/>
              </w:rPr>
            </w:pPr>
          </w:p>
        </w:tc>
      </w:tr>
      <w:tr w:rsidR="006C011D" w:rsidRPr="005A284F" w14:paraId="48C95BB5"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E1E8FF3"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营业成本</w:t>
            </w:r>
          </w:p>
        </w:tc>
        <w:tc>
          <w:tcPr>
            <w:tcW w:w="1928" w:type="dxa"/>
            <w:tcBorders>
              <w:top w:val="single" w:sz="2" w:space="0" w:color="auto"/>
              <w:left w:val="single" w:sz="2" w:space="0" w:color="auto"/>
              <w:bottom w:val="single" w:sz="2" w:space="0" w:color="auto"/>
              <w:right w:val="single" w:sz="2" w:space="0" w:color="auto"/>
            </w:tcBorders>
            <w:vAlign w:val="center"/>
          </w:tcPr>
          <w:p w14:paraId="15852F1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4,702,021,716.11</w:t>
            </w:r>
          </w:p>
        </w:tc>
        <w:tc>
          <w:tcPr>
            <w:tcW w:w="1928" w:type="dxa"/>
            <w:tcBorders>
              <w:top w:val="single" w:sz="2" w:space="0" w:color="auto"/>
              <w:left w:val="single" w:sz="2" w:space="0" w:color="auto"/>
              <w:bottom w:val="single" w:sz="2" w:space="0" w:color="auto"/>
              <w:right w:val="single" w:sz="2" w:space="0" w:color="auto"/>
            </w:tcBorders>
            <w:vAlign w:val="center"/>
          </w:tcPr>
          <w:p w14:paraId="316CB96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4,792,939,807.15</w:t>
            </w:r>
          </w:p>
        </w:tc>
        <w:tc>
          <w:tcPr>
            <w:tcW w:w="1928" w:type="dxa"/>
            <w:tcBorders>
              <w:top w:val="single" w:sz="2" w:space="0" w:color="auto"/>
              <w:left w:val="single" w:sz="2" w:space="0" w:color="auto"/>
              <w:bottom w:val="single" w:sz="2" w:space="0" w:color="auto"/>
              <w:right w:val="single" w:sz="2" w:space="0" w:color="auto"/>
            </w:tcBorders>
            <w:vAlign w:val="center"/>
          </w:tcPr>
          <w:p w14:paraId="3311B72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-1.90%</w:t>
            </w:r>
          </w:p>
        </w:tc>
        <w:tc>
          <w:tcPr>
            <w:tcW w:w="1928" w:type="dxa"/>
            <w:tcBorders>
              <w:top w:val="single" w:sz="2" w:space="0" w:color="auto"/>
              <w:left w:val="single" w:sz="2" w:space="0" w:color="auto"/>
              <w:bottom w:val="single" w:sz="2" w:space="0" w:color="auto"/>
              <w:right w:val="single" w:sz="2" w:space="0" w:color="auto"/>
            </w:tcBorders>
            <w:vAlign w:val="center"/>
          </w:tcPr>
          <w:p w14:paraId="49AB397D" w14:textId="77777777" w:rsidR="006C011D" w:rsidRPr="005A284F" w:rsidRDefault="006C011D">
            <w:pPr>
              <w:spacing w:after="0" w:line="240" w:lineRule="exact"/>
              <w:rPr>
                <w:rFonts w:ascii="Times New Roman" w:eastAsia="宋体" w:hAnsi="Times New Roman" w:cs="Times New Roman"/>
                <w:sz w:val="18"/>
                <w:szCs w:val="18"/>
              </w:rPr>
            </w:pPr>
          </w:p>
        </w:tc>
      </w:tr>
      <w:tr w:rsidR="006C011D" w:rsidRPr="005A284F" w14:paraId="738ACCF6"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FD00CC9"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销售费用</w:t>
            </w:r>
          </w:p>
        </w:tc>
        <w:tc>
          <w:tcPr>
            <w:tcW w:w="1928" w:type="dxa"/>
            <w:tcBorders>
              <w:top w:val="single" w:sz="2" w:space="0" w:color="auto"/>
              <w:left w:val="single" w:sz="2" w:space="0" w:color="auto"/>
              <w:bottom w:val="single" w:sz="2" w:space="0" w:color="auto"/>
              <w:right w:val="single" w:sz="2" w:space="0" w:color="auto"/>
            </w:tcBorders>
            <w:vAlign w:val="center"/>
          </w:tcPr>
          <w:p w14:paraId="1B8779A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49,716,998.40</w:t>
            </w:r>
          </w:p>
        </w:tc>
        <w:tc>
          <w:tcPr>
            <w:tcW w:w="1928" w:type="dxa"/>
            <w:tcBorders>
              <w:top w:val="single" w:sz="2" w:space="0" w:color="auto"/>
              <w:left w:val="single" w:sz="2" w:space="0" w:color="auto"/>
              <w:bottom w:val="single" w:sz="2" w:space="0" w:color="auto"/>
              <w:right w:val="single" w:sz="2" w:space="0" w:color="auto"/>
            </w:tcBorders>
            <w:vAlign w:val="center"/>
          </w:tcPr>
          <w:p w14:paraId="3752AE3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57,280,512.12</w:t>
            </w:r>
          </w:p>
        </w:tc>
        <w:tc>
          <w:tcPr>
            <w:tcW w:w="1928" w:type="dxa"/>
            <w:tcBorders>
              <w:top w:val="single" w:sz="2" w:space="0" w:color="auto"/>
              <w:left w:val="single" w:sz="2" w:space="0" w:color="auto"/>
              <w:bottom w:val="single" w:sz="2" w:space="0" w:color="auto"/>
              <w:right w:val="single" w:sz="2" w:space="0" w:color="auto"/>
            </w:tcBorders>
            <w:vAlign w:val="center"/>
          </w:tcPr>
          <w:p w14:paraId="79F371A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-13.20%</w:t>
            </w:r>
          </w:p>
        </w:tc>
        <w:tc>
          <w:tcPr>
            <w:tcW w:w="1928" w:type="dxa"/>
            <w:tcBorders>
              <w:top w:val="single" w:sz="2" w:space="0" w:color="auto"/>
              <w:left w:val="single" w:sz="2" w:space="0" w:color="auto"/>
              <w:bottom w:val="single" w:sz="2" w:space="0" w:color="auto"/>
              <w:right w:val="single" w:sz="2" w:space="0" w:color="auto"/>
            </w:tcBorders>
            <w:vAlign w:val="center"/>
          </w:tcPr>
          <w:p w14:paraId="0B5C6B3D" w14:textId="77777777" w:rsidR="006C011D" w:rsidRPr="005A284F" w:rsidRDefault="006C011D">
            <w:pPr>
              <w:spacing w:after="0" w:line="240" w:lineRule="exact"/>
              <w:rPr>
                <w:rFonts w:ascii="Times New Roman" w:eastAsia="宋体" w:hAnsi="Times New Roman" w:cs="Times New Roman"/>
                <w:sz w:val="18"/>
                <w:szCs w:val="18"/>
              </w:rPr>
            </w:pPr>
          </w:p>
        </w:tc>
      </w:tr>
      <w:tr w:rsidR="006C011D" w:rsidRPr="005A284F" w14:paraId="359CDC10"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EE5F659"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管理费用</w:t>
            </w:r>
          </w:p>
        </w:tc>
        <w:tc>
          <w:tcPr>
            <w:tcW w:w="1928" w:type="dxa"/>
            <w:tcBorders>
              <w:top w:val="single" w:sz="2" w:space="0" w:color="auto"/>
              <w:left w:val="single" w:sz="2" w:space="0" w:color="auto"/>
              <w:bottom w:val="single" w:sz="2" w:space="0" w:color="auto"/>
              <w:right w:val="single" w:sz="2" w:space="0" w:color="auto"/>
            </w:tcBorders>
            <w:vAlign w:val="center"/>
          </w:tcPr>
          <w:p w14:paraId="47288D4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115,974,605.11</w:t>
            </w:r>
          </w:p>
        </w:tc>
        <w:tc>
          <w:tcPr>
            <w:tcW w:w="1928" w:type="dxa"/>
            <w:tcBorders>
              <w:top w:val="single" w:sz="2" w:space="0" w:color="auto"/>
              <w:left w:val="single" w:sz="2" w:space="0" w:color="auto"/>
              <w:bottom w:val="single" w:sz="2" w:space="0" w:color="auto"/>
              <w:right w:val="single" w:sz="2" w:space="0" w:color="auto"/>
            </w:tcBorders>
            <w:vAlign w:val="center"/>
          </w:tcPr>
          <w:p w14:paraId="79C0813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113,862,139.49</w:t>
            </w:r>
          </w:p>
        </w:tc>
        <w:tc>
          <w:tcPr>
            <w:tcW w:w="1928" w:type="dxa"/>
            <w:tcBorders>
              <w:top w:val="single" w:sz="2" w:space="0" w:color="auto"/>
              <w:left w:val="single" w:sz="2" w:space="0" w:color="auto"/>
              <w:bottom w:val="single" w:sz="2" w:space="0" w:color="auto"/>
              <w:right w:val="single" w:sz="2" w:space="0" w:color="auto"/>
            </w:tcBorders>
            <w:vAlign w:val="center"/>
          </w:tcPr>
          <w:p w14:paraId="6929B2B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1.86%</w:t>
            </w:r>
          </w:p>
        </w:tc>
        <w:tc>
          <w:tcPr>
            <w:tcW w:w="1928" w:type="dxa"/>
            <w:tcBorders>
              <w:top w:val="single" w:sz="2" w:space="0" w:color="auto"/>
              <w:left w:val="single" w:sz="2" w:space="0" w:color="auto"/>
              <w:bottom w:val="single" w:sz="2" w:space="0" w:color="auto"/>
              <w:right w:val="single" w:sz="2" w:space="0" w:color="auto"/>
            </w:tcBorders>
            <w:vAlign w:val="center"/>
          </w:tcPr>
          <w:p w14:paraId="7FBAA019" w14:textId="77777777" w:rsidR="006C011D" w:rsidRPr="005A284F" w:rsidRDefault="006C011D">
            <w:pPr>
              <w:spacing w:after="0" w:line="240" w:lineRule="exact"/>
              <w:rPr>
                <w:rFonts w:ascii="Times New Roman" w:eastAsia="宋体" w:hAnsi="Times New Roman" w:cs="Times New Roman"/>
                <w:sz w:val="18"/>
                <w:szCs w:val="18"/>
              </w:rPr>
            </w:pPr>
          </w:p>
        </w:tc>
      </w:tr>
      <w:tr w:rsidR="006C011D" w:rsidRPr="005A284F" w14:paraId="5E00DFBB"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DB32AC0"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财务费用</w:t>
            </w:r>
          </w:p>
        </w:tc>
        <w:tc>
          <w:tcPr>
            <w:tcW w:w="1928" w:type="dxa"/>
            <w:tcBorders>
              <w:top w:val="single" w:sz="2" w:space="0" w:color="auto"/>
              <w:left w:val="single" w:sz="2" w:space="0" w:color="auto"/>
              <w:bottom w:val="single" w:sz="2" w:space="0" w:color="auto"/>
              <w:right w:val="single" w:sz="2" w:space="0" w:color="auto"/>
            </w:tcBorders>
            <w:vAlign w:val="center"/>
          </w:tcPr>
          <w:p w14:paraId="3D7BF8E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61,816,284.48</w:t>
            </w:r>
          </w:p>
        </w:tc>
        <w:tc>
          <w:tcPr>
            <w:tcW w:w="1928" w:type="dxa"/>
            <w:tcBorders>
              <w:top w:val="single" w:sz="2" w:space="0" w:color="auto"/>
              <w:left w:val="single" w:sz="2" w:space="0" w:color="auto"/>
              <w:bottom w:val="single" w:sz="2" w:space="0" w:color="auto"/>
              <w:right w:val="single" w:sz="2" w:space="0" w:color="auto"/>
            </w:tcBorders>
            <w:vAlign w:val="center"/>
          </w:tcPr>
          <w:p w14:paraId="5808274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41,583,074.58</w:t>
            </w:r>
          </w:p>
        </w:tc>
        <w:tc>
          <w:tcPr>
            <w:tcW w:w="1928" w:type="dxa"/>
            <w:tcBorders>
              <w:top w:val="single" w:sz="2" w:space="0" w:color="auto"/>
              <w:left w:val="single" w:sz="2" w:space="0" w:color="auto"/>
              <w:bottom w:val="single" w:sz="2" w:space="0" w:color="auto"/>
              <w:right w:val="single" w:sz="2" w:space="0" w:color="auto"/>
            </w:tcBorders>
            <w:vAlign w:val="center"/>
          </w:tcPr>
          <w:p w14:paraId="4BD8CB6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48.66%</w:t>
            </w:r>
          </w:p>
        </w:tc>
        <w:tc>
          <w:tcPr>
            <w:tcW w:w="1928" w:type="dxa"/>
            <w:tcBorders>
              <w:top w:val="single" w:sz="2" w:space="0" w:color="auto"/>
              <w:left w:val="single" w:sz="2" w:space="0" w:color="auto"/>
              <w:bottom w:val="single" w:sz="2" w:space="0" w:color="auto"/>
              <w:right w:val="single" w:sz="2" w:space="0" w:color="auto"/>
            </w:tcBorders>
            <w:vAlign w:val="center"/>
          </w:tcPr>
          <w:p w14:paraId="57010A9C" w14:textId="70CE2F95"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主要原因系本期部分利息</w:t>
            </w:r>
            <w:r w:rsidR="00416649">
              <w:rPr>
                <w:rFonts w:ascii="Times New Roman" w:eastAsia="宋体" w:hAnsi="Times New Roman" w:cs="Times New Roman" w:hint="eastAsia"/>
                <w:sz w:val="18"/>
                <w:szCs w:val="18"/>
              </w:rPr>
              <w:t>支出</w:t>
            </w:r>
            <w:r w:rsidRPr="005A284F">
              <w:rPr>
                <w:rFonts w:ascii="Times New Roman" w:eastAsia="宋体" w:hAnsi="Times New Roman" w:cs="Times New Roman"/>
                <w:sz w:val="18"/>
                <w:szCs w:val="18"/>
              </w:rPr>
              <w:t>由于</w:t>
            </w:r>
            <w:r w:rsidR="00416649">
              <w:rPr>
                <w:rFonts w:ascii="Times New Roman" w:eastAsia="宋体" w:hAnsi="Times New Roman" w:cs="Times New Roman" w:hint="eastAsia"/>
                <w:sz w:val="18"/>
                <w:szCs w:val="18"/>
              </w:rPr>
              <w:t>在建工程</w:t>
            </w:r>
            <w:r w:rsidRPr="005A284F">
              <w:rPr>
                <w:rFonts w:ascii="Times New Roman" w:eastAsia="宋体" w:hAnsi="Times New Roman" w:cs="Times New Roman"/>
                <w:sz w:val="18"/>
                <w:szCs w:val="18"/>
              </w:rPr>
              <w:t>转固无法资本化所致</w:t>
            </w:r>
            <w:r w:rsidR="00942F08">
              <w:rPr>
                <w:rFonts w:ascii="Times New Roman" w:eastAsia="宋体" w:hAnsi="Times New Roman" w:cs="Times New Roman" w:hint="eastAsia"/>
                <w:sz w:val="18"/>
                <w:szCs w:val="18"/>
              </w:rPr>
              <w:t>。</w:t>
            </w:r>
          </w:p>
        </w:tc>
      </w:tr>
      <w:tr w:rsidR="006C011D" w:rsidRPr="005A284F" w14:paraId="2D9E47C2"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293F9B3"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所得税费用</w:t>
            </w:r>
          </w:p>
        </w:tc>
        <w:tc>
          <w:tcPr>
            <w:tcW w:w="1928" w:type="dxa"/>
            <w:tcBorders>
              <w:top w:val="single" w:sz="2" w:space="0" w:color="auto"/>
              <w:left w:val="single" w:sz="2" w:space="0" w:color="auto"/>
              <w:bottom w:val="single" w:sz="2" w:space="0" w:color="auto"/>
              <w:right w:val="single" w:sz="2" w:space="0" w:color="auto"/>
            </w:tcBorders>
            <w:vAlign w:val="center"/>
          </w:tcPr>
          <w:p w14:paraId="61DF300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1,407,079.06</w:t>
            </w:r>
          </w:p>
        </w:tc>
        <w:tc>
          <w:tcPr>
            <w:tcW w:w="1928" w:type="dxa"/>
            <w:tcBorders>
              <w:top w:val="single" w:sz="2" w:space="0" w:color="auto"/>
              <w:left w:val="single" w:sz="2" w:space="0" w:color="auto"/>
              <w:bottom w:val="single" w:sz="2" w:space="0" w:color="auto"/>
              <w:right w:val="single" w:sz="2" w:space="0" w:color="auto"/>
            </w:tcBorders>
            <w:vAlign w:val="center"/>
          </w:tcPr>
          <w:p w14:paraId="4A425AE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-6,145,655.16</w:t>
            </w:r>
          </w:p>
        </w:tc>
        <w:tc>
          <w:tcPr>
            <w:tcW w:w="1928" w:type="dxa"/>
            <w:tcBorders>
              <w:top w:val="single" w:sz="2" w:space="0" w:color="auto"/>
              <w:left w:val="single" w:sz="2" w:space="0" w:color="auto"/>
              <w:bottom w:val="single" w:sz="2" w:space="0" w:color="auto"/>
              <w:right w:val="single" w:sz="2" w:space="0" w:color="auto"/>
            </w:tcBorders>
            <w:vAlign w:val="center"/>
          </w:tcPr>
          <w:p w14:paraId="6EA5378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122.90%</w:t>
            </w:r>
          </w:p>
        </w:tc>
        <w:tc>
          <w:tcPr>
            <w:tcW w:w="1928" w:type="dxa"/>
            <w:tcBorders>
              <w:top w:val="single" w:sz="2" w:space="0" w:color="auto"/>
              <w:left w:val="single" w:sz="2" w:space="0" w:color="auto"/>
              <w:bottom w:val="single" w:sz="2" w:space="0" w:color="auto"/>
              <w:right w:val="single" w:sz="2" w:space="0" w:color="auto"/>
            </w:tcBorders>
            <w:vAlign w:val="center"/>
          </w:tcPr>
          <w:p w14:paraId="534F8B4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主要原因系计提递延所得税减少所致。</w:t>
            </w:r>
          </w:p>
        </w:tc>
      </w:tr>
      <w:tr w:rsidR="006C011D" w:rsidRPr="005A284F" w14:paraId="081B5F36"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C339CB8"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研发投入</w:t>
            </w:r>
          </w:p>
        </w:tc>
        <w:tc>
          <w:tcPr>
            <w:tcW w:w="1928" w:type="dxa"/>
            <w:tcBorders>
              <w:top w:val="single" w:sz="2" w:space="0" w:color="auto"/>
              <w:left w:val="single" w:sz="2" w:space="0" w:color="auto"/>
              <w:bottom w:val="single" w:sz="2" w:space="0" w:color="auto"/>
              <w:right w:val="single" w:sz="2" w:space="0" w:color="auto"/>
            </w:tcBorders>
            <w:vAlign w:val="center"/>
          </w:tcPr>
          <w:p w14:paraId="530FFE0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4,309,154.70</w:t>
            </w:r>
          </w:p>
        </w:tc>
        <w:tc>
          <w:tcPr>
            <w:tcW w:w="1928" w:type="dxa"/>
            <w:tcBorders>
              <w:top w:val="single" w:sz="2" w:space="0" w:color="auto"/>
              <w:left w:val="single" w:sz="2" w:space="0" w:color="auto"/>
              <w:bottom w:val="single" w:sz="2" w:space="0" w:color="auto"/>
              <w:right w:val="single" w:sz="2" w:space="0" w:color="auto"/>
            </w:tcBorders>
            <w:vAlign w:val="center"/>
          </w:tcPr>
          <w:p w14:paraId="2790714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3,137,108.09</w:t>
            </w:r>
          </w:p>
        </w:tc>
        <w:tc>
          <w:tcPr>
            <w:tcW w:w="1928" w:type="dxa"/>
            <w:tcBorders>
              <w:top w:val="single" w:sz="2" w:space="0" w:color="auto"/>
              <w:left w:val="single" w:sz="2" w:space="0" w:color="auto"/>
              <w:bottom w:val="single" w:sz="2" w:space="0" w:color="auto"/>
              <w:right w:val="single" w:sz="2" w:space="0" w:color="auto"/>
            </w:tcBorders>
            <w:vAlign w:val="center"/>
          </w:tcPr>
          <w:p w14:paraId="6B56E03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37.36%</w:t>
            </w:r>
          </w:p>
        </w:tc>
        <w:tc>
          <w:tcPr>
            <w:tcW w:w="1928" w:type="dxa"/>
            <w:tcBorders>
              <w:top w:val="single" w:sz="2" w:space="0" w:color="auto"/>
              <w:left w:val="single" w:sz="2" w:space="0" w:color="auto"/>
              <w:bottom w:val="single" w:sz="2" w:space="0" w:color="auto"/>
              <w:right w:val="single" w:sz="2" w:space="0" w:color="auto"/>
            </w:tcBorders>
            <w:vAlign w:val="center"/>
          </w:tcPr>
          <w:p w14:paraId="7EE3E6D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主要原因系本期研发投入增加所致。</w:t>
            </w:r>
          </w:p>
        </w:tc>
      </w:tr>
      <w:tr w:rsidR="006C011D" w:rsidRPr="005A284F" w14:paraId="29D86E3A"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D204867"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经营活动产生的现金流量净额</w:t>
            </w:r>
          </w:p>
        </w:tc>
        <w:tc>
          <w:tcPr>
            <w:tcW w:w="1928" w:type="dxa"/>
            <w:tcBorders>
              <w:top w:val="single" w:sz="2" w:space="0" w:color="auto"/>
              <w:left w:val="single" w:sz="2" w:space="0" w:color="auto"/>
              <w:bottom w:val="single" w:sz="2" w:space="0" w:color="auto"/>
              <w:right w:val="single" w:sz="2" w:space="0" w:color="auto"/>
            </w:tcBorders>
            <w:vAlign w:val="center"/>
          </w:tcPr>
          <w:p w14:paraId="7A864A3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113,387,980.81</w:t>
            </w:r>
          </w:p>
        </w:tc>
        <w:tc>
          <w:tcPr>
            <w:tcW w:w="1928" w:type="dxa"/>
            <w:tcBorders>
              <w:top w:val="single" w:sz="2" w:space="0" w:color="auto"/>
              <w:left w:val="single" w:sz="2" w:space="0" w:color="auto"/>
              <w:bottom w:val="single" w:sz="2" w:space="0" w:color="auto"/>
              <w:right w:val="single" w:sz="2" w:space="0" w:color="auto"/>
            </w:tcBorders>
            <w:vAlign w:val="center"/>
          </w:tcPr>
          <w:p w14:paraId="0CDA260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221,525,233.05</w:t>
            </w:r>
          </w:p>
        </w:tc>
        <w:tc>
          <w:tcPr>
            <w:tcW w:w="1928" w:type="dxa"/>
            <w:tcBorders>
              <w:top w:val="single" w:sz="2" w:space="0" w:color="auto"/>
              <w:left w:val="single" w:sz="2" w:space="0" w:color="auto"/>
              <w:bottom w:val="single" w:sz="2" w:space="0" w:color="auto"/>
              <w:right w:val="single" w:sz="2" w:space="0" w:color="auto"/>
            </w:tcBorders>
            <w:vAlign w:val="center"/>
          </w:tcPr>
          <w:p w14:paraId="27F1B2B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-48.81%</w:t>
            </w:r>
          </w:p>
        </w:tc>
        <w:tc>
          <w:tcPr>
            <w:tcW w:w="1928" w:type="dxa"/>
            <w:tcBorders>
              <w:top w:val="single" w:sz="2" w:space="0" w:color="auto"/>
              <w:left w:val="single" w:sz="2" w:space="0" w:color="auto"/>
              <w:bottom w:val="single" w:sz="2" w:space="0" w:color="auto"/>
              <w:right w:val="single" w:sz="2" w:space="0" w:color="auto"/>
            </w:tcBorders>
            <w:vAlign w:val="center"/>
          </w:tcPr>
          <w:p w14:paraId="7E62A81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主要原因系本期经营活动现金流入较去年同期减少所致。</w:t>
            </w:r>
          </w:p>
        </w:tc>
      </w:tr>
      <w:tr w:rsidR="006C011D" w:rsidRPr="005A284F" w14:paraId="485509D1"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F096D20"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投资活动产生的现金流量净额</w:t>
            </w:r>
          </w:p>
        </w:tc>
        <w:tc>
          <w:tcPr>
            <w:tcW w:w="1928" w:type="dxa"/>
            <w:tcBorders>
              <w:top w:val="single" w:sz="2" w:space="0" w:color="auto"/>
              <w:left w:val="single" w:sz="2" w:space="0" w:color="auto"/>
              <w:bottom w:val="single" w:sz="2" w:space="0" w:color="auto"/>
              <w:right w:val="single" w:sz="2" w:space="0" w:color="auto"/>
            </w:tcBorders>
            <w:vAlign w:val="center"/>
          </w:tcPr>
          <w:p w14:paraId="57AC5E7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2,761,115.10</w:t>
            </w:r>
          </w:p>
        </w:tc>
        <w:tc>
          <w:tcPr>
            <w:tcW w:w="1928" w:type="dxa"/>
            <w:tcBorders>
              <w:top w:val="single" w:sz="2" w:space="0" w:color="auto"/>
              <w:left w:val="single" w:sz="2" w:space="0" w:color="auto"/>
              <w:bottom w:val="single" w:sz="2" w:space="0" w:color="auto"/>
              <w:right w:val="single" w:sz="2" w:space="0" w:color="auto"/>
            </w:tcBorders>
            <w:vAlign w:val="center"/>
          </w:tcPr>
          <w:p w14:paraId="0AB095D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-105,844,506.26</w:t>
            </w:r>
          </w:p>
        </w:tc>
        <w:tc>
          <w:tcPr>
            <w:tcW w:w="1928" w:type="dxa"/>
            <w:tcBorders>
              <w:top w:val="single" w:sz="2" w:space="0" w:color="auto"/>
              <w:left w:val="single" w:sz="2" w:space="0" w:color="auto"/>
              <w:bottom w:val="single" w:sz="2" w:space="0" w:color="auto"/>
              <w:right w:val="single" w:sz="2" w:space="0" w:color="auto"/>
            </w:tcBorders>
            <w:vAlign w:val="center"/>
          </w:tcPr>
          <w:p w14:paraId="3370D25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102.61%</w:t>
            </w:r>
          </w:p>
        </w:tc>
        <w:tc>
          <w:tcPr>
            <w:tcW w:w="1928" w:type="dxa"/>
            <w:tcBorders>
              <w:top w:val="single" w:sz="2" w:space="0" w:color="auto"/>
              <w:left w:val="single" w:sz="2" w:space="0" w:color="auto"/>
              <w:bottom w:val="single" w:sz="2" w:space="0" w:color="auto"/>
              <w:right w:val="single" w:sz="2" w:space="0" w:color="auto"/>
            </w:tcBorders>
            <w:vAlign w:val="center"/>
          </w:tcPr>
          <w:p w14:paraId="0A43064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主要原因系本期支付项目建设款项减少所致。</w:t>
            </w:r>
          </w:p>
        </w:tc>
      </w:tr>
      <w:tr w:rsidR="006C011D" w:rsidRPr="005A284F" w14:paraId="0BAE367E"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16674F7"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筹资活动产生的现金流量净额</w:t>
            </w:r>
          </w:p>
        </w:tc>
        <w:tc>
          <w:tcPr>
            <w:tcW w:w="1928" w:type="dxa"/>
            <w:tcBorders>
              <w:top w:val="single" w:sz="2" w:space="0" w:color="auto"/>
              <w:left w:val="single" w:sz="2" w:space="0" w:color="auto"/>
              <w:bottom w:val="single" w:sz="2" w:space="0" w:color="auto"/>
              <w:right w:val="single" w:sz="2" w:space="0" w:color="auto"/>
            </w:tcBorders>
            <w:vAlign w:val="center"/>
          </w:tcPr>
          <w:p w14:paraId="52A1D9A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-83,706,856.70</w:t>
            </w:r>
          </w:p>
        </w:tc>
        <w:tc>
          <w:tcPr>
            <w:tcW w:w="1928" w:type="dxa"/>
            <w:tcBorders>
              <w:top w:val="single" w:sz="2" w:space="0" w:color="auto"/>
              <w:left w:val="single" w:sz="2" w:space="0" w:color="auto"/>
              <w:bottom w:val="single" w:sz="2" w:space="0" w:color="auto"/>
              <w:right w:val="single" w:sz="2" w:space="0" w:color="auto"/>
            </w:tcBorders>
            <w:vAlign w:val="center"/>
          </w:tcPr>
          <w:p w14:paraId="2626F4A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-361,054,076.04</w:t>
            </w:r>
          </w:p>
        </w:tc>
        <w:tc>
          <w:tcPr>
            <w:tcW w:w="1928" w:type="dxa"/>
            <w:tcBorders>
              <w:top w:val="single" w:sz="2" w:space="0" w:color="auto"/>
              <w:left w:val="single" w:sz="2" w:space="0" w:color="auto"/>
              <w:bottom w:val="single" w:sz="2" w:space="0" w:color="auto"/>
              <w:right w:val="single" w:sz="2" w:space="0" w:color="auto"/>
            </w:tcBorders>
            <w:vAlign w:val="center"/>
          </w:tcPr>
          <w:p w14:paraId="3F84263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76.82%</w:t>
            </w:r>
          </w:p>
        </w:tc>
        <w:tc>
          <w:tcPr>
            <w:tcW w:w="1928" w:type="dxa"/>
            <w:tcBorders>
              <w:top w:val="single" w:sz="2" w:space="0" w:color="auto"/>
              <w:left w:val="single" w:sz="2" w:space="0" w:color="auto"/>
              <w:bottom w:val="single" w:sz="2" w:space="0" w:color="auto"/>
              <w:right w:val="single" w:sz="2" w:space="0" w:color="auto"/>
            </w:tcBorders>
            <w:vAlign w:val="center"/>
          </w:tcPr>
          <w:p w14:paraId="4BBC239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主要原因系本期归还银行贷款较去年同期减少所致。</w:t>
            </w:r>
          </w:p>
        </w:tc>
      </w:tr>
      <w:tr w:rsidR="006C011D" w:rsidRPr="005A284F" w14:paraId="46E08C83"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56D430F"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现金及现金等价物净增加额</w:t>
            </w:r>
          </w:p>
        </w:tc>
        <w:tc>
          <w:tcPr>
            <w:tcW w:w="1928" w:type="dxa"/>
            <w:tcBorders>
              <w:top w:val="single" w:sz="2" w:space="0" w:color="auto"/>
              <w:left w:val="single" w:sz="2" w:space="0" w:color="auto"/>
              <w:bottom w:val="single" w:sz="2" w:space="0" w:color="auto"/>
              <w:right w:val="single" w:sz="2" w:space="0" w:color="auto"/>
            </w:tcBorders>
            <w:vAlign w:val="center"/>
          </w:tcPr>
          <w:p w14:paraId="3BB274A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32,441,487.60</w:t>
            </w:r>
          </w:p>
        </w:tc>
        <w:tc>
          <w:tcPr>
            <w:tcW w:w="1928" w:type="dxa"/>
            <w:tcBorders>
              <w:top w:val="single" w:sz="2" w:space="0" w:color="auto"/>
              <w:left w:val="single" w:sz="2" w:space="0" w:color="auto"/>
              <w:bottom w:val="single" w:sz="2" w:space="0" w:color="auto"/>
              <w:right w:val="single" w:sz="2" w:space="0" w:color="auto"/>
            </w:tcBorders>
            <w:vAlign w:val="center"/>
          </w:tcPr>
          <w:p w14:paraId="4831510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-245,372,779.17</w:t>
            </w:r>
          </w:p>
        </w:tc>
        <w:tc>
          <w:tcPr>
            <w:tcW w:w="1928" w:type="dxa"/>
            <w:tcBorders>
              <w:top w:val="single" w:sz="2" w:space="0" w:color="auto"/>
              <w:left w:val="single" w:sz="2" w:space="0" w:color="auto"/>
              <w:bottom w:val="single" w:sz="2" w:space="0" w:color="auto"/>
              <w:right w:val="single" w:sz="2" w:space="0" w:color="auto"/>
            </w:tcBorders>
            <w:vAlign w:val="center"/>
          </w:tcPr>
          <w:p w14:paraId="26FF56A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113.22%</w:t>
            </w:r>
          </w:p>
        </w:tc>
        <w:tc>
          <w:tcPr>
            <w:tcW w:w="1928" w:type="dxa"/>
            <w:tcBorders>
              <w:top w:val="single" w:sz="2" w:space="0" w:color="auto"/>
              <w:left w:val="single" w:sz="2" w:space="0" w:color="auto"/>
              <w:bottom w:val="single" w:sz="2" w:space="0" w:color="auto"/>
              <w:right w:val="single" w:sz="2" w:space="0" w:color="auto"/>
            </w:tcBorders>
            <w:vAlign w:val="center"/>
          </w:tcPr>
          <w:p w14:paraId="2CAB68C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主要原因系本期经营活动现金净流入与投资活动现金净流入之和大于筹资活动现金净流出所致。</w:t>
            </w:r>
          </w:p>
        </w:tc>
      </w:tr>
    </w:tbl>
    <w:p w14:paraId="2F7B6A16"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公司报告期利润构成或利润来源发生重大变动</w:t>
      </w:r>
    </w:p>
    <w:p w14:paraId="2CA1A86F" w14:textId="77777777" w:rsidR="006C011D" w:rsidRPr="00F97F74" w:rsidRDefault="00000000">
      <w:pPr>
        <w:spacing w:before="100" w:after="100" w:line="240" w:lineRule="exact"/>
        <w:rPr>
          <w:rFonts w:ascii="宋体" w:eastAsia="宋体" w:hAnsi="宋体" w:cs="Times New Roman" w:hint="eastAsia"/>
          <w:sz w:val="18"/>
          <w:szCs w:val="18"/>
        </w:rPr>
      </w:pPr>
      <w:r w:rsidRPr="00F97F74">
        <w:rPr>
          <w:rFonts w:ascii="宋体" w:eastAsia="宋体" w:hAnsi="宋体" w:cs="Times New Roman"/>
          <w:sz w:val="18"/>
          <w:szCs w:val="18"/>
        </w:rPr>
        <w:t xml:space="preserve">□适用 </w:t>
      </w:r>
      <w:r w:rsidRPr="00F97F74">
        <w:rPr>
          <w:rFonts w:ascii="宋体" w:eastAsia="宋体" w:hAnsi="宋体" w:cs="Times New Roman"/>
          <w:sz w:val="18"/>
          <w:szCs w:val="18"/>
        </w:rPr>
        <w:sym w:font="Wingdings 2" w:char="F052"/>
      </w:r>
      <w:r w:rsidRPr="00F97F74">
        <w:rPr>
          <w:rFonts w:ascii="宋体" w:eastAsia="宋体" w:hAnsi="宋体" w:cs="Times New Roman"/>
          <w:sz w:val="18"/>
          <w:szCs w:val="18"/>
        </w:rPr>
        <w:t>不适用</w:t>
      </w:r>
    </w:p>
    <w:p w14:paraId="50C76704"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公司报告期利润构成或利润来源没有发生重大变动。</w:t>
      </w:r>
    </w:p>
    <w:p w14:paraId="0CC7E33E"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营业收入构成</w:t>
      </w:r>
    </w:p>
    <w:p w14:paraId="6B656C61"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7"/>
        <w:gridCol w:w="1606"/>
        <w:gridCol w:w="1607"/>
        <w:gridCol w:w="1607"/>
      </w:tblGrid>
      <w:tr w:rsidR="006C011D" w:rsidRPr="005A284F" w14:paraId="4F9187F7" w14:textId="77777777">
        <w:trPr>
          <w:trHeight w:val="240"/>
        </w:trPr>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CFBC18C" w14:textId="77777777" w:rsidR="006C011D" w:rsidRPr="005A284F" w:rsidRDefault="006C011D">
            <w:pPr>
              <w:rPr>
                <w:rFonts w:ascii="Times New Roman" w:eastAsia="宋体" w:hAnsi="Times New Roman" w:cs="Times New Roman"/>
              </w:rPr>
            </w:pP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13CD88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本报告期</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64B5D2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上年同期</w:t>
            </w:r>
          </w:p>
        </w:tc>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4417E2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同比增减</w:t>
            </w:r>
          </w:p>
        </w:tc>
      </w:tr>
      <w:tr w:rsidR="006C011D" w:rsidRPr="005A284F" w14:paraId="0BF28432" w14:textId="77777777">
        <w:trPr>
          <w:trHeight w:val="240"/>
        </w:trPr>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D19FADB" w14:textId="77777777" w:rsidR="006C011D" w:rsidRPr="005A284F" w:rsidRDefault="006C011D">
            <w:pPr>
              <w:rPr>
                <w:rFonts w:ascii="Times New Roman" w:eastAsia="宋体" w:hAnsi="Times New Roman" w:cs="Times New Roman"/>
              </w:rPr>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8B95B2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9EADED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占营业收入比重</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27347E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B9B31E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占营业收入比重</w:t>
            </w:r>
          </w:p>
        </w:tc>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BD74156" w14:textId="77777777" w:rsidR="006C011D" w:rsidRPr="005A284F" w:rsidRDefault="006C011D">
            <w:pPr>
              <w:rPr>
                <w:rFonts w:ascii="Times New Roman" w:eastAsia="宋体" w:hAnsi="Times New Roman" w:cs="Times New Roman"/>
              </w:rPr>
            </w:pPr>
          </w:p>
        </w:tc>
      </w:tr>
      <w:tr w:rsidR="006C011D" w:rsidRPr="005A284F" w14:paraId="499C6B11"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1C620B1"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营业收入合计</w:t>
            </w:r>
          </w:p>
        </w:tc>
        <w:tc>
          <w:tcPr>
            <w:tcW w:w="1606" w:type="dxa"/>
            <w:tcBorders>
              <w:top w:val="single" w:sz="2" w:space="0" w:color="auto"/>
              <w:left w:val="single" w:sz="2" w:space="0" w:color="auto"/>
              <w:bottom w:val="single" w:sz="2" w:space="0" w:color="auto"/>
              <w:right w:val="single" w:sz="2" w:space="0" w:color="auto"/>
            </w:tcBorders>
            <w:vAlign w:val="center"/>
          </w:tcPr>
          <w:p w14:paraId="58E11EC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4,974,609,506.33</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F66E1DB" w14:textId="77777777" w:rsidR="006C011D" w:rsidRPr="005A284F" w:rsidRDefault="00000000">
            <w:pPr>
              <w:spacing w:before="40" w:after="40" w:line="240" w:lineRule="exact"/>
              <w:jc w:val="right"/>
              <w:rPr>
                <w:rFonts w:ascii="Times New Roman" w:eastAsia="宋体" w:hAnsi="Times New Roman" w:cs="Times New Roman"/>
                <w:sz w:val="18"/>
                <w:szCs w:val="18"/>
                <w:shd w:val="clear" w:color="auto" w:fill="D3D3D3"/>
              </w:rPr>
            </w:pPr>
            <w:r w:rsidRPr="005A284F">
              <w:rPr>
                <w:rFonts w:ascii="Times New Roman" w:eastAsia="宋体" w:hAnsi="Times New Roman" w:cs="Times New Roman"/>
                <w:sz w:val="18"/>
                <w:szCs w:val="18"/>
                <w:shd w:val="clear" w:color="auto" w:fill="D3D3D3"/>
              </w:rPr>
              <w:t>100%</w:t>
            </w:r>
          </w:p>
        </w:tc>
        <w:tc>
          <w:tcPr>
            <w:tcW w:w="1606" w:type="dxa"/>
            <w:tcBorders>
              <w:top w:val="single" w:sz="2" w:space="0" w:color="auto"/>
              <w:left w:val="single" w:sz="2" w:space="0" w:color="auto"/>
              <w:bottom w:val="single" w:sz="2" w:space="0" w:color="auto"/>
              <w:right w:val="single" w:sz="2" w:space="0" w:color="auto"/>
            </w:tcBorders>
            <w:vAlign w:val="center"/>
          </w:tcPr>
          <w:p w14:paraId="38F36A6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5,044,132,021.30</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D467F3B" w14:textId="77777777" w:rsidR="006C011D" w:rsidRPr="005A284F" w:rsidRDefault="00000000">
            <w:pPr>
              <w:spacing w:before="40" w:after="40" w:line="240" w:lineRule="exact"/>
              <w:jc w:val="right"/>
              <w:rPr>
                <w:rFonts w:ascii="Times New Roman" w:eastAsia="宋体" w:hAnsi="Times New Roman" w:cs="Times New Roman"/>
                <w:sz w:val="18"/>
                <w:szCs w:val="18"/>
                <w:shd w:val="clear" w:color="auto" w:fill="D3D3D3"/>
              </w:rPr>
            </w:pPr>
            <w:r w:rsidRPr="005A284F">
              <w:rPr>
                <w:rFonts w:ascii="Times New Roman" w:eastAsia="宋体" w:hAnsi="Times New Roman" w:cs="Times New Roman"/>
                <w:sz w:val="18"/>
                <w:szCs w:val="18"/>
                <w:shd w:val="clear" w:color="auto" w:fill="D3D3D3"/>
              </w:rPr>
              <w:t>100%</w:t>
            </w:r>
          </w:p>
        </w:tc>
        <w:tc>
          <w:tcPr>
            <w:tcW w:w="1606" w:type="dxa"/>
            <w:tcBorders>
              <w:top w:val="single" w:sz="2" w:space="0" w:color="auto"/>
              <w:left w:val="single" w:sz="2" w:space="0" w:color="auto"/>
              <w:bottom w:val="single" w:sz="2" w:space="0" w:color="auto"/>
              <w:right w:val="single" w:sz="2" w:space="0" w:color="auto"/>
            </w:tcBorders>
            <w:vAlign w:val="center"/>
          </w:tcPr>
          <w:p w14:paraId="448BFE0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-1.38%</w:t>
            </w:r>
          </w:p>
        </w:tc>
      </w:tr>
      <w:tr w:rsidR="006C011D" w:rsidRPr="005A284F" w14:paraId="557B91E8" w14:textId="77777777">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10C44AF0"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分行业</w:t>
            </w:r>
          </w:p>
        </w:tc>
      </w:tr>
      <w:tr w:rsidR="006C011D" w:rsidRPr="005A284F" w14:paraId="0429C20B"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0995E6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屠宰行业</w:t>
            </w:r>
          </w:p>
        </w:tc>
        <w:tc>
          <w:tcPr>
            <w:tcW w:w="1606" w:type="dxa"/>
            <w:tcBorders>
              <w:top w:val="single" w:sz="2" w:space="0" w:color="auto"/>
              <w:left w:val="single" w:sz="2" w:space="0" w:color="auto"/>
              <w:bottom w:val="single" w:sz="2" w:space="0" w:color="auto"/>
              <w:right w:val="single" w:sz="2" w:space="0" w:color="auto"/>
            </w:tcBorders>
            <w:vAlign w:val="center"/>
          </w:tcPr>
          <w:p w14:paraId="16C674B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4,072,909,456.96</w:t>
            </w:r>
          </w:p>
        </w:tc>
        <w:tc>
          <w:tcPr>
            <w:tcW w:w="1606" w:type="dxa"/>
            <w:tcBorders>
              <w:top w:val="single" w:sz="2" w:space="0" w:color="auto"/>
              <w:left w:val="single" w:sz="2" w:space="0" w:color="auto"/>
              <w:bottom w:val="single" w:sz="2" w:space="0" w:color="auto"/>
              <w:right w:val="single" w:sz="2" w:space="0" w:color="auto"/>
            </w:tcBorders>
            <w:vAlign w:val="center"/>
          </w:tcPr>
          <w:p w14:paraId="5677B91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81.87%</w:t>
            </w:r>
          </w:p>
        </w:tc>
        <w:tc>
          <w:tcPr>
            <w:tcW w:w="1606" w:type="dxa"/>
            <w:tcBorders>
              <w:top w:val="single" w:sz="2" w:space="0" w:color="auto"/>
              <w:left w:val="single" w:sz="2" w:space="0" w:color="auto"/>
              <w:bottom w:val="single" w:sz="2" w:space="0" w:color="auto"/>
              <w:right w:val="single" w:sz="2" w:space="0" w:color="auto"/>
            </w:tcBorders>
            <w:vAlign w:val="center"/>
          </w:tcPr>
          <w:p w14:paraId="4A057AD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3,900,971,821.83</w:t>
            </w:r>
          </w:p>
        </w:tc>
        <w:tc>
          <w:tcPr>
            <w:tcW w:w="1606" w:type="dxa"/>
            <w:tcBorders>
              <w:top w:val="single" w:sz="2" w:space="0" w:color="auto"/>
              <w:left w:val="single" w:sz="2" w:space="0" w:color="auto"/>
              <w:bottom w:val="single" w:sz="2" w:space="0" w:color="auto"/>
              <w:right w:val="single" w:sz="2" w:space="0" w:color="auto"/>
            </w:tcBorders>
            <w:vAlign w:val="center"/>
          </w:tcPr>
          <w:p w14:paraId="4F458E0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77.34%</w:t>
            </w:r>
          </w:p>
        </w:tc>
        <w:tc>
          <w:tcPr>
            <w:tcW w:w="1606" w:type="dxa"/>
            <w:tcBorders>
              <w:top w:val="single" w:sz="2" w:space="0" w:color="auto"/>
              <w:left w:val="single" w:sz="2" w:space="0" w:color="auto"/>
              <w:bottom w:val="single" w:sz="2" w:space="0" w:color="auto"/>
              <w:right w:val="single" w:sz="2" w:space="0" w:color="auto"/>
            </w:tcBorders>
            <w:vAlign w:val="center"/>
          </w:tcPr>
          <w:p w14:paraId="3A665DD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4.41%</w:t>
            </w:r>
          </w:p>
        </w:tc>
      </w:tr>
      <w:tr w:rsidR="006C011D" w:rsidRPr="005A284F" w14:paraId="6975708A"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105CC6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食品行业</w:t>
            </w:r>
          </w:p>
        </w:tc>
        <w:tc>
          <w:tcPr>
            <w:tcW w:w="1606" w:type="dxa"/>
            <w:tcBorders>
              <w:top w:val="single" w:sz="2" w:space="0" w:color="auto"/>
              <w:left w:val="single" w:sz="2" w:space="0" w:color="auto"/>
              <w:bottom w:val="single" w:sz="2" w:space="0" w:color="auto"/>
              <w:right w:val="single" w:sz="2" w:space="0" w:color="auto"/>
            </w:tcBorders>
            <w:vAlign w:val="center"/>
          </w:tcPr>
          <w:p w14:paraId="668066C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866,470,161.32</w:t>
            </w:r>
          </w:p>
        </w:tc>
        <w:tc>
          <w:tcPr>
            <w:tcW w:w="1606" w:type="dxa"/>
            <w:tcBorders>
              <w:top w:val="single" w:sz="2" w:space="0" w:color="auto"/>
              <w:left w:val="single" w:sz="2" w:space="0" w:color="auto"/>
              <w:bottom w:val="single" w:sz="2" w:space="0" w:color="auto"/>
              <w:right w:val="single" w:sz="2" w:space="0" w:color="auto"/>
            </w:tcBorders>
            <w:vAlign w:val="center"/>
          </w:tcPr>
          <w:p w14:paraId="66F40A2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17.42%</w:t>
            </w:r>
          </w:p>
        </w:tc>
        <w:tc>
          <w:tcPr>
            <w:tcW w:w="1606" w:type="dxa"/>
            <w:tcBorders>
              <w:top w:val="single" w:sz="2" w:space="0" w:color="auto"/>
              <w:left w:val="single" w:sz="2" w:space="0" w:color="auto"/>
              <w:bottom w:val="single" w:sz="2" w:space="0" w:color="auto"/>
              <w:right w:val="single" w:sz="2" w:space="0" w:color="auto"/>
            </w:tcBorders>
            <w:vAlign w:val="center"/>
          </w:tcPr>
          <w:p w14:paraId="3B3671E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1,081,810,685.13</w:t>
            </w:r>
          </w:p>
        </w:tc>
        <w:tc>
          <w:tcPr>
            <w:tcW w:w="1606" w:type="dxa"/>
            <w:tcBorders>
              <w:top w:val="single" w:sz="2" w:space="0" w:color="auto"/>
              <w:left w:val="single" w:sz="2" w:space="0" w:color="auto"/>
              <w:bottom w:val="single" w:sz="2" w:space="0" w:color="auto"/>
              <w:right w:val="single" w:sz="2" w:space="0" w:color="auto"/>
            </w:tcBorders>
            <w:vAlign w:val="center"/>
          </w:tcPr>
          <w:p w14:paraId="32BC8EC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21.45%</w:t>
            </w:r>
          </w:p>
        </w:tc>
        <w:tc>
          <w:tcPr>
            <w:tcW w:w="1606" w:type="dxa"/>
            <w:tcBorders>
              <w:top w:val="single" w:sz="2" w:space="0" w:color="auto"/>
              <w:left w:val="single" w:sz="2" w:space="0" w:color="auto"/>
              <w:bottom w:val="single" w:sz="2" w:space="0" w:color="auto"/>
              <w:right w:val="single" w:sz="2" w:space="0" w:color="auto"/>
            </w:tcBorders>
            <w:vAlign w:val="center"/>
          </w:tcPr>
          <w:p w14:paraId="06BF06D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-19.91%</w:t>
            </w:r>
          </w:p>
        </w:tc>
      </w:tr>
      <w:tr w:rsidR="006C011D" w:rsidRPr="005A284F" w14:paraId="1FE15F2F"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96B5E8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进口贸易</w:t>
            </w:r>
          </w:p>
        </w:tc>
        <w:tc>
          <w:tcPr>
            <w:tcW w:w="1606" w:type="dxa"/>
            <w:tcBorders>
              <w:top w:val="single" w:sz="2" w:space="0" w:color="auto"/>
              <w:left w:val="single" w:sz="2" w:space="0" w:color="auto"/>
              <w:bottom w:val="single" w:sz="2" w:space="0" w:color="auto"/>
              <w:right w:val="single" w:sz="2" w:space="0" w:color="auto"/>
            </w:tcBorders>
            <w:vAlign w:val="center"/>
          </w:tcPr>
          <w:p w14:paraId="07177A8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AC45A1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9C033E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17,694,799.22</w:t>
            </w:r>
          </w:p>
        </w:tc>
        <w:tc>
          <w:tcPr>
            <w:tcW w:w="1606" w:type="dxa"/>
            <w:tcBorders>
              <w:top w:val="single" w:sz="2" w:space="0" w:color="auto"/>
              <w:left w:val="single" w:sz="2" w:space="0" w:color="auto"/>
              <w:bottom w:val="single" w:sz="2" w:space="0" w:color="auto"/>
              <w:right w:val="single" w:sz="2" w:space="0" w:color="auto"/>
            </w:tcBorders>
            <w:vAlign w:val="center"/>
          </w:tcPr>
          <w:p w14:paraId="6D93730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0.35%</w:t>
            </w:r>
          </w:p>
        </w:tc>
        <w:tc>
          <w:tcPr>
            <w:tcW w:w="1606" w:type="dxa"/>
            <w:tcBorders>
              <w:top w:val="single" w:sz="2" w:space="0" w:color="auto"/>
              <w:left w:val="single" w:sz="2" w:space="0" w:color="auto"/>
              <w:bottom w:val="single" w:sz="2" w:space="0" w:color="auto"/>
              <w:right w:val="single" w:sz="2" w:space="0" w:color="auto"/>
            </w:tcBorders>
            <w:vAlign w:val="center"/>
          </w:tcPr>
          <w:p w14:paraId="4CB03B5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r>
      <w:tr w:rsidR="006C011D" w:rsidRPr="005A284F" w14:paraId="418F3D72"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240D5B1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c>
          <w:tcPr>
            <w:tcW w:w="1606" w:type="dxa"/>
            <w:tcBorders>
              <w:top w:val="single" w:sz="2" w:space="0" w:color="auto"/>
              <w:left w:val="single" w:sz="2" w:space="0" w:color="auto"/>
              <w:bottom w:val="single" w:sz="2" w:space="0" w:color="auto"/>
              <w:right w:val="single" w:sz="2" w:space="0" w:color="auto"/>
            </w:tcBorders>
            <w:vAlign w:val="center"/>
          </w:tcPr>
          <w:p w14:paraId="2F6CC3C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35,229,888.05</w:t>
            </w:r>
          </w:p>
        </w:tc>
        <w:tc>
          <w:tcPr>
            <w:tcW w:w="1606" w:type="dxa"/>
            <w:tcBorders>
              <w:top w:val="single" w:sz="2" w:space="0" w:color="auto"/>
              <w:left w:val="single" w:sz="2" w:space="0" w:color="auto"/>
              <w:bottom w:val="single" w:sz="2" w:space="0" w:color="auto"/>
              <w:right w:val="single" w:sz="2" w:space="0" w:color="auto"/>
            </w:tcBorders>
            <w:vAlign w:val="center"/>
          </w:tcPr>
          <w:p w14:paraId="7AA02A4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0.71%</w:t>
            </w:r>
          </w:p>
        </w:tc>
        <w:tc>
          <w:tcPr>
            <w:tcW w:w="1606" w:type="dxa"/>
            <w:tcBorders>
              <w:top w:val="single" w:sz="2" w:space="0" w:color="auto"/>
              <w:left w:val="single" w:sz="2" w:space="0" w:color="auto"/>
              <w:bottom w:val="single" w:sz="2" w:space="0" w:color="auto"/>
              <w:right w:val="single" w:sz="2" w:space="0" w:color="auto"/>
            </w:tcBorders>
            <w:vAlign w:val="center"/>
          </w:tcPr>
          <w:p w14:paraId="6D83807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43,654,715.12</w:t>
            </w:r>
          </w:p>
        </w:tc>
        <w:tc>
          <w:tcPr>
            <w:tcW w:w="1606" w:type="dxa"/>
            <w:tcBorders>
              <w:top w:val="single" w:sz="2" w:space="0" w:color="auto"/>
              <w:left w:val="single" w:sz="2" w:space="0" w:color="auto"/>
              <w:bottom w:val="single" w:sz="2" w:space="0" w:color="auto"/>
              <w:right w:val="single" w:sz="2" w:space="0" w:color="auto"/>
            </w:tcBorders>
            <w:vAlign w:val="center"/>
          </w:tcPr>
          <w:p w14:paraId="68E56EB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0.87%</w:t>
            </w:r>
          </w:p>
        </w:tc>
        <w:tc>
          <w:tcPr>
            <w:tcW w:w="1606" w:type="dxa"/>
            <w:tcBorders>
              <w:top w:val="single" w:sz="2" w:space="0" w:color="auto"/>
              <w:left w:val="single" w:sz="2" w:space="0" w:color="auto"/>
              <w:bottom w:val="single" w:sz="2" w:space="0" w:color="auto"/>
              <w:right w:val="single" w:sz="2" w:space="0" w:color="auto"/>
            </w:tcBorders>
            <w:vAlign w:val="center"/>
          </w:tcPr>
          <w:p w14:paraId="44D52F9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-19.30%</w:t>
            </w:r>
          </w:p>
        </w:tc>
      </w:tr>
      <w:tr w:rsidR="006C011D" w:rsidRPr="005A284F" w14:paraId="246036BC" w14:textId="77777777">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2F3521D8"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分产品</w:t>
            </w:r>
          </w:p>
        </w:tc>
      </w:tr>
      <w:tr w:rsidR="006C011D" w:rsidRPr="005A284F" w14:paraId="6A3E13A0"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A2086E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鲜冻肉</w:t>
            </w:r>
          </w:p>
        </w:tc>
        <w:tc>
          <w:tcPr>
            <w:tcW w:w="1606" w:type="dxa"/>
            <w:tcBorders>
              <w:top w:val="single" w:sz="2" w:space="0" w:color="auto"/>
              <w:left w:val="single" w:sz="2" w:space="0" w:color="auto"/>
              <w:bottom w:val="single" w:sz="2" w:space="0" w:color="auto"/>
              <w:right w:val="single" w:sz="2" w:space="0" w:color="auto"/>
            </w:tcBorders>
            <w:vAlign w:val="center"/>
          </w:tcPr>
          <w:p w14:paraId="6CE496D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4,072,909,456.96</w:t>
            </w:r>
          </w:p>
        </w:tc>
        <w:tc>
          <w:tcPr>
            <w:tcW w:w="1606" w:type="dxa"/>
            <w:tcBorders>
              <w:top w:val="single" w:sz="2" w:space="0" w:color="auto"/>
              <w:left w:val="single" w:sz="2" w:space="0" w:color="auto"/>
              <w:bottom w:val="single" w:sz="2" w:space="0" w:color="auto"/>
              <w:right w:val="single" w:sz="2" w:space="0" w:color="auto"/>
            </w:tcBorders>
            <w:vAlign w:val="center"/>
          </w:tcPr>
          <w:p w14:paraId="187AF20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81.87%</w:t>
            </w:r>
          </w:p>
        </w:tc>
        <w:tc>
          <w:tcPr>
            <w:tcW w:w="1606" w:type="dxa"/>
            <w:tcBorders>
              <w:top w:val="single" w:sz="2" w:space="0" w:color="auto"/>
              <w:left w:val="single" w:sz="2" w:space="0" w:color="auto"/>
              <w:bottom w:val="single" w:sz="2" w:space="0" w:color="auto"/>
              <w:right w:val="single" w:sz="2" w:space="0" w:color="auto"/>
            </w:tcBorders>
            <w:vAlign w:val="center"/>
          </w:tcPr>
          <w:p w14:paraId="3FA2994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3,900,971,821.83</w:t>
            </w:r>
          </w:p>
        </w:tc>
        <w:tc>
          <w:tcPr>
            <w:tcW w:w="1606" w:type="dxa"/>
            <w:tcBorders>
              <w:top w:val="single" w:sz="2" w:space="0" w:color="auto"/>
              <w:left w:val="single" w:sz="2" w:space="0" w:color="auto"/>
              <w:bottom w:val="single" w:sz="2" w:space="0" w:color="auto"/>
              <w:right w:val="single" w:sz="2" w:space="0" w:color="auto"/>
            </w:tcBorders>
            <w:vAlign w:val="center"/>
          </w:tcPr>
          <w:p w14:paraId="5BDF2A3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77.34%</w:t>
            </w:r>
          </w:p>
        </w:tc>
        <w:tc>
          <w:tcPr>
            <w:tcW w:w="1606" w:type="dxa"/>
            <w:tcBorders>
              <w:top w:val="single" w:sz="2" w:space="0" w:color="auto"/>
              <w:left w:val="single" w:sz="2" w:space="0" w:color="auto"/>
              <w:bottom w:val="single" w:sz="2" w:space="0" w:color="auto"/>
              <w:right w:val="single" w:sz="2" w:space="0" w:color="auto"/>
            </w:tcBorders>
            <w:vAlign w:val="center"/>
          </w:tcPr>
          <w:p w14:paraId="1B6419C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4.41%</w:t>
            </w:r>
          </w:p>
        </w:tc>
      </w:tr>
      <w:tr w:rsidR="006C011D" w:rsidRPr="005A284F" w14:paraId="75053787"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A83D8A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熟食制品</w:t>
            </w:r>
          </w:p>
        </w:tc>
        <w:tc>
          <w:tcPr>
            <w:tcW w:w="1606" w:type="dxa"/>
            <w:tcBorders>
              <w:top w:val="single" w:sz="2" w:space="0" w:color="auto"/>
              <w:left w:val="single" w:sz="2" w:space="0" w:color="auto"/>
              <w:bottom w:val="single" w:sz="2" w:space="0" w:color="auto"/>
              <w:right w:val="single" w:sz="2" w:space="0" w:color="auto"/>
            </w:tcBorders>
            <w:vAlign w:val="center"/>
          </w:tcPr>
          <w:p w14:paraId="5F1AB43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83,479,603.26</w:t>
            </w:r>
          </w:p>
        </w:tc>
        <w:tc>
          <w:tcPr>
            <w:tcW w:w="1606" w:type="dxa"/>
            <w:tcBorders>
              <w:top w:val="single" w:sz="2" w:space="0" w:color="auto"/>
              <w:left w:val="single" w:sz="2" w:space="0" w:color="auto"/>
              <w:bottom w:val="single" w:sz="2" w:space="0" w:color="auto"/>
              <w:right w:val="single" w:sz="2" w:space="0" w:color="auto"/>
            </w:tcBorders>
            <w:vAlign w:val="center"/>
          </w:tcPr>
          <w:p w14:paraId="1E7F808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1.68%</w:t>
            </w:r>
          </w:p>
        </w:tc>
        <w:tc>
          <w:tcPr>
            <w:tcW w:w="1606" w:type="dxa"/>
            <w:tcBorders>
              <w:top w:val="single" w:sz="2" w:space="0" w:color="auto"/>
              <w:left w:val="single" w:sz="2" w:space="0" w:color="auto"/>
              <w:bottom w:val="single" w:sz="2" w:space="0" w:color="auto"/>
              <w:right w:val="single" w:sz="2" w:space="0" w:color="auto"/>
            </w:tcBorders>
            <w:vAlign w:val="center"/>
          </w:tcPr>
          <w:p w14:paraId="1C71EAB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109,106,289.03</w:t>
            </w:r>
          </w:p>
        </w:tc>
        <w:tc>
          <w:tcPr>
            <w:tcW w:w="1606" w:type="dxa"/>
            <w:tcBorders>
              <w:top w:val="single" w:sz="2" w:space="0" w:color="auto"/>
              <w:left w:val="single" w:sz="2" w:space="0" w:color="auto"/>
              <w:bottom w:val="single" w:sz="2" w:space="0" w:color="auto"/>
              <w:right w:val="single" w:sz="2" w:space="0" w:color="auto"/>
            </w:tcBorders>
            <w:vAlign w:val="center"/>
          </w:tcPr>
          <w:p w14:paraId="5946797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2.16%</w:t>
            </w:r>
          </w:p>
        </w:tc>
        <w:tc>
          <w:tcPr>
            <w:tcW w:w="1606" w:type="dxa"/>
            <w:tcBorders>
              <w:top w:val="single" w:sz="2" w:space="0" w:color="auto"/>
              <w:left w:val="single" w:sz="2" w:space="0" w:color="auto"/>
              <w:bottom w:val="single" w:sz="2" w:space="0" w:color="auto"/>
              <w:right w:val="single" w:sz="2" w:space="0" w:color="auto"/>
            </w:tcBorders>
            <w:vAlign w:val="center"/>
          </w:tcPr>
          <w:p w14:paraId="7FAEEE9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-23.49%</w:t>
            </w:r>
          </w:p>
        </w:tc>
      </w:tr>
      <w:tr w:rsidR="006C011D" w:rsidRPr="005A284F" w14:paraId="421D4FA5"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4303A4A" w14:textId="2EBDDB33"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预制</w:t>
            </w:r>
            <w:r w:rsidR="00066462">
              <w:rPr>
                <w:rFonts w:ascii="Times New Roman" w:eastAsia="宋体" w:hAnsi="Times New Roman" w:cs="Times New Roman" w:hint="eastAsia"/>
                <w:sz w:val="18"/>
                <w:szCs w:val="18"/>
              </w:rPr>
              <w:t>食品</w:t>
            </w:r>
          </w:p>
        </w:tc>
        <w:tc>
          <w:tcPr>
            <w:tcW w:w="1606" w:type="dxa"/>
            <w:tcBorders>
              <w:top w:val="single" w:sz="2" w:space="0" w:color="auto"/>
              <w:left w:val="single" w:sz="2" w:space="0" w:color="auto"/>
              <w:bottom w:val="single" w:sz="2" w:space="0" w:color="auto"/>
              <w:right w:val="single" w:sz="2" w:space="0" w:color="auto"/>
            </w:tcBorders>
            <w:vAlign w:val="center"/>
          </w:tcPr>
          <w:p w14:paraId="293919A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782,990,558.06</w:t>
            </w:r>
          </w:p>
        </w:tc>
        <w:tc>
          <w:tcPr>
            <w:tcW w:w="1606" w:type="dxa"/>
            <w:tcBorders>
              <w:top w:val="single" w:sz="2" w:space="0" w:color="auto"/>
              <w:left w:val="single" w:sz="2" w:space="0" w:color="auto"/>
              <w:bottom w:val="single" w:sz="2" w:space="0" w:color="auto"/>
              <w:right w:val="single" w:sz="2" w:space="0" w:color="auto"/>
            </w:tcBorders>
            <w:vAlign w:val="center"/>
          </w:tcPr>
          <w:p w14:paraId="0E99DD4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15.74%</w:t>
            </w:r>
          </w:p>
        </w:tc>
        <w:tc>
          <w:tcPr>
            <w:tcW w:w="1606" w:type="dxa"/>
            <w:tcBorders>
              <w:top w:val="single" w:sz="2" w:space="0" w:color="auto"/>
              <w:left w:val="single" w:sz="2" w:space="0" w:color="auto"/>
              <w:bottom w:val="single" w:sz="2" w:space="0" w:color="auto"/>
              <w:right w:val="single" w:sz="2" w:space="0" w:color="auto"/>
            </w:tcBorders>
            <w:vAlign w:val="center"/>
          </w:tcPr>
          <w:p w14:paraId="3FCBD7A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972,704,396.10</w:t>
            </w:r>
          </w:p>
        </w:tc>
        <w:tc>
          <w:tcPr>
            <w:tcW w:w="1606" w:type="dxa"/>
            <w:tcBorders>
              <w:top w:val="single" w:sz="2" w:space="0" w:color="auto"/>
              <w:left w:val="single" w:sz="2" w:space="0" w:color="auto"/>
              <w:bottom w:val="single" w:sz="2" w:space="0" w:color="auto"/>
              <w:right w:val="single" w:sz="2" w:space="0" w:color="auto"/>
            </w:tcBorders>
            <w:vAlign w:val="center"/>
          </w:tcPr>
          <w:p w14:paraId="0A1DAF4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19.28%</w:t>
            </w:r>
          </w:p>
        </w:tc>
        <w:tc>
          <w:tcPr>
            <w:tcW w:w="1606" w:type="dxa"/>
            <w:tcBorders>
              <w:top w:val="single" w:sz="2" w:space="0" w:color="auto"/>
              <w:left w:val="single" w:sz="2" w:space="0" w:color="auto"/>
              <w:bottom w:val="single" w:sz="2" w:space="0" w:color="auto"/>
              <w:right w:val="single" w:sz="2" w:space="0" w:color="auto"/>
            </w:tcBorders>
            <w:vAlign w:val="center"/>
          </w:tcPr>
          <w:p w14:paraId="2FD965A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-19.50%</w:t>
            </w:r>
          </w:p>
        </w:tc>
      </w:tr>
      <w:tr w:rsidR="006C011D" w:rsidRPr="005A284F" w14:paraId="283FFE55"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79854B9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进口贸易</w:t>
            </w:r>
          </w:p>
        </w:tc>
        <w:tc>
          <w:tcPr>
            <w:tcW w:w="1606" w:type="dxa"/>
            <w:tcBorders>
              <w:top w:val="single" w:sz="2" w:space="0" w:color="auto"/>
              <w:left w:val="single" w:sz="2" w:space="0" w:color="auto"/>
              <w:bottom w:val="single" w:sz="2" w:space="0" w:color="auto"/>
              <w:right w:val="single" w:sz="2" w:space="0" w:color="auto"/>
            </w:tcBorders>
            <w:vAlign w:val="center"/>
          </w:tcPr>
          <w:p w14:paraId="09B1300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D8D410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F05AA3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17,694,799.22</w:t>
            </w:r>
          </w:p>
        </w:tc>
        <w:tc>
          <w:tcPr>
            <w:tcW w:w="1606" w:type="dxa"/>
            <w:tcBorders>
              <w:top w:val="single" w:sz="2" w:space="0" w:color="auto"/>
              <w:left w:val="single" w:sz="2" w:space="0" w:color="auto"/>
              <w:bottom w:val="single" w:sz="2" w:space="0" w:color="auto"/>
              <w:right w:val="single" w:sz="2" w:space="0" w:color="auto"/>
            </w:tcBorders>
            <w:vAlign w:val="center"/>
          </w:tcPr>
          <w:p w14:paraId="77603B8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0.35%</w:t>
            </w:r>
          </w:p>
        </w:tc>
        <w:tc>
          <w:tcPr>
            <w:tcW w:w="1606" w:type="dxa"/>
            <w:tcBorders>
              <w:top w:val="single" w:sz="2" w:space="0" w:color="auto"/>
              <w:left w:val="single" w:sz="2" w:space="0" w:color="auto"/>
              <w:bottom w:val="single" w:sz="2" w:space="0" w:color="auto"/>
              <w:right w:val="single" w:sz="2" w:space="0" w:color="auto"/>
            </w:tcBorders>
            <w:vAlign w:val="center"/>
          </w:tcPr>
          <w:p w14:paraId="41D8765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r>
      <w:tr w:rsidR="006C011D" w:rsidRPr="005A284F" w14:paraId="08C5AFE4"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A0CD4D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c>
          <w:tcPr>
            <w:tcW w:w="1606" w:type="dxa"/>
            <w:tcBorders>
              <w:top w:val="single" w:sz="2" w:space="0" w:color="auto"/>
              <w:left w:val="single" w:sz="2" w:space="0" w:color="auto"/>
              <w:bottom w:val="single" w:sz="2" w:space="0" w:color="auto"/>
              <w:right w:val="single" w:sz="2" w:space="0" w:color="auto"/>
            </w:tcBorders>
            <w:vAlign w:val="center"/>
          </w:tcPr>
          <w:p w14:paraId="194E7E1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35,229,888.05</w:t>
            </w:r>
          </w:p>
        </w:tc>
        <w:tc>
          <w:tcPr>
            <w:tcW w:w="1606" w:type="dxa"/>
            <w:tcBorders>
              <w:top w:val="single" w:sz="2" w:space="0" w:color="auto"/>
              <w:left w:val="single" w:sz="2" w:space="0" w:color="auto"/>
              <w:bottom w:val="single" w:sz="2" w:space="0" w:color="auto"/>
              <w:right w:val="single" w:sz="2" w:space="0" w:color="auto"/>
            </w:tcBorders>
            <w:vAlign w:val="center"/>
          </w:tcPr>
          <w:p w14:paraId="734842D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0.71%</w:t>
            </w:r>
          </w:p>
        </w:tc>
        <w:tc>
          <w:tcPr>
            <w:tcW w:w="1606" w:type="dxa"/>
            <w:tcBorders>
              <w:top w:val="single" w:sz="2" w:space="0" w:color="auto"/>
              <w:left w:val="single" w:sz="2" w:space="0" w:color="auto"/>
              <w:bottom w:val="single" w:sz="2" w:space="0" w:color="auto"/>
              <w:right w:val="single" w:sz="2" w:space="0" w:color="auto"/>
            </w:tcBorders>
            <w:vAlign w:val="center"/>
          </w:tcPr>
          <w:p w14:paraId="363865E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43,654,715.12</w:t>
            </w:r>
          </w:p>
        </w:tc>
        <w:tc>
          <w:tcPr>
            <w:tcW w:w="1606" w:type="dxa"/>
            <w:tcBorders>
              <w:top w:val="single" w:sz="2" w:space="0" w:color="auto"/>
              <w:left w:val="single" w:sz="2" w:space="0" w:color="auto"/>
              <w:bottom w:val="single" w:sz="2" w:space="0" w:color="auto"/>
              <w:right w:val="single" w:sz="2" w:space="0" w:color="auto"/>
            </w:tcBorders>
            <w:vAlign w:val="center"/>
          </w:tcPr>
          <w:p w14:paraId="2CAA334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0.87%</w:t>
            </w:r>
          </w:p>
        </w:tc>
        <w:tc>
          <w:tcPr>
            <w:tcW w:w="1606" w:type="dxa"/>
            <w:tcBorders>
              <w:top w:val="single" w:sz="2" w:space="0" w:color="auto"/>
              <w:left w:val="single" w:sz="2" w:space="0" w:color="auto"/>
              <w:bottom w:val="single" w:sz="2" w:space="0" w:color="auto"/>
              <w:right w:val="single" w:sz="2" w:space="0" w:color="auto"/>
            </w:tcBorders>
            <w:vAlign w:val="center"/>
          </w:tcPr>
          <w:p w14:paraId="187CDA0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-19.30%</w:t>
            </w:r>
          </w:p>
        </w:tc>
      </w:tr>
      <w:tr w:rsidR="006C011D" w:rsidRPr="005A284F" w14:paraId="56DB6ABD" w14:textId="77777777">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22F973C7"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分地区</w:t>
            </w:r>
          </w:p>
        </w:tc>
      </w:tr>
      <w:tr w:rsidR="006C011D" w:rsidRPr="005A284F" w14:paraId="5E9C75CE"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A9ABF8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山东省内</w:t>
            </w:r>
          </w:p>
        </w:tc>
        <w:tc>
          <w:tcPr>
            <w:tcW w:w="1606" w:type="dxa"/>
            <w:tcBorders>
              <w:top w:val="single" w:sz="2" w:space="0" w:color="auto"/>
              <w:left w:val="single" w:sz="2" w:space="0" w:color="auto"/>
              <w:bottom w:val="single" w:sz="2" w:space="0" w:color="auto"/>
              <w:right w:val="single" w:sz="2" w:space="0" w:color="auto"/>
            </w:tcBorders>
            <w:vAlign w:val="center"/>
          </w:tcPr>
          <w:p w14:paraId="5DB1B8D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1,796,049,612.07</w:t>
            </w:r>
          </w:p>
        </w:tc>
        <w:tc>
          <w:tcPr>
            <w:tcW w:w="1606" w:type="dxa"/>
            <w:tcBorders>
              <w:top w:val="single" w:sz="2" w:space="0" w:color="auto"/>
              <w:left w:val="single" w:sz="2" w:space="0" w:color="auto"/>
              <w:bottom w:val="single" w:sz="2" w:space="0" w:color="auto"/>
              <w:right w:val="single" w:sz="2" w:space="0" w:color="auto"/>
            </w:tcBorders>
            <w:vAlign w:val="center"/>
          </w:tcPr>
          <w:p w14:paraId="060BF48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36.11%</w:t>
            </w:r>
          </w:p>
        </w:tc>
        <w:tc>
          <w:tcPr>
            <w:tcW w:w="1606" w:type="dxa"/>
            <w:tcBorders>
              <w:top w:val="single" w:sz="2" w:space="0" w:color="auto"/>
              <w:left w:val="single" w:sz="2" w:space="0" w:color="auto"/>
              <w:bottom w:val="single" w:sz="2" w:space="0" w:color="auto"/>
              <w:right w:val="single" w:sz="2" w:space="0" w:color="auto"/>
            </w:tcBorders>
            <w:vAlign w:val="center"/>
          </w:tcPr>
          <w:p w14:paraId="13B1C22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1,923,714,400.53</w:t>
            </w:r>
          </w:p>
        </w:tc>
        <w:tc>
          <w:tcPr>
            <w:tcW w:w="1606" w:type="dxa"/>
            <w:tcBorders>
              <w:top w:val="single" w:sz="2" w:space="0" w:color="auto"/>
              <w:left w:val="single" w:sz="2" w:space="0" w:color="auto"/>
              <w:bottom w:val="single" w:sz="2" w:space="0" w:color="auto"/>
              <w:right w:val="single" w:sz="2" w:space="0" w:color="auto"/>
            </w:tcBorders>
            <w:vAlign w:val="center"/>
          </w:tcPr>
          <w:p w14:paraId="25713DF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38.14%</w:t>
            </w:r>
          </w:p>
        </w:tc>
        <w:tc>
          <w:tcPr>
            <w:tcW w:w="1606" w:type="dxa"/>
            <w:tcBorders>
              <w:top w:val="single" w:sz="2" w:space="0" w:color="auto"/>
              <w:left w:val="single" w:sz="2" w:space="0" w:color="auto"/>
              <w:bottom w:val="single" w:sz="2" w:space="0" w:color="auto"/>
              <w:right w:val="single" w:sz="2" w:space="0" w:color="auto"/>
            </w:tcBorders>
            <w:vAlign w:val="center"/>
          </w:tcPr>
          <w:p w14:paraId="0462D54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-6.64%</w:t>
            </w:r>
          </w:p>
        </w:tc>
      </w:tr>
      <w:tr w:rsidR="006C011D" w:rsidRPr="005A284F" w14:paraId="15D86F6D"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360537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华东其他地区</w:t>
            </w:r>
          </w:p>
        </w:tc>
        <w:tc>
          <w:tcPr>
            <w:tcW w:w="1606" w:type="dxa"/>
            <w:tcBorders>
              <w:top w:val="single" w:sz="2" w:space="0" w:color="auto"/>
              <w:left w:val="single" w:sz="2" w:space="0" w:color="auto"/>
              <w:bottom w:val="single" w:sz="2" w:space="0" w:color="auto"/>
              <w:right w:val="single" w:sz="2" w:space="0" w:color="auto"/>
            </w:tcBorders>
            <w:vAlign w:val="center"/>
          </w:tcPr>
          <w:p w14:paraId="116E470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1,258,635,400.77</w:t>
            </w:r>
          </w:p>
        </w:tc>
        <w:tc>
          <w:tcPr>
            <w:tcW w:w="1606" w:type="dxa"/>
            <w:tcBorders>
              <w:top w:val="single" w:sz="2" w:space="0" w:color="auto"/>
              <w:left w:val="single" w:sz="2" w:space="0" w:color="auto"/>
              <w:bottom w:val="single" w:sz="2" w:space="0" w:color="auto"/>
              <w:right w:val="single" w:sz="2" w:space="0" w:color="auto"/>
            </w:tcBorders>
            <w:vAlign w:val="center"/>
          </w:tcPr>
          <w:p w14:paraId="4EA7D91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25.30%</w:t>
            </w:r>
          </w:p>
        </w:tc>
        <w:tc>
          <w:tcPr>
            <w:tcW w:w="1606" w:type="dxa"/>
            <w:tcBorders>
              <w:top w:val="single" w:sz="2" w:space="0" w:color="auto"/>
              <w:left w:val="single" w:sz="2" w:space="0" w:color="auto"/>
              <w:bottom w:val="single" w:sz="2" w:space="0" w:color="auto"/>
              <w:right w:val="single" w:sz="2" w:space="0" w:color="auto"/>
            </w:tcBorders>
            <w:vAlign w:val="center"/>
          </w:tcPr>
          <w:p w14:paraId="184049B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1,335,385,848.75</w:t>
            </w:r>
          </w:p>
        </w:tc>
        <w:tc>
          <w:tcPr>
            <w:tcW w:w="1606" w:type="dxa"/>
            <w:tcBorders>
              <w:top w:val="single" w:sz="2" w:space="0" w:color="auto"/>
              <w:left w:val="single" w:sz="2" w:space="0" w:color="auto"/>
              <w:bottom w:val="single" w:sz="2" w:space="0" w:color="auto"/>
              <w:right w:val="single" w:sz="2" w:space="0" w:color="auto"/>
            </w:tcBorders>
            <w:vAlign w:val="center"/>
          </w:tcPr>
          <w:p w14:paraId="755966D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26.47%</w:t>
            </w:r>
          </w:p>
        </w:tc>
        <w:tc>
          <w:tcPr>
            <w:tcW w:w="1606" w:type="dxa"/>
            <w:tcBorders>
              <w:top w:val="single" w:sz="2" w:space="0" w:color="auto"/>
              <w:left w:val="single" w:sz="2" w:space="0" w:color="auto"/>
              <w:bottom w:val="single" w:sz="2" w:space="0" w:color="auto"/>
              <w:right w:val="single" w:sz="2" w:space="0" w:color="auto"/>
            </w:tcBorders>
            <w:vAlign w:val="center"/>
          </w:tcPr>
          <w:p w14:paraId="01CC4DF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-5.75%</w:t>
            </w:r>
          </w:p>
        </w:tc>
      </w:tr>
      <w:tr w:rsidR="006C011D" w:rsidRPr="005A284F" w14:paraId="62680CCA"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2B3768E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华中地区</w:t>
            </w:r>
          </w:p>
        </w:tc>
        <w:tc>
          <w:tcPr>
            <w:tcW w:w="1606" w:type="dxa"/>
            <w:tcBorders>
              <w:top w:val="single" w:sz="2" w:space="0" w:color="auto"/>
              <w:left w:val="single" w:sz="2" w:space="0" w:color="auto"/>
              <w:bottom w:val="single" w:sz="2" w:space="0" w:color="auto"/>
              <w:right w:val="single" w:sz="2" w:space="0" w:color="auto"/>
            </w:tcBorders>
            <w:vAlign w:val="center"/>
          </w:tcPr>
          <w:p w14:paraId="07BFB77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775,558,745.87</w:t>
            </w:r>
          </w:p>
        </w:tc>
        <w:tc>
          <w:tcPr>
            <w:tcW w:w="1606" w:type="dxa"/>
            <w:tcBorders>
              <w:top w:val="single" w:sz="2" w:space="0" w:color="auto"/>
              <w:left w:val="single" w:sz="2" w:space="0" w:color="auto"/>
              <w:bottom w:val="single" w:sz="2" w:space="0" w:color="auto"/>
              <w:right w:val="single" w:sz="2" w:space="0" w:color="auto"/>
            </w:tcBorders>
            <w:vAlign w:val="center"/>
          </w:tcPr>
          <w:p w14:paraId="60EE126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15.59%</w:t>
            </w:r>
          </w:p>
        </w:tc>
        <w:tc>
          <w:tcPr>
            <w:tcW w:w="1606" w:type="dxa"/>
            <w:tcBorders>
              <w:top w:val="single" w:sz="2" w:space="0" w:color="auto"/>
              <w:left w:val="single" w:sz="2" w:space="0" w:color="auto"/>
              <w:bottom w:val="single" w:sz="2" w:space="0" w:color="auto"/>
              <w:right w:val="single" w:sz="2" w:space="0" w:color="auto"/>
            </w:tcBorders>
            <w:vAlign w:val="center"/>
          </w:tcPr>
          <w:p w14:paraId="28446F1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702,945,146.05</w:t>
            </w:r>
          </w:p>
        </w:tc>
        <w:tc>
          <w:tcPr>
            <w:tcW w:w="1606" w:type="dxa"/>
            <w:tcBorders>
              <w:top w:val="single" w:sz="2" w:space="0" w:color="auto"/>
              <w:left w:val="single" w:sz="2" w:space="0" w:color="auto"/>
              <w:bottom w:val="single" w:sz="2" w:space="0" w:color="auto"/>
              <w:right w:val="single" w:sz="2" w:space="0" w:color="auto"/>
            </w:tcBorders>
            <w:vAlign w:val="center"/>
          </w:tcPr>
          <w:p w14:paraId="6466298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13.94%</w:t>
            </w:r>
          </w:p>
        </w:tc>
        <w:tc>
          <w:tcPr>
            <w:tcW w:w="1606" w:type="dxa"/>
            <w:tcBorders>
              <w:top w:val="single" w:sz="2" w:space="0" w:color="auto"/>
              <w:left w:val="single" w:sz="2" w:space="0" w:color="auto"/>
              <w:bottom w:val="single" w:sz="2" w:space="0" w:color="auto"/>
              <w:right w:val="single" w:sz="2" w:space="0" w:color="auto"/>
            </w:tcBorders>
            <w:vAlign w:val="center"/>
          </w:tcPr>
          <w:p w14:paraId="3E551DE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10.33%</w:t>
            </w:r>
          </w:p>
        </w:tc>
      </w:tr>
      <w:tr w:rsidR="006C011D" w:rsidRPr="005A284F" w14:paraId="1769BDB3"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4CBF893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华北地区</w:t>
            </w:r>
          </w:p>
        </w:tc>
        <w:tc>
          <w:tcPr>
            <w:tcW w:w="1606" w:type="dxa"/>
            <w:tcBorders>
              <w:top w:val="single" w:sz="2" w:space="0" w:color="auto"/>
              <w:left w:val="single" w:sz="2" w:space="0" w:color="auto"/>
              <w:bottom w:val="single" w:sz="2" w:space="0" w:color="auto"/>
              <w:right w:val="single" w:sz="2" w:space="0" w:color="auto"/>
            </w:tcBorders>
            <w:vAlign w:val="center"/>
          </w:tcPr>
          <w:p w14:paraId="6B00933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225,737,026.85</w:t>
            </w:r>
          </w:p>
        </w:tc>
        <w:tc>
          <w:tcPr>
            <w:tcW w:w="1606" w:type="dxa"/>
            <w:tcBorders>
              <w:top w:val="single" w:sz="2" w:space="0" w:color="auto"/>
              <w:left w:val="single" w:sz="2" w:space="0" w:color="auto"/>
              <w:bottom w:val="single" w:sz="2" w:space="0" w:color="auto"/>
              <w:right w:val="single" w:sz="2" w:space="0" w:color="auto"/>
            </w:tcBorders>
            <w:vAlign w:val="center"/>
          </w:tcPr>
          <w:p w14:paraId="101BBB2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4.54%</w:t>
            </w:r>
          </w:p>
        </w:tc>
        <w:tc>
          <w:tcPr>
            <w:tcW w:w="1606" w:type="dxa"/>
            <w:tcBorders>
              <w:top w:val="single" w:sz="2" w:space="0" w:color="auto"/>
              <w:left w:val="single" w:sz="2" w:space="0" w:color="auto"/>
              <w:bottom w:val="single" w:sz="2" w:space="0" w:color="auto"/>
              <w:right w:val="single" w:sz="2" w:space="0" w:color="auto"/>
            </w:tcBorders>
            <w:vAlign w:val="center"/>
          </w:tcPr>
          <w:p w14:paraId="12E8C1A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261,682,334.26</w:t>
            </w:r>
          </w:p>
        </w:tc>
        <w:tc>
          <w:tcPr>
            <w:tcW w:w="1606" w:type="dxa"/>
            <w:tcBorders>
              <w:top w:val="single" w:sz="2" w:space="0" w:color="auto"/>
              <w:left w:val="single" w:sz="2" w:space="0" w:color="auto"/>
              <w:bottom w:val="single" w:sz="2" w:space="0" w:color="auto"/>
              <w:right w:val="single" w:sz="2" w:space="0" w:color="auto"/>
            </w:tcBorders>
            <w:vAlign w:val="center"/>
          </w:tcPr>
          <w:p w14:paraId="0659293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5.19%</w:t>
            </w:r>
          </w:p>
        </w:tc>
        <w:tc>
          <w:tcPr>
            <w:tcW w:w="1606" w:type="dxa"/>
            <w:tcBorders>
              <w:top w:val="single" w:sz="2" w:space="0" w:color="auto"/>
              <w:left w:val="single" w:sz="2" w:space="0" w:color="auto"/>
              <w:bottom w:val="single" w:sz="2" w:space="0" w:color="auto"/>
              <w:right w:val="single" w:sz="2" w:space="0" w:color="auto"/>
            </w:tcBorders>
            <w:vAlign w:val="center"/>
          </w:tcPr>
          <w:p w14:paraId="258FC44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-13.74%</w:t>
            </w:r>
          </w:p>
        </w:tc>
      </w:tr>
      <w:tr w:rsidR="006C011D" w:rsidRPr="005A284F" w14:paraId="5B487E50"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4E9F30B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华南地区</w:t>
            </w:r>
          </w:p>
        </w:tc>
        <w:tc>
          <w:tcPr>
            <w:tcW w:w="1606" w:type="dxa"/>
            <w:tcBorders>
              <w:top w:val="single" w:sz="2" w:space="0" w:color="auto"/>
              <w:left w:val="single" w:sz="2" w:space="0" w:color="auto"/>
              <w:bottom w:val="single" w:sz="2" w:space="0" w:color="auto"/>
              <w:right w:val="single" w:sz="2" w:space="0" w:color="auto"/>
            </w:tcBorders>
            <w:vAlign w:val="center"/>
          </w:tcPr>
          <w:p w14:paraId="4C1C377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189,175,048.77</w:t>
            </w:r>
          </w:p>
        </w:tc>
        <w:tc>
          <w:tcPr>
            <w:tcW w:w="1606" w:type="dxa"/>
            <w:tcBorders>
              <w:top w:val="single" w:sz="2" w:space="0" w:color="auto"/>
              <w:left w:val="single" w:sz="2" w:space="0" w:color="auto"/>
              <w:bottom w:val="single" w:sz="2" w:space="0" w:color="auto"/>
              <w:right w:val="single" w:sz="2" w:space="0" w:color="auto"/>
            </w:tcBorders>
            <w:vAlign w:val="center"/>
          </w:tcPr>
          <w:p w14:paraId="7188B46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3.80%</w:t>
            </w:r>
          </w:p>
        </w:tc>
        <w:tc>
          <w:tcPr>
            <w:tcW w:w="1606" w:type="dxa"/>
            <w:tcBorders>
              <w:top w:val="single" w:sz="2" w:space="0" w:color="auto"/>
              <w:left w:val="single" w:sz="2" w:space="0" w:color="auto"/>
              <w:bottom w:val="single" w:sz="2" w:space="0" w:color="auto"/>
              <w:right w:val="single" w:sz="2" w:space="0" w:color="auto"/>
            </w:tcBorders>
            <w:vAlign w:val="center"/>
          </w:tcPr>
          <w:p w14:paraId="247DF45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103,608,239.11</w:t>
            </w:r>
          </w:p>
        </w:tc>
        <w:tc>
          <w:tcPr>
            <w:tcW w:w="1606" w:type="dxa"/>
            <w:tcBorders>
              <w:top w:val="single" w:sz="2" w:space="0" w:color="auto"/>
              <w:left w:val="single" w:sz="2" w:space="0" w:color="auto"/>
              <w:bottom w:val="single" w:sz="2" w:space="0" w:color="auto"/>
              <w:right w:val="single" w:sz="2" w:space="0" w:color="auto"/>
            </w:tcBorders>
            <w:vAlign w:val="center"/>
          </w:tcPr>
          <w:p w14:paraId="0F1473E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2.05%</w:t>
            </w:r>
          </w:p>
        </w:tc>
        <w:tc>
          <w:tcPr>
            <w:tcW w:w="1606" w:type="dxa"/>
            <w:tcBorders>
              <w:top w:val="single" w:sz="2" w:space="0" w:color="auto"/>
              <w:left w:val="single" w:sz="2" w:space="0" w:color="auto"/>
              <w:bottom w:val="single" w:sz="2" w:space="0" w:color="auto"/>
              <w:right w:val="single" w:sz="2" w:space="0" w:color="auto"/>
            </w:tcBorders>
            <w:vAlign w:val="center"/>
          </w:tcPr>
          <w:p w14:paraId="1EAFD9F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82.59%</w:t>
            </w:r>
          </w:p>
        </w:tc>
      </w:tr>
      <w:tr w:rsidR="006C011D" w:rsidRPr="005A284F" w14:paraId="7E2DF3CF"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722B0C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东北地区</w:t>
            </w:r>
          </w:p>
        </w:tc>
        <w:tc>
          <w:tcPr>
            <w:tcW w:w="1606" w:type="dxa"/>
            <w:tcBorders>
              <w:top w:val="single" w:sz="2" w:space="0" w:color="auto"/>
              <w:left w:val="single" w:sz="2" w:space="0" w:color="auto"/>
              <w:bottom w:val="single" w:sz="2" w:space="0" w:color="auto"/>
              <w:right w:val="single" w:sz="2" w:space="0" w:color="auto"/>
            </w:tcBorders>
            <w:vAlign w:val="center"/>
          </w:tcPr>
          <w:p w14:paraId="58E3D95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327,989,173.09</w:t>
            </w:r>
          </w:p>
        </w:tc>
        <w:tc>
          <w:tcPr>
            <w:tcW w:w="1606" w:type="dxa"/>
            <w:tcBorders>
              <w:top w:val="single" w:sz="2" w:space="0" w:color="auto"/>
              <w:left w:val="single" w:sz="2" w:space="0" w:color="auto"/>
              <w:bottom w:val="single" w:sz="2" w:space="0" w:color="auto"/>
              <w:right w:val="single" w:sz="2" w:space="0" w:color="auto"/>
            </w:tcBorders>
            <w:vAlign w:val="center"/>
          </w:tcPr>
          <w:p w14:paraId="3814E64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6.59%</w:t>
            </w:r>
          </w:p>
        </w:tc>
        <w:tc>
          <w:tcPr>
            <w:tcW w:w="1606" w:type="dxa"/>
            <w:tcBorders>
              <w:top w:val="single" w:sz="2" w:space="0" w:color="auto"/>
              <w:left w:val="single" w:sz="2" w:space="0" w:color="auto"/>
              <w:bottom w:val="single" w:sz="2" w:space="0" w:color="auto"/>
              <w:right w:val="single" w:sz="2" w:space="0" w:color="auto"/>
            </w:tcBorders>
            <w:vAlign w:val="center"/>
          </w:tcPr>
          <w:p w14:paraId="14D2C9D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393,493,451.20</w:t>
            </w:r>
          </w:p>
        </w:tc>
        <w:tc>
          <w:tcPr>
            <w:tcW w:w="1606" w:type="dxa"/>
            <w:tcBorders>
              <w:top w:val="single" w:sz="2" w:space="0" w:color="auto"/>
              <w:left w:val="single" w:sz="2" w:space="0" w:color="auto"/>
              <w:bottom w:val="single" w:sz="2" w:space="0" w:color="auto"/>
              <w:right w:val="single" w:sz="2" w:space="0" w:color="auto"/>
            </w:tcBorders>
            <w:vAlign w:val="center"/>
          </w:tcPr>
          <w:p w14:paraId="7596491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7.80%</w:t>
            </w:r>
          </w:p>
        </w:tc>
        <w:tc>
          <w:tcPr>
            <w:tcW w:w="1606" w:type="dxa"/>
            <w:tcBorders>
              <w:top w:val="single" w:sz="2" w:space="0" w:color="auto"/>
              <w:left w:val="single" w:sz="2" w:space="0" w:color="auto"/>
              <w:bottom w:val="single" w:sz="2" w:space="0" w:color="auto"/>
              <w:right w:val="single" w:sz="2" w:space="0" w:color="auto"/>
            </w:tcBorders>
            <w:vAlign w:val="center"/>
          </w:tcPr>
          <w:p w14:paraId="217E1D1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-16.65%</w:t>
            </w:r>
          </w:p>
        </w:tc>
      </w:tr>
      <w:tr w:rsidR="006C011D" w:rsidRPr="005A284F" w14:paraId="5B2EC5A0"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43EF35D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西南地区</w:t>
            </w:r>
          </w:p>
        </w:tc>
        <w:tc>
          <w:tcPr>
            <w:tcW w:w="1606" w:type="dxa"/>
            <w:tcBorders>
              <w:top w:val="single" w:sz="2" w:space="0" w:color="auto"/>
              <w:left w:val="single" w:sz="2" w:space="0" w:color="auto"/>
              <w:bottom w:val="single" w:sz="2" w:space="0" w:color="auto"/>
              <w:right w:val="single" w:sz="2" w:space="0" w:color="auto"/>
            </w:tcBorders>
            <w:vAlign w:val="center"/>
          </w:tcPr>
          <w:p w14:paraId="4AF1A42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365,348,274.18</w:t>
            </w:r>
          </w:p>
        </w:tc>
        <w:tc>
          <w:tcPr>
            <w:tcW w:w="1606" w:type="dxa"/>
            <w:tcBorders>
              <w:top w:val="single" w:sz="2" w:space="0" w:color="auto"/>
              <w:left w:val="single" w:sz="2" w:space="0" w:color="auto"/>
              <w:bottom w:val="single" w:sz="2" w:space="0" w:color="auto"/>
              <w:right w:val="single" w:sz="2" w:space="0" w:color="auto"/>
            </w:tcBorders>
            <w:vAlign w:val="center"/>
          </w:tcPr>
          <w:p w14:paraId="3333D36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7.34%</w:t>
            </w:r>
          </w:p>
        </w:tc>
        <w:tc>
          <w:tcPr>
            <w:tcW w:w="1606" w:type="dxa"/>
            <w:tcBorders>
              <w:top w:val="single" w:sz="2" w:space="0" w:color="auto"/>
              <w:left w:val="single" w:sz="2" w:space="0" w:color="auto"/>
              <w:bottom w:val="single" w:sz="2" w:space="0" w:color="auto"/>
              <w:right w:val="single" w:sz="2" w:space="0" w:color="auto"/>
            </w:tcBorders>
            <w:vAlign w:val="center"/>
          </w:tcPr>
          <w:p w14:paraId="6641B85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304,347,229.90</w:t>
            </w:r>
          </w:p>
        </w:tc>
        <w:tc>
          <w:tcPr>
            <w:tcW w:w="1606" w:type="dxa"/>
            <w:tcBorders>
              <w:top w:val="single" w:sz="2" w:space="0" w:color="auto"/>
              <w:left w:val="single" w:sz="2" w:space="0" w:color="auto"/>
              <w:bottom w:val="single" w:sz="2" w:space="0" w:color="auto"/>
              <w:right w:val="single" w:sz="2" w:space="0" w:color="auto"/>
            </w:tcBorders>
            <w:vAlign w:val="center"/>
          </w:tcPr>
          <w:p w14:paraId="024A862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6.03%</w:t>
            </w:r>
          </w:p>
        </w:tc>
        <w:tc>
          <w:tcPr>
            <w:tcW w:w="1606" w:type="dxa"/>
            <w:tcBorders>
              <w:top w:val="single" w:sz="2" w:space="0" w:color="auto"/>
              <w:left w:val="single" w:sz="2" w:space="0" w:color="auto"/>
              <w:bottom w:val="single" w:sz="2" w:space="0" w:color="auto"/>
              <w:right w:val="single" w:sz="2" w:space="0" w:color="auto"/>
            </w:tcBorders>
            <w:vAlign w:val="center"/>
          </w:tcPr>
          <w:p w14:paraId="0008584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20.04%</w:t>
            </w:r>
          </w:p>
        </w:tc>
      </w:tr>
      <w:tr w:rsidR="006C011D" w:rsidRPr="005A284F" w14:paraId="6161ABCA"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2C60804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西北地区及其他</w:t>
            </w:r>
          </w:p>
        </w:tc>
        <w:tc>
          <w:tcPr>
            <w:tcW w:w="1606" w:type="dxa"/>
            <w:tcBorders>
              <w:top w:val="single" w:sz="2" w:space="0" w:color="auto"/>
              <w:left w:val="single" w:sz="2" w:space="0" w:color="auto"/>
              <w:bottom w:val="single" w:sz="2" w:space="0" w:color="auto"/>
              <w:right w:val="single" w:sz="2" w:space="0" w:color="auto"/>
            </w:tcBorders>
            <w:vAlign w:val="center"/>
          </w:tcPr>
          <w:p w14:paraId="0D2722E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36,116,224.73</w:t>
            </w:r>
          </w:p>
        </w:tc>
        <w:tc>
          <w:tcPr>
            <w:tcW w:w="1606" w:type="dxa"/>
            <w:tcBorders>
              <w:top w:val="single" w:sz="2" w:space="0" w:color="auto"/>
              <w:left w:val="single" w:sz="2" w:space="0" w:color="auto"/>
              <w:bottom w:val="single" w:sz="2" w:space="0" w:color="auto"/>
              <w:right w:val="single" w:sz="2" w:space="0" w:color="auto"/>
            </w:tcBorders>
            <w:vAlign w:val="center"/>
          </w:tcPr>
          <w:p w14:paraId="3172C75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0.73%</w:t>
            </w:r>
          </w:p>
        </w:tc>
        <w:tc>
          <w:tcPr>
            <w:tcW w:w="1606" w:type="dxa"/>
            <w:tcBorders>
              <w:top w:val="single" w:sz="2" w:space="0" w:color="auto"/>
              <w:left w:val="single" w:sz="2" w:space="0" w:color="auto"/>
              <w:bottom w:val="single" w:sz="2" w:space="0" w:color="auto"/>
              <w:right w:val="single" w:sz="2" w:space="0" w:color="auto"/>
            </w:tcBorders>
            <w:vAlign w:val="center"/>
          </w:tcPr>
          <w:p w14:paraId="1B56432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18,955,371.50</w:t>
            </w:r>
          </w:p>
        </w:tc>
        <w:tc>
          <w:tcPr>
            <w:tcW w:w="1606" w:type="dxa"/>
            <w:tcBorders>
              <w:top w:val="single" w:sz="2" w:space="0" w:color="auto"/>
              <w:left w:val="single" w:sz="2" w:space="0" w:color="auto"/>
              <w:bottom w:val="single" w:sz="2" w:space="0" w:color="auto"/>
              <w:right w:val="single" w:sz="2" w:space="0" w:color="auto"/>
            </w:tcBorders>
            <w:vAlign w:val="center"/>
          </w:tcPr>
          <w:p w14:paraId="5759F96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0.38%</w:t>
            </w:r>
          </w:p>
        </w:tc>
        <w:tc>
          <w:tcPr>
            <w:tcW w:w="1606" w:type="dxa"/>
            <w:tcBorders>
              <w:top w:val="single" w:sz="2" w:space="0" w:color="auto"/>
              <w:left w:val="single" w:sz="2" w:space="0" w:color="auto"/>
              <w:bottom w:val="single" w:sz="2" w:space="0" w:color="auto"/>
              <w:right w:val="single" w:sz="2" w:space="0" w:color="auto"/>
            </w:tcBorders>
            <w:vAlign w:val="center"/>
          </w:tcPr>
          <w:p w14:paraId="31C1583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90.53%</w:t>
            </w:r>
          </w:p>
        </w:tc>
      </w:tr>
    </w:tbl>
    <w:p w14:paraId="7B08499C"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占公司营业收入或营业利润</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以上的行业、产品或地区情况</w:t>
      </w:r>
    </w:p>
    <w:p w14:paraId="07FCCEBA" w14:textId="77777777" w:rsidR="006C011D" w:rsidRPr="00F97F74" w:rsidRDefault="00000000">
      <w:pPr>
        <w:spacing w:before="100" w:after="100" w:line="240" w:lineRule="exact"/>
        <w:rPr>
          <w:rFonts w:ascii="宋体" w:eastAsia="宋体" w:hAnsi="宋体" w:cs="Times New Roman" w:hint="eastAsia"/>
          <w:sz w:val="18"/>
          <w:szCs w:val="18"/>
        </w:rPr>
      </w:pPr>
      <w:r w:rsidRPr="00F97F74">
        <w:rPr>
          <w:rFonts w:ascii="宋体" w:eastAsia="宋体" w:hAnsi="宋体" w:cs="Times New Roman"/>
          <w:sz w:val="18"/>
          <w:szCs w:val="18"/>
        </w:rPr>
        <w:sym w:font="Wingdings 2" w:char="F052"/>
      </w:r>
      <w:r w:rsidRPr="00F97F74">
        <w:rPr>
          <w:rFonts w:ascii="宋体" w:eastAsia="宋体" w:hAnsi="宋体" w:cs="Times New Roman"/>
          <w:sz w:val="18"/>
          <w:szCs w:val="18"/>
        </w:rPr>
        <w:t>适用 □不适用</w:t>
      </w:r>
    </w:p>
    <w:p w14:paraId="08935C29" w14:textId="77777777" w:rsidR="006C011D" w:rsidRPr="005A284F" w:rsidRDefault="00000000">
      <w:pPr>
        <w:spacing w:before="120" w:after="12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18"/>
        <w:gridCol w:w="1559"/>
        <w:gridCol w:w="1559"/>
        <w:gridCol w:w="972"/>
        <w:gridCol w:w="1377"/>
        <w:gridCol w:w="1377"/>
        <w:gridCol w:w="1377"/>
      </w:tblGrid>
      <w:tr w:rsidR="006C011D" w:rsidRPr="005A284F" w14:paraId="4E238FBE" w14:textId="77777777" w:rsidTr="00F97F74">
        <w:trPr>
          <w:trHeight w:val="240"/>
        </w:trPr>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18435947" w14:textId="77777777" w:rsidR="006C011D" w:rsidRPr="005A284F" w:rsidRDefault="006C011D">
            <w:pPr>
              <w:rPr>
                <w:rFonts w:ascii="Times New Roman" w:eastAsia="宋体" w:hAnsi="Times New Roman" w:cs="Times New Roman"/>
              </w:rPr>
            </w:pP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6AC4BE1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营业收入</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18BDC5F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营业成本</w:t>
            </w:r>
          </w:p>
        </w:tc>
        <w:tc>
          <w:tcPr>
            <w:tcW w:w="972" w:type="dxa"/>
            <w:tcBorders>
              <w:top w:val="single" w:sz="2" w:space="0" w:color="auto"/>
              <w:left w:val="single" w:sz="2" w:space="0" w:color="auto"/>
              <w:bottom w:val="single" w:sz="2" w:space="0" w:color="auto"/>
              <w:right w:val="single" w:sz="2" w:space="0" w:color="auto"/>
            </w:tcBorders>
            <w:shd w:val="clear" w:color="auto" w:fill="D3D3D3"/>
            <w:vAlign w:val="center"/>
          </w:tcPr>
          <w:p w14:paraId="4360320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毛利率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C6C113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营业收入比上年同期增减</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8DCEFD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营业成本比上年同期增减</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EEA509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毛利率比上年同期增减</w:t>
            </w:r>
          </w:p>
        </w:tc>
      </w:tr>
      <w:tr w:rsidR="006C011D" w:rsidRPr="005A284F" w14:paraId="6A6FF7B3" w14:textId="77777777">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454E5DC4"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分行业</w:t>
            </w:r>
          </w:p>
        </w:tc>
      </w:tr>
      <w:tr w:rsidR="006C011D" w:rsidRPr="005A284F" w14:paraId="48F4753E" w14:textId="77777777" w:rsidTr="00F97F74">
        <w:trPr>
          <w:trHeight w:val="240"/>
        </w:trPr>
        <w:tc>
          <w:tcPr>
            <w:tcW w:w="1418" w:type="dxa"/>
            <w:tcBorders>
              <w:top w:val="single" w:sz="2" w:space="0" w:color="auto"/>
              <w:left w:val="single" w:sz="2" w:space="0" w:color="auto"/>
              <w:bottom w:val="single" w:sz="2" w:space="0" w:color="auto"/>
              <w:right w:val="single" w:sz="2" w:space="0" w:color="auto"/>
            </w:tcBorders>
            <w:vAlign w:val="center"/>
          </w:tcPr>
          <w:p w14:paraId="647E8383" w14:textId="2D604492"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屠宰行业</w:t>
            </w:r>
          </w:p>
        </w:tc>
        <w:tc>
          <w:tcPr>
            <w:tcW w:w="1559" w:type="dxa"/>
            <w:tcBorders>
              <w:top w:val="single" w:sz="2" w:space="0" w:color="auto"/>
              <w:left w:val="single" w:sz="2" w:space="0" w:color="auto"/>
              <w:bottom w:val="single" w:sz="2" w:space="0" w:color="auto"/>
              <w:right w:val="single" w:sz="2" w:space="0" w:color="auto"/>
            </w:tcBorders>
            <w:vAlign w:val="center"/>
          </w:tcPr>
          <w:p w14:paraId="6488319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4,072,909,456.96</w:t>
            </w:r>
          </w:p>
        </w:tc>
        <w:tc>
          <w:tcPr>
            <w:tcW w:w="1559" w:type="dxa"/>
            <w:tcBorders>
              <w:top w:val="single" w:sz="2" w:space="0" w:color="auto"/>
              <w:left w:val="single" w:sz="2" w:space="0" w:color="auto"/>
              <w:bottom w:val="single" w:sz="2" w:space="0" w:color="auto"/>
              <w:right w:val="single" w:sz="2" w:space="0" w:color="auto"/>
            </w:tcBorders>
            <w:vAlign w:val="center"/>
          </w:tcPr>
          <w:p w14:paraId="57E3A1D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3,930,096,572.88</w:t>
            </w:r>
          </w:p>
        </w:tc>
        <w:tc>
          <w:tcPr>
            <w:tcW w:w="972" w:type="dxa"/>
            <w:tcBorders>
              <w:top w:val="single" w:sz="2" w:space="0" w:color="auto"/>
              <w:left w:val="single" w:sz="2" w:space="0" w:color="auto"/>
              <w:bottom w:val="single" w:sz="2" w:space="0" w:color="auto"/>
              <w:right w:val="single" w:sz="2" w:space="0" w:color="auto"/>
            </w:tcBorders>
            <w:vAlign w:val="center"/>
          </w:tcPr>
          <w:p w14:paraId="52C44DC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3.51%</w:t>
            </w:r>
          </w:p>
        </w:tc>
        <w:tc>
          <w:tcPr>
            <w:tcW w:w="1377" w:type="dxa"/>
            <w:tcBorders>
              <w:top w:val="single" w:sz="2" w:space="0" w:color="auto"/>
              <w:left w:val="single" w:sz="2" w:space="0" w:color="auto"/>
              <w:bottom w:val="single" w:sz="2" w:space="0" w:color="auto"/>
              <w:right w:val="single" w:sz="2" w:space="0" w:color="auto"/>
            </w:tcBorders>
            <w:vAlign w:val="center"/>
          </w:tcPr>
          <w:p w14:paraId="4FE7DC1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4.41%</w:t>
            </w:r>
          </w:p>
        </w:tc>
        <w:tc>
          <w:tcPr>
            <w:tcW w:w="1377" w:type="dxa"/>
            <w:tcBorders>
              <w:top w:val="single" w:sz="2" w:space="0" w:color="auto"/>
              <w:left w:val="single" w:sz="2" w:space="0" w:color="auto"/>
              <w:bottom w:val="single" w:sz="2" w:space="0" w:color="auto"/>
              <w:right w:val="single" w:sz="2" w:space="0" w:color="auto"/>
            </w:tcBorders>
            <w:vAlign w:val="center"/>
          </w:tcPr>
          <w:p w14:paraId="0CF3960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3.65%</w:t>
            </w:r>
          </w:p>
        </w:tc>
        <w:tc>
          <w:tcPr>
            <w:tcW w:w="1377" w:type="dxa"/>
            <w:tcBorders>
              <w:top w:val="single" w:sz="2" w:space="0" w:color="auto"/>
              <w:left w:val="single" w:sz="2" w:space="0" w:color="auto"/>
              <w:bottom w:val="single" w:sz="2" w:space="0" w:color="auto"/>
              <w:right w:val="single" w:sz="2" w:space="0" w:color="auto"/>
            </w:tcBorders>
            <w:vAlign w:val="center"/>
          </w:tcPr>
          <w:p w14:paraId="77CE85E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0.71%</w:t>
            </w:r>
          </w:p>
        </w:tc>
      </w:tr>
      <w:tr w:rsidR="006C011D" w:rsidRPr="005A284F" w14:paraId="289BC5F5" w14:textId="77777777" w:rsidTr="00F97F74">
        <w:trPr>
          <w:trHeight w:val="240"/>
        </w:trPr>
        <w:tc>
          <w:tcPr>
            <w:tcW w:w="1418" w:type="dxa"/>
            <w:tcBorders>
              <w:top w:val="single" w:sz="2" w:space="0" w:color="auto"/>
              <w:left w:val="single" w:sz="2" w:space="0" w:color="auto"/>
              <w:bottom w:val="single" w:sz="2" w:space="0" w:color="auto"/>
              <w:right w:val="single" w:sz="2" w:space="0" w:color="auto"/>
            </w:tcBorders>
            <w:vAlign w:val="center"/>
          </w:tcPr>
          <w:p w14:paraId="6542A283" w14:textId="6133532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食品行业</w:t>
            </w:r>
          </w:p>
        </w:tc>
        <w:tc>
          <w:tcPr>
            <w:tcW w:w="1559" w:type="dxa"/>
            <w:tcBorders>
              <w:top w:val="single" w:sz="2" w:space="0" w:color="auto"/>
              <w:left w:val="single" w:sz="2" w:space="0" w:color="auto"/>
              <w:bottom w:val="single" w:sz="2" w:space="0" w:color="auto"/>
              <w:right w:val="single" w:sz="2" w:space="0" w:color="auto"/>
            </w:tcBorders>
            <w:vAlign w:val="center"/>
          </w:tcPr>
          <w:p w14:paraId="4861775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866,470,161.32</w:t>
            </w:r>
          </w:p>
        </w:tc>
        <w:tc>
          <w:tcPr>
            <w:tcW w:w="1559" w:type="dxa"/>
            <w:tcBorders>
              <w:top w:val="single" w:sz="2" w:space="0" w:color="auto"/>
              <w:left w:val="single" w:sz="2" w:space="0" w:color="auto"/>
              <w:bottom w:val="single" w:sz="2" w:space="0" w:color="auto"/>
              <w:right w:val="single" w:sz="2" w:space="0" w:color="auto"/>
            </w:tcBorders>
            <w:vAlign w:val="center"/>
          </w:tcPr>
          <w:p w14:paraId="5E2D540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747,592,922.84</w:t>
            </w:r>
          </w:p>
        </w:tc>
        <w:tc>
          <w:tcPr>
            <w:tcW w:w="972" w:type="dxa"/>
            <w:tcBorders>
              <w:top w:val="single" w:sz="2" w:space="0" w:color="auto"/>
              <w:left w:val="single" w:sz="2" w:space="0" w:color="auto"/>
              <w:bottom w:val="single" w:sz="2" w:space="0" w:color="auto"/>
              <w:right w:val="single" w:sz="2" w:space="0" w:color="auto"/>
            </w:tcBorders>
            <w:vAlign w:val="center"/>
          </w:tcPr>
          <w:p w14:paraId="0BFE36B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13.72%</w:t>
            </w:r>
          </w:p>
        </w:tc>
        <w:tc>
          <w:tcPr>
            <w:tcW w:w="1377" w:type="dxa"/>
            <w:tcBorders>
              <w:top w:val="single" w:sz="2" w:space="0" w:color="auto"/>
              <w:left w:val="single" w:sz="2" w:space="0" w:color="auto"/>
              <w:bottom w:val="single" w:sz="2" w:space="0" w:color="auto"/>
              <w:right w:val="single" w:sz="2" w:space="0" w:color="auto"/>
            </w:tcBorders>
            <w:vAlign w:val="center"/>
          </w:tcPr>
          <w:p w14:paraId="3285C29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-19.91%</w:t>
            </w:r>
          </w:p>
        </w:tc>
        <w:tc>
          <w:tcPr>
            <w:tcW w:w="1377" w:type="dxa"/>
            <w:tcBorders>
              <w:top w:val="single" w:sz="2" w:space="0" w:color="auto"/>
              <w:left w:val="single" w:sz="2" w:space="0" w:color="auto"/>
              <w:bottom w:val="single" w:sz="2" w:space="0" w:color="auto"/>
              <w:right w:val="single" w:sz="2" w:space="0" w:color="auto"/>
            </w:tcBorders>
            <w:vAlign w:val="center"/>
          </w:tcPr>
          <w:p w14:paraId="508769A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-20.95%</w:t>
            </w:r>
          </w:p>
        </w:tc>
        <w:tc>
          <w:tcPr>
            <w:tcW w:w="1377" w:type="dxa"/>
            <w:tcBorders>
              <w:top w:val="single" w:sz="2" w:space="0" w:color="auto"/>
              <w:left w:val="single" w:sz="2" w:space="0" w:color="auto"/>
              <w:bottom w:val="single" w:sz="2" w:space="0" w:color="auto"/>
              <w:right w:val="single" w:sz="2" w:space="0" w:color="auto"/>
            </w:tcBorders>
            <w:vAlign w:val="center"/>
          </w:tcPr>
          <w:p w14:paraId="75ED387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1.14%</w:t>
            </w:r>
          </w:p>
        </w:tc>
      </w:tr>
      <w:tr w:rsidR="006C011D" w:rsidRPr="005A284F" w14:paraId="34FCB0C3" w14:textId="77777777">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7B061FBE"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分产品</w:t>
            </w:r>
          </w:p>
        </w:tc>
      </w:tr>
      <w:tr w:rsidR="006C011D" w:rsidRPr="005A284F" w14:paraId="7C97D76B" w14:textId="77777777" w:rsidTr="00F97F74">
        <w:trPr>
          <w:trHeight w:val="240"/>
        </w:trPr>
        <w:tc>
          <w:tcPr>
            <w:tcW w:w="1418" w:type="dxa"/>
            <w:tcBorders>
              <w:top w:val="single" w:sz="2" w:space="0" w:color="auto"/>
              <w:left w:val="single" w:sz="2" w:space="0" w:color="auto"/>
              <w:bottom w:val="single" w:sz="2" w:space="0" w:color="auto"/>
              <w:right w:val="single" w:sz="2" w:space="0" w:color="auto"/>
            </w:tcBorders>
            <w:vAlign w:val="center"/>
          </w:tcPr>
          <w:p w14:paraId="5D1602AD" w14:textId="0909EF44"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鲜冻肉</w:t>
            </w:r>
          </w:p>
        </w:tc>
        <w:tc>
          <w:tcPr>
            <w:tcW w:w="1559" w:type="dxa"/>
            <w:tcBorders>
              <w:top w:val="single" w:sz="2" w:space="0" w:color="auto"/>
              <w:left w:val="single" w:sz="2" w:space="0" w:color="auto"/>
              <w:bottom w:val="single" w:sz="2" w:space="0" w:color="auto"/>
              <w:right w:val="single" w:sz="2" w:space="0" w:color="auto"/>
            </w:tcBorders>
            <w:vAlign w:val="center"/>
          </w:tcPr>
          <w:p w14:paraId="30719EE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4,072,909,456.96</w:t>
            </w:r>
          </w:p>
        </w:tc>
        <w:tc>
          <w:tcPr>
            <w:tcW w:w="1559" w:type="dxa"/>
            <w:tcBorders>
              <w:top w:val="single" w:sz="2" w:space="0" w:color="auto"/>
              <w:left w:val="single" w:sz="2" w:space="0" w:color="auto"/>
              <w:bottom w:val="single" w:sz="2" w:space="0" w:color="auto"/>
              <w:right w:val="single" w:sz="2" w:space="0" w:color="auto"/>
            </w:tcBorders>
            <w:vAlign w:val="center"/>
          </w:tcPr>
          <w:p w14:paraId="11E91D7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3,930,096,572.88</w:t>
            </w:r>
          </w:p>
        </w:tc>
        <w:tc>
          <w:tcPr>
            <w:tcW w:w="972" w:type="dxa"/>
            <w:tcBorders>
              <w:top w:val="single" w:sz="2" w:space="0" w:color="auto"/>
              <w:left w:val="single" w:sz="2" w:space="0" w:color="auto"/>
              <w:bottom w:val="single" w:sz="2" w:space="0" w:color="auto"/>
              <w:right w:val="single" w:sz="2" w:space="0" w:color="auto"/>
            </w:tcBorders>
            <w:vAlign w:val="center"/>
          </w:tcPr>
          <w:p w14:paraId="371D390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3.51%</w:t>
            </w:r>
          </w:p>
        </w:tc>
        <w:tc>
          <w:tcPr>
            <w:tcW w:w="1377" w:type="dxa"/>
            <w:tcBorders>
              <w:top w:val="single" w:sz="2" w:space="0" w:color="auto"/>
              <w:left w:val="single" w:sz="2" w:space="0" w:color="auto"/>
              <w:bottom w:val="single" w:sz="2" w:space="0" w:color="auto"/>
              <w:right w:val="single" w:sz="2" w:space="0" w:color="auto"/>
            </w:tcBorders>
            <w:vAlign w:val="center"/>
          </w:tcPr>
          <w:p w14:paraId="772080C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4.41%</w:t>
            </w:r>
          </w:p>
        </w:tc>
        <w:tc>
          <w:tcPr>
            <w:tcW w:w="1377" w:type="dxa"/>
            <w:tcBorders>
              <w:top w:val="single" w:sz="2" w:space="0" w:color="auto"/>
              <w:left w:val="single" w:sz="2" w:space="0" w:color="auto"/>
              <w:bottom w:val="single" w:sz="2" w:space="0" w:color="auto"/>
              <w:right w:val="single" w:sz="2" w:space="0" w:color="auto"/>
            </w:tcBorders>
            <w:vAlign w:val="center"/>
          </w:tcPr>
          <w:p w14:paraId="34F8381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3.65%</w:t>
            </w:r>
          </w:p>
        </w:tc>
        <w:tc>
          <w:tcPr>
            <w:tcW w:w="1377" w:type="dxa"/>
            <w:tcBorders>
              <w:top w:val="single" w:sz="2" w:space="0" w:color="auto"/>
              <w:left w:val="single" w:sz="2" w:space="0" w:color="auto"/>
              <w:bottom w:val="single" w:sz="2" w:space="0" w:color="auto"/>
              <w:right w:val="single" w:sz="2" w:space="0" w:color="auto"/>
            </w:tcBorders>
            <w:vAlign w:val="center"/>
          </w:tcPr>
          <w:p w14:paraId="318CAB6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0.71%</w:t>
            </w:r>
          </w:p>
        </w:tc>
      </w:tr>
      <w:tr w:rsidR="006C011D" w:rsidRPr="005A284F" w14:paraId="27BBEF17" w14:textId="77777777" w:rsidTr="00F97F74">
        <w:trPr>
          <w:trHeight w:val="240"/>
        </w:trPr>
        <w:tc>
          <w:tcPr>
            <w:tcW w:w="1418" w:type="dxa"/>
            <w:tcBorders>
              <w:top w:val="single" w:sz="2" w:space="0" w:color="auto"/>
              <w:left w:val="single" w:sz="2" w:space="0" w:color="auto"/>
              <w:bottom w:val="single" w:sz="2" w:space="0" w:color="auto"/>
              <w:right w:val="single" w:sz="2" w:space="0" w:color="auto"/>
            </w:tcBorders>
            <w:vAlign w:val="center"/>
          </w:tcPr>
          <w:p w14:paraId="683017A2" w14:textId="448F0520"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预制</w:t>
            </w:r>
            <w:r w:rsidR="00066462">
              <w:rPr>
                <w:rFonts w:ascii="Times New Roman" w:eastAsia="宋体" w:hAnsi="Times New Roman" w:cs="Times New Roman" w:hint="eastAsia"/>
                <w:sz w:val="18"/>
                <w:szCs w:val="18"/>
              </w:rPr>
              <w:t>食品</w:t>
            </w:r>
          </w:p>
        </w:tc>
        <w:tc>
          <w:tcPr>
            <w:tcW w:w="1559" w:type="dxa"/>
            <w:tcBorders>
              <w:top w:val="single" w:sz="2" w:space="0" w:color="auto"/>
              <w:left w:val="single" w:sz="2" w:space="0" w:color="auto"/>
              <w:bottom w:val="single" w:sz="2" w:space="0" w:color="auto"/>
              <w:right w:val="single" w:sz="2" w:space="0" w:color="auto"/>
            </w:tcBorders>
            <w:vAlign w:val="center"/>
          </w:tcPr>
          <w:p w14:paraId="1807941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782,990,558.06</w:t>
            </w:r>
          </w:p>
        </w:tc>
        <w:tc>
          <w:tcPr>
            <w:tcW w:w="1559" w:type="dxa"/>
            <w:tcBorders>
              <w:top w:val="single" w:sz="2" w:space="0" w:color="auto"/>
              <w:left w:val="single" w:sz="2" w:space="0" w:color="auto"/>
              <w:bottom w:val="single" w:sz="2" w:space="0" w:color="auto"/>
              <w:right w:val="single" w:sz="2" w:space="0" w:color="auto"/>
            </w:tcBorders>
            <w:vAlign w:val="center"/>
          </w:tcPr>
          <w:p w14:paraId="75CA1CC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685,669,135.34</w:t>
            </w:r>
          </w:p>
        </w:tc>
        <w:tc>
          <w:tcPr>
            <w:tcW w:w="972" w:type="dxa"/>
            <w:tcBorders>
              <w:top w:val="single" w:sz="2" w:space="0" w:color="auto"/>
              <w:left w:val="single" w:sz="2" w:space="0" w:color="auto"/>
              <w:bottom w:val="single" w:sz="2" w:space="0" w:color="auto"/>
              <w:right w:val="single" w:sz="2" w:space="0" w:color="auto"/>
            </w:tcBorders>
            <w:vAlign w:val="center"/>
          </w:tcPr>
          <w:p w14:paraId="65C0303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12.43%</w:t>
            </w:r>
          </w:p>
        </w:tc>
        <w:tc>
          <w:tcPr>
            <w:tcW w:w="1377" w:type="dxa"/>
            <w:tcBorders>
              <w:top w:val="single" w:sz="2" w:space="0" w:color="auto"/>
              <w:left w:val="single" w:sz="2" w:space="0" w:color="auto"/>
              <w:bottom w:val="single" w:sz="2" w:space="0" w:color="auto"/>
              <w:right w:val="single" w:sz="2" w:space="0" w:color="auto"/>
            </w:tcBorders>
            <w:vAlign w:val="center"/>
          </w:tcPr>
          <w:p w14:paraId="1906103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-19.50%</w:t>
            </w:r>
          </w:p>
        </w:tc>
        <w:tc>
          <w:tcPr>
            <w:tcW w:w="1377" w:type="dxa"/>
            <w:tcBorders>
              <w:top w:val="single" w:sz="2" w:space="0" w:color="auto"/>
              <w:left w:val="single" w:sz="2" w:space="0" w:color="auto"/>
              <w:bottom w:val="single" w:sz="2" w:space="0" w:color="auto"/>
              <w:right w:val="single" w:sz="2" w:space="0" w:color="auto"/>
            </w:tcBorders>
            <w:vAlign w:val="center"/>
          </w:tcPr>
          <w:p w14:paraId="18A9A35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-20.62%</w:t>
            </w:r>
          </w:p>
        </w:tc>
        <w:tc>
          <w:tcPr>
            <w:tcW w:w="1377" w:type="dxa"/>
            <w:tcBorders>
              <w:top w:val="single" w:sz="2" w:space="0" w:color="auto"/>
              <w:left w:val="single" w:sz="2" w:space="0" w:color="auto"/>
              <w:bottom w:val="single" w:sz="2" w:space="0" w:color="auto"/>
              <w:right w:val="single" w:sz="2" w:space="0" w:color="auto"/>
            </w:tcBorders>
            <w:vAlign w:val="center"/>
          </w:tcPr>
          <w:p w14:paraId="3EED114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1.24%</w:t>
            </w:r>
          </w:p>
        </w:tc>
      </w:tr>
      <w:tr w:rsidR="006C011D" w:rsidRPr="005A284F" w14:paraId="1958CBBE" w14:textId="77777777">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6FCFFE39"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分地区</w:t>
            </w:r>
          </w:p>
        </w:tc>
      </w:tr>
      <w:tr w:rsidR="006C011D" w:rsidRPr="005A284F" w14:paraId="35A99D98" w14:textId="77777777" w:rsidTr="00F97F74">
        <w:trPr>
          <w:trHeight w:val="240"/>
        </w:trPr>
        <w:tc>
          <w:tcPr>
            <w:tcW w:w="1418" w:type="dxa"/>
            <w:tcBorders>
              <w:top w:val="single" w:sz="2" w:space="0" w:color="auto"/>
              <w:left w:val="single" w:sz="2" w:space="0" w:color="auto"/>
              <w:bottom w:val="single" w:sz="2" w:space="0" w:color="auto"/>
              <w:right w:val="single" w:sz="2" w:space="0" w:color="auto"/>
            </w:tcBorders>
            <w:vAlign w:val="center"/>
          </w:tcPr>
          <w:p w14:paraId="7E8CF56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山东省内</w:t>
            </w:r>
          </w:p>
        </w:tc>
        <w:tc>
          <w:tcPr>
            <w:tcW w:w="1559" w:type="dxa"/>
            <w:tcBorders>
              <w:top w:val="single" w:sz="2" w:space="0" w:color="auto"/>
              <w:left w:val="single" w:sz="2" w:space="0" w:color="auto"/>
              <w:bottom w:val="single" w:sz="2" w:space="0" w:color="auto"/>
              <w:right w:val="single" w:sz="2" w:space="0" w:color="auto"/>
            </w:tcBorders>
            <w:vAlign w:val="center"/>
          </w:tcPr>
          <w:p w14:paraId="00AECE1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1,796,049,612.07</w:t>
            </w:r>
          </w:p>
        </w:tc>
        <w:tc>
          <w:tcPr>
            <w:tcW w:w="1559" w:type="dxa"/>
            <w:tcBorders>
              <w:top w:val="single" w:sz="2" w:space="0" w:color="auto"/>
              <w:left w:val="single" w:sz="2" w:space="0" w:color="auto"/>
              <w:bottom w:val="single" w:sz="2" w:space="0" w:color="auto"/>
              <w:right w:val="single" w:sz="2" w:space="0" w:color="auto"/>
            </w:tcBorders>
            <w:vAlign w:val="center"/>
          </w:tcPr>
          <w:p w14:paraId="4D258E1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1,676,834,311.58</w:t>
            </w:r>
          </w:p>
        </w:tc>
        <w:tc>
          <w:tcPr>
            <w:tcW w:w="972" w:type="dxa"/>
            <w:tcBorders>
              <w:top w:val="single" w:sz="2" w:space="0" w:color="auto"/>
              <w:left w:val="single" w:sz="2" w:space="0" w:color="auto"/>
              <w:bottom w:val="single" w:sz="2" w:space="0" w:color="auto"/>
              <w:right w:val="single" w:sz="2" w:space="0" w:color="auto"/>
            </w:tcBorders>
            <w:vAlign w:val="center"/>
          </w:tcPr>
          <w:p w14:paraId="34C8EF9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6.64%</w:t>
            </w:r>
          </w:p>
        </w:tc>
        <w:tc>
          <w:tcPr>
            <w:tcW w:w="1377" w:type="dxa"/>
            <w:tcBorders>
              <w:top w:val="single" w:sz="2" w:space="0" w:color="auto"/>
              <w:left w:val="single" w:sz="2" w:space="0" w:color="auto"/>
              <w:bottom w:val="single" w:sz="2" w:space="0" w:color="auto"/>
              <w:right w:val="single" w:sz="2" w:space="0" w:color="auto"/>
            </w:tcBorders>
            <w:vAlign w:val="center"/>
          </w:tcPr>
          <w:p w14:paraId="1B9CFE2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-6.64%</w:t>
            </w:r>
          </w:p>
        </w:tc>
        <w:tc>
          <w:tcPr>
            <w:tcW w:w="1377" w:type="dxa"/>
            <w:tcBorders>
              <w:top w:val="single" w:sz="2" w:space="0" w:color="auto"/>
              <w:left w:val="single" w:sz="2" w:space="0" w:color="auto"/>
              <w:bottom w:val="single" w:sz="2" w:space="0" w:color="auto"/>
              <w:right w:val="single" w:sz="2" w:space="0" w:color="auto"/>
            </w:tcBorders>
            <w:vAlign w:val="center"/>
          </w:tcPr>
          <w:p w14:paraId="70CEE6C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-5.58%</w:t>
            </w:r>
          </w:p>
        </w:tc>
        <w:tc>
          <w:tcPr>
            <w:tcW w:w="1377" w:type="dxa"/>
            <w:tcBorders>
              <w:top w:val="single" w:sz="2" w:space="0" w:color="auto"/>
              <w:left w:val="single" w:sz="2" w:space="0" w:color="auto"/>
              <w:bottom w:val="single" w:sz="2" w:space="0" w:color="auto"/>
              <w:right w:val="single" w:sz="2" w:space="0" w:color="auto"/>
            </w:tcBorders>
            <w:vAlign w:val="center"/>
          </w:tcPr>
          <w:p w14:paraId="4C78142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-1.04%</w:t>
            </w:r>
          </w:p>
        </w:tc>
      </w:tr>
      <w:tr w:rsidR="006C011D" w:rsidRPr="005A284F" w14:paraId="0DFEF23F" w14:textId="77777777" w:rsidTr="00F97F74">
        <w:trPr>
          <w:trHeight w:val="240"/>
        </w:trPr>
        <w:tc>
          <w:tcPr>
            <w:tcW w:w="1418" w:type="dxa"/>
            <w:tcBorders>
              <w:top w:val="single" w:sz="2" w:space="0" w:color="auto"/>
              <w:left w:val="single" w:sz="2" w:space="0" w:color="auto"/>
              <w:bottom w:val="single" w:sz="2" w:space="0" w:color="auto"/>
              <w:right w:val="single" w:sz="2" w:space="0" w:color="auto"/>
            </w:tcBorders>
            <w:vAlign w:val="center"/>
          </w:tcPr>
          <w:p w14:paraId="470F950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华东其他地区</w:t>
            </w:r>
          </w:p>
        </w:tc>
        <w:tc>
          <w:tcPr>
            <w:tcW w:w="1559" w:type="dxa"/>
            <w:tcBorders>
              <w:top w:val="single" w:sz="2" w:space="0" w:color="auto"/>
              <w:left w:val="single" w:sz="2" w:space="0" w:color="auto"/>
              <w:bottom w:val="single" w:sz="2" w:space="0" w:color="auto"/>
              <w:right w:val="single" w:sz="2" w:space="0" w:color="auto"/>
            </w:tcBorders>
            <w:vAlign w:val="center"/>
          </w:tcPr>
          <w:p w14:paraId="3BD4177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1,258,635,400.77</w:t>
            </w:r>
          </w:p>
        </w:tc>
        <w:tc>
          <w:tcPr>
            <w:tcW w:w="1559" w:type="dxa"/>
            <w:tcBorders>
              <w:top w:val="single" w:sz="2" w:space="0" w:color="auto"/>
              <w:left w:val="single" w:sz="2" w:space="0" w:color="auto"/>
              <w:bottom w:val="single" w:sz="2" w:space="0" w:color="auto"/>
              <w:right w:val="single" w:sz="2" w:space="0" w:color="auto"/>
            </w:tcBorders>
            <w:vAlign w:val="center"/>
          </w:tcPr>
          <w:p w14:paraId="5294EA6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1,187,961,627.94</w:t>
            </w:r>
          </w:p>
        </w:tc>
        <w:tc>
          <w:tcPr>
            <w:tcW w:w="972" w:type="dxa"/>
            <w:tcBorders>
              <w:top w:val="single" w:sz="2" w:space="0" w:color="auto"/>
              <w:left w:val="single" w:sz="2" w:space="0" w:color="auto"/>
              <w:bottom w:val="single" w:sz="2" w:space="0" w:color="auto"/>
              <w:right w:val="single" w:sz="2" w:space="0" w:color="auto"/>
            </w:tcBorders>
            <w:vAlign w:val="center"/>
          </w:tcPr>
          <w:p w14:paraId="35F03CE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5.62%</w:t>
            </w:r>
          </w:p>
        </w:tc>
        <w:tc>
          <w:tcPr>
            <w:tcW w:w="1377" w:type="dxa"/>
            <w:tcBorders>
              <w:top w:val="single" w:sz="2" w:space="0" w:color="auto"/>
              <w:left w:val="single" w:sz="2" w:space="0" w:color="auto"/>
              <w:bottom w:val="single" w:sz="2" w:space="0" w:color="auto"/>
              <w:right w:val="single" w:sz="2" w:space="0" w:color="auto"/>
            </w:tcBorders>
            <w:vAlign w:val="center"/>
          </w:tcPr>
          <w:p w14:paraId="5C5DC74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-5.75%</w:t>
            </w:r>
          </w:p>
        </w:tc>
        <w:tc>
          <w:tcPr>
            <w:tcW w:w="1377" w:type="dxa"/>
            <w:tcBorders>
              <w:top w:val="single" w:sz="2" w:space="0" w:color="auto"/>
              <w:left w:val="single" w:sz="2" w:space="0" w:color="auto"/>
              <w:bottom w:val="single" w:sz="2" w:space="0" w:color="auto"/>
              <w:right w:val="single" w:sz="2" w:space="0" w:color="auto"/>
            </w:tcBorders>
            <w:vAlign w:val="center"/>
          </w:tcPr>
          <w:p w14:paraId="14B1F82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-6.39%</w:t>
            </w:r>
          </w:p>
        </w:tc>
        <w:tc>
          <w:tcPr>
            <w:tcW w:w="1377" w:type="dxa"/>
            <w:tcBorders>
              <w:top w:val="single" w:sz="2" w:space="0" w:color="auto"/>
              <w:left w:val="single" w:sz="2" w:space="0" w:color="auto"/>
              <w:bottom w:val="single" w:sz="2" w:space="0" w:color="auto"/>
              <w:right w:val="single" w:sz="2" w:space="0" w:color="auto"/>
            </w:tcBorders>
            <w:vAlign w:val="center"/>
          </w:tcPr>
          <w:p w14:paraId="0A8AE85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0.65%</w:t>
            </w:r>
          </w:p>
        </w:tc>
      </w:tr>
      <w:tr w:rsidR="006C011D" w:rsidRPr="005A284F" w14:paraId="775858C8" w14:textId="77777777" w:rsidTr="00F97F74">
        <w:trPr>
          <w:trHeight w:val="240"/>
        </w:trPr>
        <w:tc>
          <w:tcPr>
            <w:tcW w:w="1418" w:type="dxa"/>
            <w:tcBorders>
              <w:top w:val="single" w:sz="2" w:space="0" w:color="auto"/>
              <w:left w:val="single" w:sz="2" w:space="0" w:color="auto"/>
              <w:bottom w:val="single" w:sz="2" w:space="0" w:color="auto"/>
              <w:right w:val="single" w:sz="2" w:space="0" w:color="auto"/>
            </w:tcBorders>
            <w:vAlign w:val="center"/>
          </w:tcPr>
          <w:p w14:paraId="08A022A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华中地区</w:t>
            </w:r>
          </w:p>
        </w:tc>
        <w:tc>
          <w:tcPr>
            <w:tcW w:w="1559" w:type="dxa"/>
            <w:tcBorders>
              <w:top w:val="single" w:sz="2" w:space="0" w:color="auto"/>
              <w:left w:val="single" w:sz="2" w:space="0" w:color="auto"/>
              <w:bottom w:val="single" w:sz="2" w:space="0" w:color="auto"/>
              <w:right w:val="single" w:sz="2" w:space="0" w:color="auto"/>
            </w:tcBorders>
            <w:vAlign w:val="center"/>
          </w:tcPr>
          <w:p w14:paraId="025ED46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775,558,745.87</w:t>
            </w:r>
          </w:p>
        </w:tc>
        <w:tc>
          <w:tcPr>
            <w:tcW w:w="1559" w:type="dxa"/>
            <w:tcBorders>
              <w:top w:val="single" w:sz="2" w:space="0" w:color="auto"/>
              <w:left w:val="single" w:sz="2" w:space="0" w:color="auto"/>
              <w:bottom w:val="single" w:sz="2" w:space="0" w:color="auto"/>
              <w:right w:val="single" w:sz="2" w:space="0" w:color="auto"/>
            </w:tcBorders>
            <w:vAlign w:val="center"/>
          </w:tcPr>
          <w:p w14:paraId="0B07954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752,302,565.29</w:t>
            </w:r>
          </w:p>
        </w:tc>
        <w:tc>
          <w:tcPr>
            <w:tcW w:w="972" w:type="dxa"/>
            <w:tcBorders>
              <w:top w:val="single" w:sz="2" w:space="0" w:color="auto"/>
              <w:left w:val="single" w:sz="2" w:space="0" w:color="auto"/>
              <w:bottom w:val="single" w:sz="2" w:space="0" w:color="auto"/>
              <w:right w:val="single" w:sz="2" w:space="0" w:color="auto"/>
            </w:tcBorders>
            <w:vAlign w:val="center"/>
          </w:tcPr>
          <w:p w14:paraId="3CF6125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3.00%</w:t>
            </w:r>
          </w:p>
        </w:tc>
        <w:tc>
          <w:tcPr>
            <w:tcW w:w="1377" w:type="dxa"/>
            <w:tcBorders>
              <w:top w:val="single" w:sz="2" w:space="0" w:color="auto"/>
              <w:left w:val="single" w:sz="2" w:space="0" w:color="auto"/>
              <w:bottom w:val="single" w:sz="2" w:space="0" w:color="auto"/>
              <w:right w:val="single" w:sz="2" w:space="0" w:color="auto"/>
            </w:tcBorders>
            <w:vAlign w:val="center"/>
          </w:tcPr>
          <w:p w14:paraId="472B879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10.33%</w:t>
            </w:r>
          </w:p>
        </w:tc>
        <w:tc>
          <w:tcPr>
            <w:tcW w:w="1377" w:type="dxa"/>
            <w:tcBorders>
              <w:top w:val="single" w:sz="2" w:space="0" w:color="auto"/>
              <w:left w:val="single" w:sz="2" w:space="0" w:color="auto"/>
              <w:bottom w:val="single" w:sz="2" w:space="0" w:color="auto"/>
              <w:right w:val="single" w:sz="2" w:space="0" w:color="auto"/>
            </w:tcBorders>
            <w:vAlign w:val="center"/>
          </w:tcPr>
          <w:p w14:paraId="6BFE7D0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9.72%</w:t>
            </w:r>
          </w:p>
        </w:tc>
        <w:tc>
          <w:tcPr>
            <w:tcW w:w="1377" w:type="dxa"/>
            <w:tcBorders>
              <w:top w:val="single" w:sz="2" w:space="0" w:color="auto"/>
              <w:left w:val="single" w:sz="2" w:space="0" w:color="auto"/>
              <w:bottom w:val="single" w:sz="2" w:space="0" w:color="auto"/>
              <w:right w:val="single" w:sz="2" w:space="0" w:color="auto"/>
            </w:tcBorders>
            <w:vAlign w:val="center"/>
          </w:tcPr>
          <w:p w14:paraId="1D0F846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0.54%</w:t>
            </w:r>
          </w:p>
        </w:tc>
      </w:tr>
    </w:tbl>
    <w:p w14:paraId="1352F548"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公司主营业务数据统计口径在报告期发生调整的情况下，公司最近</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期按报告期末口径调整后的主营业务数据</w:t>
      </w:r>
    </w:p>
    <w:p w14:paraId="7098921C" w14:textId="77777777" w:rsidR="006C011D" w:rsidRPr="005A284F" w:rsidRDefault="00000000">
      <w:pPr>
        <w:spacing w:before="100" w:after="100" w:line="240" w:lineRule="exact"/>
        <w:rPr>
          <w:rFonts w:ascii="Times New Roman" w:eastAsia="宋体" w:hAnsi="Times New Roman" w:cs="Times New Roman"/>
          <w:sz w:val="18"/>
          <w:szCs w:val="18"/>
        </w:rPr>
      </w:pPr>
      <w:r w:rsidRPr="00182BE9">
        <w:rPr>
          <w:rFonts w:ascii="宋体" w:eastAsia="宋体" w:hAnsi="宋体" w:cs="Times New Roman"/>
          <w:sz w:val="18"/>
          <w:szCs w:val="18"/>
        </w:rPr>
        <w:t>□适用</w:t>
      </w:r>
      <w:r w:rsidRPr="005A284F">
        <w:rPr>
          <w:rFonts w:ascii="Times New Roman" w:eastAsia="宋体" w:hAnsi="Times New Roman" w:cs="Times New Roman"/>
          <w:sz w:val="18"/>
          <w:szCs w:val="18"/>
        </w:rPr>
        <w:t xml:space="preserve"> </w:t>
      </w:r>
      <w:r w:rsidRPr="005A284F">
        <w:rPr>
          <w:rFonts w:ascii="Times New Roman" w:eastAsia="宋体" w:hAnsi="Times New Roman" w:cs="Times New Roman"/>
          <w:sz w:val="18"/>
          <w:szCs w:val="18"/>
        </w:rPr>
        <w:sym w:font="Wingdings 2" w:char="F052"/>
      </w:r>
      <w:r w:rsidRPr="005A284F">
        <w:rPr>
          <w:rFonts w:ascii="Times New Roman" w:eastAsia="宋体" w:hAnsi="Times New Roman" w:cs="Times New Roman"/>
          <w:sz w:val="18"/>
          <w:szCs w:val="18"/>
        </w:rPr>
        <w:t>不适用</w:t>
      </w:r>
    </w:p>
    <w:p w14:paraId="282A3CE7" w14:textId="77777777" w:rsidR="006C011D"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公司需遵守《深圳证券交易所上市公司自律监管指引第</w:t>
      </w: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号</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行业信息披露》中的</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食品及酒制造相关业务</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的披露要求</w:t>
      </w:r>
    </w:p>
    <w:tbl>
      <w:tblPr>
        <w:tblStyle w:val="ac"/>
        <w:tblW w:w="0" w:type="auto"/>
        <w:tblLook w:val="04A0" w:firstRow="1" w:lastRow="0" w:firstColumn="1" w:lastColumn="0" w:noHBand="0" w:noVBand="1"/>
      </w:tblPr>
      <w:tblGrid>
        <w:gridCol w:w="1604"/>
        <w:gridCol w:w="1604"/>
        <w:gridCol w:w="1604"/>
        <w:gridCol w:w="1605"/>
        <w:gridCol w:w="1605"/>
        <w:gridCol w:w="1605"/>
      </w:tblGrid>
      <w:tr w:rsidR="00066462" w14:paraId="0487FF2D" w14:textId="77777777" w:rsidTr="00182BE9">
        <w:trPr>
          <w:trHeight w:val="20"/>
        </w:trPr>
        <w:tc>
          <w:tcPr>
            <w:tcW w:w="1604" w:type="dxa"/>
            <w:tcBorders>
              <w:top w:val="single" w:sz="4" w:space="0" w:color="000000"/>
              <w:left w:val="single" w:sz="4" w:space="0" w:color="000000"/>
              <w:bottom w:val="single" w:sz="4" w:space="0" w:color="000000"/>
              <w:right w:val="single" w:sz="4" w:space="0" w:color="000000"/>
            </w:tcBorders>
            <w:vAlign w:val="center"/>
          </w:tcPr>
          <w:p w14:paraId="75542125" w14:textId="745A3694"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项目</w:t>
            </w:r>
          </w:p>
        </w:tc>
        <w:tc>
          <w:tcPr>
            <w:tcW w:w="1604" w:type="dxa"/>
            <w:tcBorders>
              <w:top w:val="single" w:sz="4" w:space="0" w:color="000000"/>
              <w:left w:val="single" w:sz="4" w:space="0" w:color="000000"/>
              <w:bottom w:val="single" w:sz="4" w:space="0" w:color="000000"/>
              <w:right w:val="single" w:sz="4" w:space="0" w:color="000000"/>
            </w:tcBorders>
            <w:vAlign w:val="center"/>
          </w:tcPr>
          <w:p w14:paraId="37888233" w14:textId="43ECD02A"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本期发生额</w:t>
            </w:r>
          </w:p>
        </w:tc>
        <w:tc>
          <w:tcPr>
            <w:tcW w:w="1604" w:type="dxa"/>
            <w:tcBorders>
              <w:top w:val="single" w:sz="4" w:space="0" w:color="000000"/>
              <w:left w:val="single" w:sz="4" w:space="0" w:color="000000"/>
              <w:bottom w:val="single" w:sz="4" w:space="0" w:color="000000"/>
              <w:right w:val="single" w:sz="4" w:space="0" w:color="000000"/>
            </w:tcBorders>
            <w:vAlign w:val="center"/>
          </w:tcPr>
          <w:p w14:paraId="0AF7BED0" w14:textId="6EFAB399"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占销售费用比重</w:t>
            </w:r>
          </w:p>
        </w:tc>
        <w:tc>
          <w:tcPr>
            <w:tcW w:w="1605" w:type="dxa"/>
            <w:tcBorders>
              <w:top w:val="single" w:sz="4" w:space="0" w:color="000000"/>
              <w:left w:val="single" w:sz="4" w:space="0" w:color="000000"/>
              <w:bottom w:val="single" w:sz="4" w:space="0" w:color="000000"/>
              <w:right w:val="single" w:sz="4" w:space="0" w:color="000000"/>
            </w:tcBorders>
            <w:vAlign w:val="center"/>
          </w:tcPr>
          <w:p w14:paraId="5D5FF4B2" w14:textId="22C8D458"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上期发生额</w:t>
            </w:r>
          </w:p>
        </w:tc>
        <w:tc>
          <w:tcPr>
            <w:tcW w:w="1605" w:type="dxa"/>
            <w:tcBorders>
              <w:top w:val="single" w:sz="4" w:space="0" w:color="000000"/>
              <w:left w:val="single" w:sz="4" w:space="0" w:color="000000"/>
              <w:bottom w:val="single" w:sz="4" w:space="0" w:color="000000"/>
              <w:right w:val="single" w:sz="4" w:space="0" w:color="000000"/>
            </w:tcBorders>
            <w:vAlign w:val="center"/>
          </w:tcPr>
          <w:p w14:paraId="453B4747" w14:textId="0D86ECD8"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占销售费用比重</w:t>
            </w:r>
          </w:p>
        </w:tc>
        <w:tc>
          <w:tcPr>
            <w:tcW w:w="1605" w:type="dxa"/>
            <w:tcBorders>
              <w:top w:val="single" w:sz="4" w:space="0" w:color="000000"/>
              <w:left w:val="single" w:sz="4" w:space="0" w:color="000000"/>
              <w:bottom w:val="single" w:sz="4" w:space="0" w:color="000000"/>
              <w:right w:val="single" w:sz="4" w:space="0" w:color="000000"/>
            </w:tcBorders>
            <w:vAlign w:val="center"/>
          </w:tcPr>
          <w:p w14:paraId="0E2A36E1" w14:textId="0C38C8C7"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同比增减</w:t>
            </w:r>
          </w:p>
        </w:tc>
      </w:tr>
      <w:tr w:rsidR="00066462" w14:paraId="5ADD470E" w14:textId="77777777" w:rsidTr="00182BE9">
        <w:trPr>
          <w:trHeight w:val="331"/>
        </w:trPr>
        <w:tc>
          <w:tcPr>
            <w:tcW w:w="1604" w:type="dxa"/>
            <w:tcBorders>
              <w:top w:val="single" w:sz="4" w:space="0" w:color="000000"/>
              <w:left w:val="single" w:sz="4" w:space="0" w:color="000000"/>
              <w:bottom w:val="single" w:sz="4" w:space="0" w:color="000000"/>
              <w:right w:val="single" w:sz="4" w:space="0" w:color="000000"/>
            </w:tcBorders>
            <w:vAlign w:val="center"/>
          </w:tcPr>
          <w:p w14:paraId="705525FB" w14:textId="797B3782"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工资</w:t>
            </w:r>
          </w:p>
        </w:tc>
        <w:tc>
          <w:tcPr>
            <w:tcW w:w="1604" w:type="dxa"/>
            <w:tcBorders>
              <w:top w:val="single" w:sz="4" w:space="0" w:color="000000"/>
              <w:left w:val="single" w:sz="4" w:space="0" w:color="000000"/>
              <w:bottom w:val="single" w:sz="4" w:space="0" w:color="000000"/>
              <w:right w:val="single" w:sz="4" w:space="0" w:color="000000"/>
            </w:tcBorders>
            <w:vAlign w:val="center"/>
          </w:tcPr>
          <w:p w14:paraId="0D9EF6B6" w14:textId="070D5F6E" w:rsidR="00066462" w:rsidRDefault="00066462" w:rsidP="00182BE9">
            <w:pPr>
              <w:spacing w:before="100" w:after="100" w:line="240" w:lineRule="exact"/>
              <w:jc w:val="right"/>
              <w:rPr>
                <w:rFonts w:ascii="Times New Roman" w:eastAsia="宋体" w:hAnsi="Times New Roman" w:cs="Times New Roman"/>
                <w:sz w:val="18"/>
                <w:szCs w:val="18"/>
              </w:rPr>
            </w:pPr>
            <w:r w:rsidRPr="00F97F74">
              <w:rPr>
                <w:rFonts w:ascii="Times New Roman" w:eastAsia="宋体" w:hAnsi="Times New Roman" w:cs="Times New Roman"/>
                <w:sz w:val="18"/>
                <w:szCs w:val="18"/>
              </w:rPr>
              <w:t>30,715,915.73</w:t>
            </w:r>
          </w:p>
        </w:tc>
        <w:tc>
          <w:tcPr>
            <w:tcW w:w="1604" w:type="dxa"/>
            <w:tcBorders>
              <w:top w:val="single" w:sz="4" w:space="0" w:color="000000"/>
              <w:left w:val="single" w:sz="4" w:space="0" w:color="000000"/>
              <w:bottom w:val="single" w:sz="4" w:space="0" w:color="000000"/>
              <w:right w:val="single" w:sz="4" w:space="0" w:color="000000"/>
            </w:tcBorders>
            <w:vAlign w:val="center"/>
          </w:tcPr>
          <w:p w14:paraId="266B6695" w14:textId="2712B356"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61.78%</w:t>
            </w:r>
          </w:p>
        </w:tc>
        <w:tc>
          <w:tcPr>
            <w:tcW w:w="1605" w:type="dxa"/>
            <w:tcBorders>
              <w:top w:val="single" w:sz="4" w:space="0" w:color="000000"/>
              <w:left w:val="single" w:sz="4" w:space="0" w:color="000000"/>
              <w:bottom w:val="single" w:sz="4" w:space="0" w:color="000000"/>
              <w:right w:val="single" w:sz="4" w:space="0" w:color="000000"/>
            </w:tcBorders>
            <w:vAlign w:val="center"/>
          </w:tcPr>
          <w:p w14:paraId="014B1A08" w14:textId="1376C2CF" w:rsidR="00066462" w:rsidRDefault="00066462" w:rsidP="00182BE9">
            <w:pPr>
              <w:spacing w:before="100" w:after="100" w:line="240" w:lineRule="exact"/>
              <w:jc w:val="right"/>
              <w:rPr>
                <w:rFonts w:ascii="Times New Roman" w:eastAsia="宋体" w:hAnsi="Times New Roman" w:cs="Times New Roman"/>
                <w:sz w:val="18"/>
                <w:szCs w:val="18"/>
              </w:rPr>
            </w:pPr>
            <w:r w:rsidRPr="00F97F74">
              <w:rPr>
                <w:rFonts w:ascii="Times New Roman" w:eastAsia="宋体" w:hAnsi="Times New Roman" w:cs="Times New Roman"/>
                <w:sz w:val="18"/>
                <w:szCs w:val="18"/>
              </w:rPr>
              <w:t>33,637,888.58</w:t>
            </w:r>
          </w:p>
        </w:tc>
        <w:tc>
          <w:tcPr>
            <w:tcW w:w="1605" w:type="dxa"/>
            <w:tcBorders>
              <w:top w:val="single" w:sz="4" w:space="0" w:color="000000"/>
              <w:left w:val="single" w:sz="4" w:space="0" w:color="000000"/>
              <w:bottom w:val="single" w:sz="4" w:space="0" w:color="000000"/>
              <w:right w:val="single" w:sz="4" w:space="0" w:color="000000"/>
            </w:tcBorders>
            <w:vAlign w:val="center"/>
          </w:tcPr>
          <w:p w14:paraId="3932455A" w14:textId="4E1C4D80"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58.72%</w:t>
            </w:r>
          </w:p>
        </w:tc>
        <w:tc>
          <w:tcPr>
            <w:tcW w:w="1605" w:type="dxa"/>
            <w:tcBorders>
              <w:top w:val="single" w:sz="4" w:space="0" w:color="000000"/>
              <w:left w:val="single" w:sz="4" w:space="0" w:color="000000"/>
              <w:bottom w:val="single" w:sz="4" w:space="0" w:color="000000"/>
              <w:right w:val="single" w:sz="4" w:space="0" w:color="000000"/>
            </w:tcBorders>
            <w:vAlign w:val="center"/>
          </w:tcPr>
          <w:p w14:paraId="589B5A1F" w14:textId="2ED5FA39"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-8.69%</w:t>
            </w:r>
          </w:p>
        </w:tc>
      </w:tr>
      <w:tr w:rsidR="00066462" w14:paraId="3D6ED3BF" w14:textId="77777777" w:rsidTr="00182BE9">
        <w:trPr>
          <w:trHeight w:val="20"/>
        </w:trPr>
        <w:tc>
          <w:tcPr>
            <w:tcW w:w="1604" w:type="dxa"/>
            <w:tcBorders>
              <w:top w:val="single" w:sz="4" w:space="0" w:color="000000"/>
              <w:left w:val="single" w:sz="4" w:space="0" w:color="000000"/>
              <w:bottom w:val="single" w:sz="4" w:space="0" w:color="000000"/>
              <w:right w:val="single" w:sz="4" w:space="0" w:color="000000"/>
            </w:tcBorders>
            <w:vAlign w:val="center"/>
          </w:tcPr>
          <w:p w14:paraId="75FBBE39" w14:textId="61ED2490"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广告费</w:t>
            </w:r>
          </w:p>
        </w:tc>
        <w:tc>
          <w:tcPr>
            <w:tcW w:w="1604" w:type="dxa"/>
            <w:tcBorders>
              <w:top w:val="single" w:sz="4" w:space="0" w:color="000000"/>
              <w:left w:val="single" w:sz="4" w:space="0" w:color="000000"/>
              <w:bottom w:val="single" w:sz="4" w:space="0" w:color="000000"/>
              <w:right w:val="single" w:sz="4" w:space="0" w:color="000000"/>
            </w:tcBorders>
            <w:vAlign w:val="center"/>
          </w:tcPr>
          <w:p w14:paraId="55BD7E40" w14:textId="61A08991" w:rsidR="00066462" w:rsidRDefault="00066462" w:rsidP="00182BE9">
            <w:pPr>
              <w:spacing w:before="100" w:after="100" w:line="240" w:lineRule="exact"/>
              <w:jc w:val="right"/>
              <w:rPr>
                <w:rFonts w:ascii="Times New Roman" w:eastAsia="宋体" w:hAnsi="Times New Roman" w:cs="Times New Roman"/>
                <w:sz w:val="18"/>
                <w:szCs w:val="18"/>
              </w:rPr>
            </w:pPr>
            <w:r w:rsidRPr="00F97F74">
              <w:rPr>
                <w:rFonts w:ascii="Times New Roman" w:eastAsia="宋体" w:hAnsi="Times New Roman" w:cs="Times New Roman"/>
                <w:sz w:val="18"/>
                <w:szCs w:val="18"/>
              </w:rPr>
              <w:t>46,480.77</w:t>
            </w:r>
          </w:p>
        </w:tc>
        <w:tc>
          <w:tcPr>
            <w:tcW w:w="1604" w:type="dxa"/>
            <w:tcBorders>
              <w:top w:val="single" w:sz="4" w:space="0" w:color="000000"/>
              <w:left w:val="single" w:sz="4" w:space="0" w:color="000000"/>
              <w:bottom w:val="single" w:sz="4" w:space="0" w:color="000000"/>
              <w:right w:val="single" w:sz="4" w:space="0" w:color="000000"/>
            </w:tcBorders>
            <w:vAlign w:val="center"/>
          </w:tcPr>
          <w:p w14:paraId="61A14CAB" w14:textId="66CA7709"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0.09%</w:t>
            </w:r>
          </w:p>
        </w:tc>
        <w:tc>
          <w:tcPr>
            <w:tcW w:w="1605" w:type="dxa"/>
            <w:tcBorders>
              <w:top w:val="single" w:sz="4" w:space="0" w:color="000000"/>
              <w:left w:val="single" w:sz="4" w:space="0" w:color="000000"/>
              <w:bottom w:val="single" w:sz="4" w:space="0" w:color="000000"/>
              <w:right w:val="single" w:sz="4" w:space="0" w:color="000000"/>
            </w:tcBorders>
            <w:vAlign w:val="center"/>
          </w:tcPr>
          <w:p w14:paraId="040719C9" w14:textId="00457BAD" w:rsidR="00066462" w:rsidRDefault="00066462" w:rsidP="00182BE9">
            <w:pPr>
              <w:spacing w:before="100" w:after="100" w:line="240" w:lineRule="exact"/>
              <w:jc w:val="right"/>
              <w:rPr>
                <w:rFonts w:ascii="Times New Roman" w:eastAsia="宋体" w:hAnsi="Times New Roman" w:cs="Times New Roman"/>
                <w:sz w:val="18"/>
                <w:szCs w:val="18"/>
              </w:rPr>
            </w:pPr>
            <w:r w:rsidRPr="00F97F74">
              <w:rPr>
                <w:rFonts w:ascii="Times New Roman" w:eastAsia="宋体" w:hAnsi="Times New Roman" w:cs="Times New Roman"/>
                <w:sz w:val="18"/>
                <w:szCs w:val="18"/>
              </w:rPr>
              <w:t>9,296.12</w:t>
            </w:r>
          </w:p>
        </w:tc>
        <w:tc>
          <w:tcPr>
            <w:tcW w:w="1605" w:type="dxa"/>
            <w:tcBorders>
              <w:top w:val="single" w:sz="4" w:space="0" w:color="000000"/>
              <w:left w:val="single" w:sz="4" w:space="0" w:color="000000"/>
              <w:bottom w:val="single" w:sz="4" w:space="0" w:color="000000"/>
              <w:right w:val="single" w:sz="4" w:space="0" w:color="000000"/>
            </w:tcBorders>
            <w:vAlign w:val="center"/>
          </w:tcPr>
          <w:p w14:paraId="1F74E972" w14:textId="04A64271"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0.02%</w:t>
            </w:r>
          </w:p>
        </w:tc>
        <w:tc>
          <w:tcPr>
            <w:tcW w:w="1605" w:type="dxa"/>
            <w:tcBorders>
              <w:top w:val="single" w:sz="4" w:space="0" w:color="000000"/>
              <w:left w:val="single" w:sz="4" w:space="0" w:color="000000"/>
              <w:bottom w:val="single" w:sz="4" w:space="0" w:color="000000"/>
              <w:right w:val="single" w:sz="4" w:space="0" w:color="000000"/>
            </w:tcBorders>
            <w:vAlign w:val="center"/>
          </w:tcPr>
          <w:p w14:paraId="632C8172" w14:textId="794F8B11"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400.00%</w:t>
            </w:r>
          </w:p>
        </w:tc>
      </w:tr>
      <w:tr w:rsidR="00066462" w14:paraId="70AE8A0C" w14:textId="77777777" w:rsidTr="00182BE9">
        <w:trPr>
          <w:trHeight w:val="20"/>
        </w:trPr>
        <w:tc>
          <w:tcPr>
            <w:tcW w:w="1604" w:type="dxa"/>
            <w:tcBorders>
              <w:top w:val="single" w:sz="4" w:space="0" w:color="000000"/>
              <w:left w:val="single" w:sz="4" w:space="0" w:color="000000"/>
              <w:bottom w:val="single" w:sz="4" w:space="0" w:color="000000"/>
              <w:right w:val="single" w:sz="4" w:space="0" w:color="000000"/>
            </w:tcBorders>
            <w:vAlign w:val="center"/>
          </w:tcPr>
          <w:p w14:paraId="5FBE1E5A" w14:textId="7B970537"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差旅费</w:t>
            </w:r>
          </w:p>
        </w:tc>
        <w:tc>
          <w:tcPr>
            <w:tcW w:w="1604" w:type="dxa"/>
            <w:tcBorders>
              <w:top w:val="single" w:sz="4" w:space="0" w:color="000000"/>
              <w:left w:val="single" w:sz="4" w:space="0" w:color="000000"/>
              <w:bottom w:val="single" w:sz="4" w:space="0" w:color="000000"/>
              <w:right w:val="single" w:sz="4" w:space="0" w:color="000000"/>
            </w:tcBorders>
            <w:vAlign w:val="center"/>
          </w:tcPr>
          <w:p w14:paraId="1B9F45FA" w14:textId="6BB01A92" w:rsidR="00066462" w:rsidRDefault="00066462" w:rsidP="00182BE9">
            <w:pPr>
              <w:spacing w:before="100" w:after="100" w:line="240" w:lineRule="exact"/>
              <w:jc w:val="right"/>
              <w:rPr>
                <w:rFonts w:ascii="Times New Roman" w:eastAsia="宋体" w:hAnsi="Times New Roman" w:cs="Times New Roman"/>
                <w:sz w:val="18"/>
                <w:szCs w:val="18"/>
              </w:rPr>
            </w:pPr>
            <w:r w:rsidRPr="00F97F74">
              <w:rPr>
                <w:rFonts w:ascii="Times New Roman" w:eastAsia="宋体" w:hAnsi="Times New Roman" w:cs="Times New Roman"/>
                <w:sz w:val="18"/>
                <w:szCs w:val="18"/>
              </w:rPr>
              <w:t>1,152,161.54</w:t>
            </w:r>
          </w:p>
        </w:tc>
        <w:tc>
          <w:tcPr>
            <w:tcW w:w="1604" w:type="dxa"/>
            <w:tcBorders>
              <w:top w:val="single" w:sz="4" w:space="0" w:color="000000"/>
              <w:left w:val="single" w:sz="4" w:space="0" w:color="000000"/>
              <w:bottom w:val="single" w:sz="4" w:space="0" w:color="000000"/>
              <w:right w:val="single" w:sz="4" w:space="0" w:color="000000"/>
            </w:tcBorders>
            <w:vAlign w:val="center"/>
          </w:tcPr>
          <w:p w14:paraId="484C5525" w14:textId="5DF83C29"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2.32%</w:t>
            </w:r>
          </w:p>
        </w:tc>
        <w:tc>
          <w:tcPr>
            <w:tcW w:w="1605" w:type="dxa"/>
            <w:tcBorders>
              <w:top w:val="single" w:sz="4" w:space="0" w:color="000000"/>
              <w:left w:val="single" w:sz="4" w:space="0" w:color="000000"/>
              <w:bottom w:val="single" w:sz="4" w:space="0" w:color="000000"/>
              <w:right w:val="single" w:sz="4" w:space="0" w:color="000000"/>
            </w:tcBorders>
            <w:vAlign w:val="center"/>
          </w:tcPr>
          <w:p w14:paraId="336B57AA" w14:textId="1728EB1B" w:rsidR="00066462" w:rsidRDefault="00066462" w:rsidP="00182BE9">
            <w:pPr>
              <w:spacing w:before="100" w:after="100" w:line="240" w:lineRule="exact"/>
              <w:jc w:val="right"/>
              <w:rPr>
                <w:rFonts w:ascii="Times New Roman" w:eastAsia="宋体" w:hAnsi="Times New Roman" w:cs="Times New Roman"/>
                <w:sz w:val="18"/>
                <w:szCs w:val="18"/>
              </w:rPr>
            </w:pPr>
            <w:r w:rsidRPr="00F97F74">
              <w:rPr>
                <w:rFonts w:ascii="Times New Roman" w:eastAsia="宋体" w:hAnsi="Times New Roman" w:cs="Times New Roman"/>
                <w:sz w:val="18"/>
                <w:szCs w:val="18"/>
              </w:rPr>
              <w:t>1,302,573.96</w:t>
            </w:r>
          </w:p>
        </w:tc>
        <w:tc>
          <w:tcPr>
            <w:tcW w:w="1605" w:type="dxa"/>
            <w:tcBorders>
              <w:top w:val="single" w:sz="4" w:space="0" w:color="000000"/>
              <w:left w:val="single" w:sz="4" w:space="0" w:color="000000"/>
              <w:bottom w:val="single" w:sz="4" w:space="0" w:color="000000"/>
              <w:right w:val="single" w:sz="4" w:space="0" w:color="000000"/>
            </w:tcBorders>
            <w:vAlign w:val="center"/>
          </w:tcPr>
          <w:p w14:paraId="380EEBD3" w14:textId="17D0281A"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2.27%</w:t>
            </w:r>
          </w:p>
        </w:tc>
        <w:tc>
          <w:tcPr>
            <w:tcW w:w="1605" w:type="dxa"/>
            <w:tcBorders>
              <w:top w:val="single" w:sz="4" w:space="0" w:color="000000"/>
              <w:left w:val="single" w:sz="4" w:space="0" w:color="000000"/>
              <w:bottom w:val="single" w:sz="4" w:space="0" w:color="000000"/>
              <w:right w:val="single" w:sz="4" w:space="0" w:color="000000"/>
            </w:tcBorders>
            <w:vAlign w:val="center"/>
          </w:tcPr>
          <w:p w14:paraId="2F79DA0A" w14:textId="279F3740"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-11.55%</w:t>
            </w:r>
          </w:p>
        </w:tc>
      </w:tr>
      <w:tr w:rsidR="00066462" w14:paraId="4FA93A11" w14:textId="77777777" w:rsidTr="00182BE9">
        <w:trPr>
          <w:trHeight w:val="20"/>
        </w:trPr>
        <w:tc>
          <w:tcPr>
            <w:tcW w:w="1604" w:type="dxa"/>
            <w:tcBorders>
              <w:top w:val="single" w:sz="4" w:space="0" w:color="000000"/>
              <w:left w:val="single" w:sz="4" w:space="0" w:color="000000"/>
              <w:bottom w:val="single" w:sz="4" w:space="0" w:color="000000"/>
              <w:right w:val="single" w:sz="4" w:space="0" w:color="000000"/>
            </w:tcBorders>
            <w:vAlign w:val="center"/>
          </w:tcPr>
          <w:p w14:paraId="72F2D515" w14:textId="221768DF"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折旧费</w:t>
            </w:r>
          </w:p>
        </w:tc>
        <w:tc>
          <w:tcPr>
            <w:tcW w:w="1604" w:type="dxa"/>
            <w:tcBorders>
              <w:top w:val="single" w:sz="4" w:space="0" w:color="000000"/>
              <w:left w:val="single" w:sz="4" w:space="0" w:color="000000"/>
              <w:bottom w:val="single" w:sz="4" w:space="0" w:color="000000"/>
              <w:right w:val="single" w:sz="4" w:space="0" w:color="000000"/>
            </w:tcBorders>
            <w:vAlign w:val="center"/>
          </w:tcPr>
          <w:p w14:paraId="68E58807" w14:textId="771EE596" w:rsidR="00066462" w:rsidRDefault="00066462" w:rsidP="00182BE9">
            <w:pPr>
              <w:spacing w:before="100" w:after="100" w:line="240" w:lineRule="exact"/>
              <w:jc w:val="right"/>
              <w:rPr>
                <w:rFonts w:ascii="Times New Roman" w:eastAsia="宋体" w:hAnsi="Times New Roman" w:cs="Times New Roman"/>
                <w:sz w:val="18"/>
                <w:szCs w:val="18"/>
              </w:rPr>
            </w:pPr>
            <w:r w:rsidRPr="00F97F74">
              <w:rPr>
                <w:rFonts w:ascii="Times New Roman" w:eastAsia="宋体" w:hAnsi="Times New Roman" w:cs="Times New Roman"/>
                <w:sz w:val="18"/>
                <w:szCs w:val="18"/>
              </w:rPr>
              <w:t>223,960.29</w:t>
            </w:r>
          </w:p>
        </w:tc>
        <w:tc>
          <w:tcPr>
            <w:tcW w:w="1604" w:type="dxa"/>
            <w:tcBorders>
              <w:top w:val="single" w:sz="4" w:space="0" w:color="000000"/>
              <w:left w:val="single" w:sz="4" w:space="0" w:color="000000"/>
              <w:bottom w:val="single" w:sz="4" w:space="0" w:color="000000"/>
              <w:right w:val="single" w:sz="4" w:space="0" w:color="000000"/>
            </w:tcBorders>
            <w:vAlign w:val="center"/>
          </w:tcPr>
          <w:p w14:paraId="48A0690E" w14:textId="775A9CA2"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0.45%</w:t>
            </w:r>
          </w:p>
        </w:tc>
        <w:tc>
          <w:tcPr>
            <w:tcW w:w="1605" w:type="dxa"/>
            <w:tcBorders>
              <w:top w:val="single" w:sz="4" w:space="0" w:color="000000"/>
              <w:left w:val="single" w:sz="4" w:space="0" w:color="000000"/>
              <w:bottom w:val="single" w:sz="4" w:space="0" w:color="000000"/>
              <w:right w:val="single" w:sz="4" w:space="0" w:color="000000"/>
            </w:tcBorders>
            <w:vAlign w:val="center"/>
          </w:tcPr>
          <w:p w14:paraId="4CEB293C" w14:textId="6A37D77A" w:rsidR="00066462" w:rsidRDefault="00066462" w:rsidP="00182BE9">
            <w:pPr>
              <w:spacing w:before="100" w:after="100" w:line="240" w:lineRule="exact"/>
              <w:jc w:val="right"/>
              <w:rPr>
                <w:rFonts w:ascii="Times New Roman" w:eastAsia="宋体" w:hAnsi="Times New Roman" w:cs="Times New Roman"/>
                <w:sz w:val="18"/>
                <w:szCs w:val="18"/>
              </w:rPr>
            </w:pPr>
            <w:r w:rsidRPr="00F97F74">
              <w:rPr>
                <w:rFonts w:ascii="Times New Roman" w:eastAsia="宋体" w:hAnsi="Times New Roman" w:cs="Times New Roman"/>
                <w:sz w:val="18"/>
                <w:szCs w:val="18"/>
              </w:rPr>
              <w:t>266,764.80</w:t>
            </w:r>
          </w:p>
        </w:tc>
        <w:tc>
          <w:tcPr>
            <w:tcW w:w="1605" w:type="dxa"/>
            <w:tcBorders>
              <w:top w:val="single" w:sz="4" w:space="0" w:color="000000"/>
              <w:left w:val="single" w:sz="4" w:space="0" w:color="000000"/>
              <w:bottom w:val="single" w:sz="4" w:space="0" w:color="000000"/>
              <w:right w:val="single" w:sz="4" w:space="0" w:color="000000"/>
            </w:tcBorders>
            <w:vAlign w:val="center"/>
          </w:tcPr>
          <w:p w14:paraId="7499B2E4" w14:textId="7B52616C"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0.47%</w:t>
            </w:r>
          </w:p>
        </w:tc>
        <w:tc>
          <w:tcPr>
            <w:tcW w:w="1605" w:type="dxa"/>
            <w:tcBorders>
              <w:top w:val="single" w:sz="4" w:space="0" w:color="000000"/>
              <w:left w:val="single" w:sz="4" w:space="0" w:color="000000"/>
              <w:bottom w:val="single" w:sz="4" w:space="0" w:color="000000"/>
              <w:right w:val="single" w:sz="4" w:space="0" w:color="000000"/>
            </w:tcBorders>
            <w:vAlign w:val="center"/>
          </w:tcPr>
          <w:p w14:paraId="4770DBB3" w14:textId="227060FA"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-16.05%</w:t>
            </w:r>
          </w:p>
        </w:tc>
      </w:tr>
      <w:tr w:rsidR="00066462" w14:paraId="0FD36277" w14:textId="77777777" w:rsidTr="00182BE9">
        <w:trPr>
          <w:trHeight w:val="20"/>
        </w:trPr>
        <w:tc>
          <w:tcPr>
            <w:tcW w:w="1604" w:type="dxa"/>
            <w:tcBorders>
              <w:top w:val="single" w:sz="4" w:space="0" w:color="000000"/>
              <w:left w:val="single" w:sz="4" w:space="0" w:color="000000"/>
              <w:bottom w:val="single" w:sz="4" w:space="0" w:color="000000"/>
              <w:right w:val="single" w:sz="4" w:space="0" w:color="000000"/>
            </w:tcBorders>
            <w:vAlign w:val="center"/>
          </w:tcPr>
          <w:p w14:paraId="2A25886D" w14:textId="4C450A4C"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租赁费</w:t>
            </w:r>
          </w:p>
        </w:tc>
        <w:tc>
          <w:tcPr>
            <w:tcW w:w="1604" w:type="dxa"/>
            <w:tcBorders>
              <w:top w:val="single" w:sz="4" w:space="0" w:color="000000"/>
              <w:left w:val="single" w:sz="4" w:space="0" w:color="000000"/>
              <w:bottom w:val="single" w:sz="4" w:space="0" w:color="000000"/>
              <w:right w:val="single" w:sz="4" w:space="0" w:color="000000"/>
            </w:tcBorders>
            <w:vAlign w:val="center"/>
          </w:tcPr>
          <w:p w14:paraId="7CEF86CD" w14:textId="0FA8D749" w:rsidR="00066462" w:rsidRDefault="00066462" w:rsidP="00182BE9">
            <w:pPr>
              <w:spacing w:before="100" w:after="100" w:line="240" w:lineRule="exact"/>
              <w:jc w:val="right"/>
              <w:rPr>
                <w:rFonts w:ascii="Times New Roman" w:eastAsia="宋体" w:hAnsi="Times New Roman" w:cs="Times New Roman"/>
                <w:sz w:val="18"/>
                <w:szCs w:val="18"/>
              </w:rPr>
            </w:pPr>
            <w:r w:rsidRPr="00F97F74">
              <w:rPr>
                <w:rFonts w:ascii="Times New Roman" w:eastAsia="宋体" w:hAnsi="Times New Roman" w:cs="Times New Roman"/>
                <w:sz w:val="18"/>
                <w:szCs w:val="18"/>
              </w:rPr>
              <w:t>1,130,644.49</w:t>
            </w:r>
          </w:p>
        </w:tc>
        <w:tc>
          <w:tcPr>
            <w:tcW w:w="1604" w:type="dxa"/>
            <w:tcBorders>
              <w:top w:val="single" w:sz="4" w:space="0" w:color="000000"/>
              <w:left w:val="single" w:sz="4" w:space="0" w:color="000000"/>
              <w:bottom w:val="single" w:sz="4" w:space="0" w:color="000000"/>
              <w:right w:val="single" w:sz="4" w:space="0" w:color="000000"/>
            </w:tcBorders>
            <w:vAlign w:val="center"/>
          </w:tcPr>
          <w:p w14:paraId="0C135213" w14:textId="5B57BE8B"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2.28%</w:t>
            </w:r>
          </w:p>
        </w:tc>
        <w:tc>
          <w:tcPr>
            <w:tcW w:w="1605" w:type="dxa"/>
            <w:tcBorders>
              <w:top w:val="single" w:sz="4" w:space="0" w:color="000000"/>
              <w:left w:val="single" w:sz="4" w:space="0" w:color="000000"/>
              <w:bottom w:val="single" w:sz="4" w:space="0" w:color="000000"/>
              <w:right w:val="single" w:sz="4" w:space="0" w:color="000000"/>
            </w:tcBorders>
            <w:vAlign w:val="center"/>
          </w:tcPr>
          <w:p w14:paraId="5C405015" w14:textId="5035CF15" w:rsidR="00066462" w:rsidRDefault="00066462" w:rsidP="00182BE9">
            <w:pPr>
              <w:spacing w:before="100" w:after="100" w:line="240" w:lineRule="exact"/>
              <w:jc w:val="right"/>
              <w:rPr>
                <w:rFonts w:ascii="Times New Roman" w:eastAsia="宋体" w:hAnsi="Times New Roman" w:cs="Times New Roman"/>
                <w:sz w:val="18"/>
                <w:szCs w:val="18"/>
              </w:rPr>
            </w:pPr>
            <w:r w:rsidRPr="00F97F74">
              <w:rPr>
                <w:rFonts w:ascii="Times New Roman" w:eastAsia="宋体" w:hAnsi="Times New Roman" w:cs="Times New Roman"/>
                <w:sz w:val="18"/>
                <w:szCs w:val="18"/>
              </w:rPr>
              <w:t>1,066,905.14</w:t>
            </w:r>
          </w:p>
        </w:tc>
        <w:tc>
          <w:tcPr>
            <w:tcW w:w="1605" w:type="dxa"/>
            <w:tcBorders>
              <w:top w:val="single" w:sz="4" w:space="0" w:color="000000"/>
              <w:left w:val="single" w:sz="4" w:space="0" w:color="000000"/>
              <w:bottom w:val="single" w:sz="4" w:space="0" w:color="000000"/>
              <w:right w:val="single" w:sz="4" w:space="0" w:color="000000"/>
            </w:tcBorders>
            <w:vAlign w:val="center"/>
          </w:tcPr>
          <w:p w14:paraId="2A4D23C6" w14:textId="3B564ABF"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1.86%</w:t>
            </w:r>
          </w:p>
        </w:tc>
        <w:tc>
          <w:tcPr>
            <w:tcW w:w="1605" w:type="dxa"/>
            <w:tcBorders>
              <w:top w:val="single" w:sz="4" w:space="0" w:color="000000"/>
              <w:left w:val="single" w:sz="4" w:space="0" w:color="000000"/>
              <w:bottom w:val="single" w:sz="4" w:space="0" w:color="000000"/>
              <w:right w:val="single" w:sz="4" w:space="0" w:color="000000"/>
            </w:tcBorders>
            <w:vAlign w:val="center"/>
          </w:tcPr>
          <w:p w14:paraId="6C623D37" w14:textId="787E4D5C"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5.97%</w:t>
            </w:r>
          </w:p>
        </w:tc>
      </w:tr>
      <w:tr w:rsidR="00066462" w14:paraId="08C3971C" w14:textId="77777777" w:rsidTr="00182BE9">
        <w:trPr>
          <w:trHeight w:val="20"/>
        </w:trPr>
        <w:tc>
          <w:tcPr>
            <w:tcW w:w="1604" w:type="dxa"/>
            <w:tcBorders>
              <w:top w:val="single" w:sz="4" w:space="0" w:color="000000"/>
              <w:left w:val="single" w:sz="4" w:space="0" w:color="000000"/>
              <w:bottom w:val="single" w:sz="4" w:space="0" w:color="000000"/>
              <w:right w:val="single" w:sz="4" w:space="0" w:color="000000"/>
            </w:tcBorders>
            <w:vAlign w:val="center"/>
          </w:tcPr>
          <w:p w14:paraId="3B752FE5" w14:textId="206AC9AB"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仓储费</w:t>
            </w:r>
          </w:p>
        </w:tc>
        <w:tc>
          <w:tcPr>
            <w:tcW w:w="1604" w:type="dxa"/>
            <w:tcBorders>
              <w:top w:val="single" w:sz="4" w:space="0" w:color="000000"/>
              <w:left w:val="single" w:sz="4" w:space="0" w:color="000000"/>
              <w:bottom w:val="single" w:sz="4" w:space="0" w:color="000000"/>
              <w:right w:val="single" w:sz="4" w:space="0" w:color="000000"/>
            </w:tcBorders>
            <w:vAlign w:val="center"/>
          </w:tcPr>
          <w:p w14:paraId="19BB34AB" w14:textId="3BC779B7" w:rsidR="00066462" w:rsidRDefault="00066462" w:rsidP="00182BE9">
            <w:pPr>
              <w:spacing w:before="100" w:after="100" w:line="240" w:lineRule="exact"/>
              <w:jc w:val="right"/>
              <w:rPr>
                <w:rFonts w:ascii="Times New Roman" w:eastAsia="宋体" w:hAnsi="Times New Roman" w:cs="Times New Roman"/>
                <w:sz w:val="18"/>
                <w:szCs w:val="18"/>
              </w:rPr>
            </w:pPr>
            <w:r w:rsidRPr="00F97F74">
              <w:rPr>
                <w:rFonts w:ascii="Times New Roman" w:eastAsia="宋体" w:hAnsi="Times New Roman" w:cs="Times New Roman"/>
                <w:sz w:val="18"/>
                <w:szCs w:val="18"/>
              </w:rPr>
              <w:t>548,802.19</w:t>
            </w:r>
          </w:p>
        </w:tc>
        <w:tc>
          <w:tcPr>
            <w:tcW w:w="1604" w:type="dxa"/>
            <w:tcBorders>
              <w:top w:val="single" w:sz="4" w:space="0" w:color="000000"/>
              <w:left w:val="single" w:sz="4" w:space="0" w:color="000000"/>
              <w:bottom w:val="single" w:sz="4" w:space="0" w:color="000000"/>
              <w:right w:val="single" w:sz="4" w:space="0" w:color="000000"/>
            </w:tcBorders>
            <w:vAlign w:val="center"/>
          </w:tcPr>
          <w:p w14:paraId="3DE03ABF" w14:textId="6E953E17"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1.10%</w:t>
            </w:r>
          </w:p>
        </w:tc>
        <w:tc>
          <w:tcPr>
            <w:tcW w:w="1605" w:type="dxa"/>
            <w:tcBorders>
              <w:top w:val="single" w:sz="4" w:space="0" w:color="000000"/>
              <w:left w:val="single" w:sz="4" w:space="0" w:color="000000"/>
              <w:bottom w:val="single" w:sz="4" w:space="0" w:color="000000"/>
              <w:right w:val="single" w:sz="4" w:space="0" w:color="000000"/>
            </w:tcBorders>
            <w:vAlign w:val="center"/>
          </w:tcPr>
          <w:p w14:paraId="5E3A74D2" w14:textId="6E7BE5AC" w:rsidR="00066462" w:rsidRDefault="00066462" w:rsidP="00182BE9">
            <w:pPr>
              <w:spacing w:before="100" w:after="100" w:line="240" w:lineRule="exact"/>
              <w:jc w:val="right"/>
              <w:rPr>
                <w:rFonts w:ascii="Times New Roman" w:eastAsia="宋体" w:hAnsi="Times New Roman" w:cs="Times New Roman"/>
                <w:sz w:val="18"/>
                <w:szCs w:val="18"/>
              </w:rPr>
            </w:pPr>
            <w:r w:rsidRPr="00F97F74">
              <w:rPr>
                <w:rFonts w:ascii="Times New Roman" w:eastAsia="宋体" w:hAnsi="Times New Roman" w:cs="Times New Roman"/>
                <w:sz w:val="18"/>
                <w:szCs w:val="18"/>
              </w:rPr>
              <w:t>382,707.93</w:t>
            </w:r>
          </w:p>
        </w:tc>
        <w:tc>
          <w:tcPr>
            <w:tcW w:w="1605" w:type="dxa"/>
            <w:tcBorders>
              <w:top w:val="single" w:sz="4" w:space="0" w:color="000000"/>
              <w:left w:val="single" w:sz="4" w:space="0" w:color="000000"/>
              <w:bottom w:val="single" w:sz="4" w:space="0" w:color="000000"/>
              <w:right w:val="single" w:sz="4" w:space="0" w:color="000000"/>
            </w:tcBorders>
            <w:vAlign w:val="center"/>
          </w:tcPr>
          <w:p w14:paraId="03A0886A" w14:textId="2226F84A"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0.67%</w:t>
            </w:r>
          </w:p>
        </w:tc>
        <w:tc>
          <w:tcPr>
            <w:tcW w:w="1605" w:type="dxa"/>
            <w:tcBorders>
              <w:top w:val="single" w:sz="4" w:space="0" w:color="000000"/>
              <w:left w:val="single" w:sz="4" w:space="0" w:color="000000"/>
              <w:bottom w:val="single" w:sz="4" w:space="0" w:color="000000"/>
              <w:right w:val="single" w:sz="4" w:space="0" w:color="000000"/>
            </w:tcBorders>
            <w:vAlign w:val="center"/>
          </w:tcPr>
          <w:p w14:paraId="409E021B" w14:textId="4C0FEBA6"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43.40%</w:t>
            </w:r>
          </w:p>
        </w:tc>
      </w:tr>
      <w:tr w:rsidR="00066462" w14:paraId="6C457EC9" w14:textId="77777777" w:rsidTr="00182BE9">
        <w:trPr>
          <w:trHeight w:val="20"/>
        </w:trPr>
        <w:tc>
          <w:tcPr>
            <w:tcW w:w="1604" w:type="dxa"/>
            <w:tcBorders>
              <w:top w:val="single" w:sz="4" w:space="0" w:color="000000"/>
              <w:left w:val="single" w:sz="4" w:space="0" w:color="000000"/>
              <w:bottom w:val="single" w:sz="4" w:space="0" w:color="000000"/>
              <w:right w:val="single" w:sz="4" w:space="0" w:color="000000"/>
            </w:tcBorders>
            <w:vAlign w:val="center"/>
          </w:tcPr>
          <w:p w14:paraId="5288C3B8" w14:textId="19D0250F"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服务费</w:t>
            </w:r>
          </w:p>
        </w:tc>
        <w:tc>
          <w:tcPr>
            <w:tcW w:w="1604" w:type="dxa"/>
            <w:tcBorders>
              <w:top w:val="single" w:sz="4" w:space="0" w:color="000000"/>
              <w:left w:val="single" w:sz="4" w:space="0" w:color="000000"/>
              <w:bottom w:val="single" w:sz="4" w:space="0" w:color="000000"/>
              <w:right w:val="single" w:sz="4" w:space="0" w:color="000000"/>
            </w:tcBorders>
            <w:vAlign w:val="center"/>
          </w:tcPr>
          <w:p w14:paraId="63C94CAC" w14:textId="612A7D8C" w:rsidR="00066462" w:rsidRDefault="00066462" w:rsidP="00182BE9">
            <w:pPr>
              <w:spacing w:before="100" w:after="100" w:line="240" w:lineRule="exact"/>
              <w:jc w:val="right"/>
              <w:rPr>
                <w:rFonts w:ascii="Times New Roman" w:eastAsia="宋体" w:hAnsi="Times New Roman" w:cs="Times New Roman"/>
                <w:sz w:val="18"/>
                <w:szCs w:val="18"/>
              </w:rPr>
            </w:pPr>
            <w:r w:rsidRPr="00F97F74">
              <w:rPr>
                <w:rFonts w:ascii="Times New Roman" w:eastAsia="宋体" w:hAnsi="Times New Roman" w:cs="Times New Roman"/>
                <w:sz w:val="18"/>
                <w:szCs w:val="18"/>
              </w:rPr>
              <w:t>8,701,598.27</w:t>
            </w:r>
          </w:p>
        </w:tc>
        <w:tc>
          <w:tcPr>
            <w:tcW w:w="1604" w:type="dxa"/>
            <w:tcBorders>
              <w:top w:val="single" w:sz="4" w:space="0" w:color="000000"/>
              <w:left w:val="single" w:sz="4" w:space="0" w:color="000000"/>
              <w:bottom w:val="single" w:sz="4" w:space="0" w:color="000000"/>
              <w:right w:val="single" w:sz="4" w:space="0" w:color="000000"/>
            </w:tcBorders>
            <w:vAlign w:val="center"/>
          </w:tcPr>
          <w:p w14:paraId="3C8F52BA" w14:textId="361F608A"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17.50%</w:t>
            </w:r>
          </w:p>
        </w:tc>
        <w:tc>
          <w:tcPr>
            <w:tcW w:w="1605" w:type="dxa"/>
            <w:tcBorders>
              <w:top w:val="single" w:sz="4" w:space="0" w:color="000000"/>
              <w:left w:val="single" w:sz="4" w:space="0" w:color="000000"/>
              <w:bottom w:val="single" w:sz="4" w:space="0" w:color="000000"/>
              <w:right w:val="single" w:sz="4" w:space="0" w:color="000000"/>
            </w:tcBorders>
            <w:vAlign w:val="center"/>
          </w:tcPr>
          <w:p w14:paraId="61658727" w14:textId="6CC7718F" w:rsidR="00066462" w:rsidRDefault="00066462" w:rsidP="00182BE9">
            <w:pPr>
              <w:spacing w:before="100" w:after="100" w:line="240" w:lineRule="exact"/>
              <w:jc w:val="right"/>
              <w:rPr>
                <w:rFonts w:ascii="Times New Roman" w:eastAsia="宋体" w:hAnsi="Times New Roman" w:cs="Times New Roman"/>
                <w:sz w:val="18"/>
                <w:szCs w:val="18"/>
              </w:rPr>
            </w:pPr>
            <w:r w:rsidRPr="00F97F74">
              <w:rPr>
                <w:rFonts w:ascii="Times New Roman" w:eastAsia="宋体" w:hAnsi="Times New Roman" w:cs="Times New Roman"/>
                <w:sz w:val="18"/>
                <w:szCs w:val="18"/>
              </w:rPr>
              <w:t>11,414,289.81</w:t>
            </w:r>
          </w:p>
        </w:tc>
        <w:tc>
          <w:tcPr>
            <w:tcW w:w="1605" w:type="dxa"/>
            <w:tcBorders>
              <w:top w:val="single" w:sz="4" w:space="0" w:color="000000"/>
              <w:left w:val="single" w:sz="4" w:space="0" w:color="000000"/>
              <w:bottom w:val="single" w:sz="4" w:space="0" w:color="000000"/>
              <w:right w:val="single" w:sz="4" w:space="0" w:color="000000"/>
            </w:tcBorders>
            <w:vAlign w:val="center"/>
          </w:tcPr>
          <w:p w14:paraId="0EFEDE5A" w14:textId="3A5C7C93"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19.93%</w:t>
            </w:r>
          </w:p>
        </w:tc>
        <w:tc>
          <w:tcPr>
            <w:tcW w:w="1605" w:type="dxa"/>
            <w:tcBorders>
              <w:top w:val="single" w:sz="4" w:space="0" w:color="000000"/>
              <w:left w:val="single" w:sz="4" w:space="0" w:color="000000"/>
              <w:bottom w:val="single" w:sz="4" w:space="0" w:color="000000"/>
              <w:right w:val="single" w:sz="4" w:space="0" w:color="000000"/>
            </w:tcBorders>
            <w:vAlign w:val="center"/>
          </w:tcPr>
          <w:p w14:paraId="62A4EDD9" w14:textId="0923F689"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-23.77%</w:t>
            </w:r>
          </w:p>
        </w:tc>
      </w:tr>
      <w:tr w:rsidR="00066462" w14:paraId="30C8811F" w14:textId="77777777" w:rsidTr="00182BE9">
        <w:trPr>
          <w:trHeight w:val="20"/>
        </w:trPr>
        <w:tc>
          <w:tcPr>
            <w:tcW w:w="1604" w:type="dxa"/>
            <w:tcBorders>
              <w:top w:val="single" w:sz="4" w:space="0" w:color="000000"/>
              <w:left w:val="single" w:sz="4" w:space="0" w:color="000000"/>
              <w:bottom w:val="single" w:sz="4" w:space="0" w:color="000000"/>
              <w:right w:val="single" w:sz="4" w:space="0" w:color="000000"/>
            </w:tcBorders>
            <w:vAlign w:val="center"/>
          </w:tcPr>
          <w:p w14:paraId="411DE6DF" w14:textId="43B5A529"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装卸费</w:t>
            </w:r>
          </w:p>
        </w:tc>
        <w:tc>
          <w:tcPr>
            <w:tcW w:w="1604" w:type="dxa"/>
            <w:tcBorders>
              <w:top w:val="single" w:sz="4" w:space="0" w:color="000000"/>
              <w:left w:val="single" w:sz="4" w:space="0" w:color="000000"/>
              <w:bottom w:val="single" w:sz="4" w:space="0" w:color="000000"/>
              <w:right w:val="single" w:sz="4" w:space="0" w:color="000000"/>
            </w:tcBorders>
            <w:vAlign w:val="center"/>
          </w:tcPr>
          <w:p w14:paraId="332ECA9C" w14:textId="2A8DE2FF" w:rsidR="00066462" w:rsidRDefault="00066462" w:rsidP="00182BE9">
            <w:pPr>
              <w:spacing w:before="100" w:after="100" w:line="240" w:lineRule="exact"/>
              <w:jc w:val="right"/>
              <w:rPr>
                <w:rFonts w:ascii="Times New Roman" w:eastAsia="宋体" w:hAnsi="Times New Roman" w:cs="Times New Roman"/>
                <w:sz w:val="18"/>
                <w:szCs w:val="18"/>
              </w:rPr>
            </w:pPr>
            <w:r w:rsidRPr="00F97F74">
              <w:rPr>
                <w:rFonts w:ascii="Times New Roman" w:eastAsia="宋体" w:hAnsi="Times New Roman" w:cs="Times New Roman"/>
                <w:sz w:val="18"/>
                <w:szCs w:val="18"/>
              </w:rPr>
              <w:t>1,372.21</w:t>
            </w:r>
          </w:p>
        </w:tc>
        <w:tc>
          <w:tcPr>
            <w:tcW w:w="1604" w:type="dxa"/>
            <w:tcBorders>
              <w:top w:val="single" w:sz="4" w:space="0" w:color="000000"/>
              <w:left w:val="single" w:sz="4" w:space="0" w:color="000000"/>
              <w:bottom w:val="single" w:sz="4" w:space="0" w:color="000000"/>
              <w:right w:val="single" w:sz="4" w:space="0" w:color="000000"/>
            </w:tcBorders>
            <w:vAlign w:val="center"/>
          </w:tcPr>
          <w:p w14:paraId="251F9518" w14:textId="204A26F5"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0.00%</w:t>
            </w:r>
          </w:p>
        </w:tc>
        <w:tc>
          <w:tcPr>
            <w:tcW w:w="1605" w:type="dxa"/>
            <w:tcBorders>
              <w:top w:val="single" w:sz="4" w:space="0" w:color="000000"/>
              <w:left w:val="single" w:sz="4" w:space="0" w:color="000000"/>
              <w:bottom w:val="single" w:sz="4" w:space="0" w:color="000000"/>
              <w:right w:val="single" w:sz="4" w:space="0" w:color="000000"/>
            </w:tcBorders>
            <w:vAlign w:val="center"/>
          </w:tcPr>
          <w:p w14:paraId="47A78C11" w14:textId="57C54212" w:rsidR="00066462" w:rsidRDefault="00066462" w:rsidP="00182BE9">
            <w:pPr>
              <w:spacing w:before="100" w:after="100" w:line="240" w:lineRule="exact"/>
              <w:jc w:val="right"/>
              <w:rPr>
                <w:rFonts w:ascii="Times New Roman" w:eastAsia="宋体" w:hAnsi="Times New Roman" w:cs="Times New Roman"/>
                <w:sz w:val="18"/>
                <w:szCs w:val="18"/>
              </w:rPr>
            </w:pPr>
            <w:r w:rsidRPr="00F97F74">
              <w:rPr>
                <w:rFonts w:ascii="Times New Roman" w:eastAsia="宋体" w:hAnsi="Times New Roman" w:cs="Times New Roman"/>
                <w:sz w:val="18"/>
                <w:szCs w:val="18"/>
              </w:rPr>
              <w:t>7,423.78</w:t>
            </w:r>
          </w:p>
        </w:tc>
        <w:tc>
          <w:tcPr>
            <w:tcW w:w="1605" w:type="dxa"/>
            <w:tcBorders>
              <w:top w:val="single" w:sz="4" w:space="0" w:color="000000"/>
              <w:left w:val="single" w:sz="4" w:space="0" w:color="000000"/>
              <w:bottom w:val="single" w:sz="4" w:space="0" w:color="000000"/>
              <w:right w:val="single" w:sz="4" w:space="0" w:color="000000"/>
            </w:tcBorders>
            <w:vAlign w:val="center"/>
          </w:tcPr>
          <w:p w14:paraId="01B5338F" w14:textId="458487CD"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0.01%</w:t>
            </w:r>
          </w:p>
        </w:tc>
        <w:tc>
          <w:tcPr>
            <w:tcW w:w="1605" w:type="dxa"/>
            <w:tcBorders>
              <w:top w:val="single" w:sz="4" w:space="0" w:color="000000"/>
              <w:left w:val="single" w:sz="4" w:space="0" w:color="000000"/>
              <w:bottom w:val="single" w:sz="4" w:space="0" w:color="000000"/>
              <w:right w:val="single" w:sz="4" w:space="0" w:color="000000"/>
            </w:tcBorders>
            <w:vAlign w:val="center"/>
          </w:tcPr>
          <w:p w14:paraId="1F879E16" w14:textId="085AA675"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-81.52%</w:t>
            </w:r>
          </w:p>
        </w:tc>
      </w:tr>
      <w:tr w:rsidR="00066462" w14:paraId="712B385E" w14:textId="77777777" w:rsidTr="00182BE9">
        <w:trPr>
          <w:trHeight w:val="20"/>
        </w:trPr>
        <w:tc>
          <w:tcPr>
            <w:tcW w:w="1604" w:type="dxa"/>
            <w:tcBorders>
              <w:top w:val="single" w:sz="4" w:space="0" w:color="000000"/>
              <w:left w:val="single" w:sz="4" w:space="0" w:color="000000"/>
              <w:bottom w:val="single" w:sz="4" w:space="0" w:color="000000"/>
              <w:right w:val="single" w:sz="4" w:space="0" w:color="000000"/>
            </w:tcBorders>
            <w:vAlign w:val="center"/>
          </w:tcPr>
          <w:p w14:paraId="170E458D" w14:textId="18B087F6"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修理费</w:t>
            </w:r>
          </w:p>
        </w:tc>
        <w:tc>
          <w:tcPr>
            <w:tcW w:w="1604" w:type="dxa"/>
            <w:tcBorders>
              <w:top w:val="single" w:sz="4" w:space="0" w:color="000000"/>
              <w:left w:val="single" w:sz="4" w:space="0" w:color="000000"/>
              <w:bottom w:val="single" w:sz="4" w:space="0" w:color="000000"/>
              <w:right w:val="single" w:sz="4" w:space="0" w:color="000000"/>
            </w:tcBorders>
            <w:vAlign w:val="center"/>
          </w:tcPr>
          <w:p w14:paraId="198EEA0C" w14:textId="475C9759" w:rsidR="00066462" w:rsidRDefault="00066462" w:rsidP="00182BE9">
            <w:pPr>
              <w:spacing w:before="100" w:after="100" w:line="240" w:lineRule="exact"/>
              <w:jc w:val="right"/>
              <w:rPr>
                <w:rFonts w:ascii="Times New Roman" w:eastAsia="宋体" w:hAnsi="Times New Roman" w:cs="Times New Roman"/>
                <w:sz w:val="18"/>
                <w:szCs w:val="18"/>
              </w:rPr>
            </w:pPr>
            <w:r w:rsidRPr="00F97F74">
              <w:rPr>
                <w:rFonts w:ascii="Times New Roman" w:eastAsia="宋体" w:hAnsi="Times New Roman" w:cs="Times New Roman"/>
                <w:sz w:val="18"/>
                <w:szCs w:val="18"/>
              </w:rPr>
              <w:t>9,495.27</w:t>
            </w:r>
          </w:p>
        </w:tc>
        <w:tc>
          <w:tcPr>
            <w:tcW w:w="1604" w:type="dxa"/>
            <w:tcBorders>
              <w:top w:val="single" w:sz="4" w:space="0" w:color="000000"/>
              <w:left w:val="single" w:sz="4" w:space="0" w:color="000000"/>
              <w:bottom w:val="single" w:sz="4" w:space="0" w:color="000000"/>
              <w:right w:val="single" w:sz="4" w:space="0" w:color="000000"/>
            </w:tcBorders>
            <w:vAlign w:val="center"/>
          </w:tcPr>
          <w:p w14:paraId="1AB58E33" w14:textId="462706E6"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0.02%</w:t>
            </w:r>
          </w:p>
        </w:tc>
        <w:tc>
          <w:tcPr>
            <w:tcW w:w="1605" w:type="dxa"/>
            <w:tcBorders>
              <w:top w:val="single" w:sz="4" w:space="0" w:color="000000"/>
              <w:left w:val="single" w:sz="4" w:space="0" w:color="000000"/>
              <w:bottom w:val="single" w:sz="4" w:space="0" w:color="000000"/>
              <w:right w:val="single" w:sz="4" w:space="0" w:color="000000"/>
            </w:tcBorders>
            <w:vAlign w:val="center"/>
          </w:tcPr>
          <w:p w14:paraId="421D0B13" w14:textId="62409007" w:rsidR="00066462" w:rsidRDefault="00066462" w:rsidP="00182BE9">
            <w:pPr>
              <w:spacing w:before="100" w:after="100" w:line="240" w:lineRule="exact"/>
              <w:jc w:val="right"/>
              <w:rPr>
                <w:rFonts w:ascii="Times New Roman" w:eastAsia="宋体" w:hAnsi="Times New Roman" w:cs="Times New Roman"/>
                <w:sz w:val="18"/>
                <w:szCs w:val="18"/>
              </w:rPr>
            </w:pPr>
            <w:r w:rsidRPr="00F97F74">
              <w:rPr>
                <w:rFonts w:ascii="Times New Roman" w:eastAsia="宋体" w:hAnsi="Times New Roman" w:cs="Times New Roman"/>
                <w:sz w:val="18"/>
                <w:szCs w:val="18"/>
              </w:rPr>
              <w:t>10,635.69</w:t>
            </w:r>
          </w:p>
        </w:tc>
        <w:tc>
          <w:tcPr>
            <w:tcW w:w="1605" w:type="dxa"/>
            <w:tcBorders>
              <w:top w:val="single" w:sz="4" w:space="0" w:color="000000"/>
              <w:left w:val="single" w:sz="4" w:space="0" w:color="000000"/>
              <w:bottom w:val="single" w:sz="4" w:space="0" w:color="000000"/>
              <w:right w:val="single" w:sz="4" w:space="0" w:color="000000"/>
            </w:tcBorders>
            <w:vAlign w:val="center"/>
          </w:tcPr>
          <w:p w14:paraId="6F3EBBDB" w14:textId="61E23AA7"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0.02%</w:t>
            </w:r>
          </w:p>
        </w:tc>
        <w:tc>
          <w:tcPr>
            <w:tcW w:w="1605" w:type="dxa"/>
            <w:tcBorders>
              <w:top w:val="single" w:sz="4" w:space="0" w:color="000000"/>
              <w:left w:val="single" w:sz="4" w:space="0" w:color="000000"/>
              <w:bottom w:val="single" w:sz="4" w:space="0" w:color="000000"/>
              <w:right w:val="single" w:sz="4" w:space="0" w:color="000000"/>
            </w:tcBorders>
            <w:vAlign w:val="center"/>
          </w:tcPr>
          <w:p w14:paraId="54B9A63C" w14:textId="3EF0F7E7"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-10.72%</w:t>
            </w:r>
          </w:p>
        </w:tc>
      </w:tr>
      <w:tr w:rsidR="00066462" w14:paraId="337F1009" w14:textId="77777777" w:rsidTr="00182BE9">
        <w:trPr>
          <w:trHeight w:val="20"/>
        </w:trPr>
        <w:tc>
          <w:tcPr>
            <w:tcW w:w="1604" w:type="dxa"/>
            <w:tcBorders>
              <w:top w:val="single" w:sz="4" w:space="0" w:color="000000"/>
              <w:left w:val="single" w:sz="4" w:space="0" w:color="000000"/>
              <w:bottom w:val="single" w:sz="4" w:space="0" w:color="000000"/>
              <w:right w:val="single" w:sz="4" w:space="0" w:color="000000"/>
            </w:tcBorders>
            <w:vAlign w:val="center"/>
          </w:tcPr>
          <w:p w14:paraId="221E4F8F" w14:textId="3D632D96"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其他</w:t>
            </w:r>
          </w:p>
        </w:tc>
        <w:tc>
          <w:tcPr>
            <w:tcW w:w="1604" w:type="dxa"/>
            <w:tcBorders>
              <w:top w:val="single" w:sz="4" w:space="0" w:color="000000"/>
              <w:left w:val="single" w:sz="4" w:space="0" w:color="000000"/>
              <w:bottom w:val="single" w:sz="4" w:space="0" w:color="000000"/>
              <w:right w:val="single" w:sz="4" w:space="0" w:color="000000"/>
            </w:tcBorders>
            <w:vAlign w:val="center"/>
          </w:tcPr>
          <w:p w14:paraId="7FDED984" w14:textId="20D8B713" w:rsidR="00066462" w:rsidRDefault="00066462" w:rsidP="00182BE9">
            <w:pPr>
              <w:spacing w:before="100" w:after="100" w:line="240" w:lineRule="exact"/>
              <w:jc w:val="right"/>
              <w:rPr>
                <w:rFonts w:ascii="Times New Roman" w:eastAsia="宋体" w:hAnsi="Times New Roman" w:cs="Times New Roman"/>
                <w:sz w:val="18"/>
                <w:szCs w:val="18"/>
              </w:rPr>
            </w:pPr>
            <w:r w:rsidRPr="00F97F74">
              <w:rPr>
                <w:rFonts w:ascii="Times New Roman" w:eastAsia="宋体" w:hAnsi="Times New Roman" w:cs="Times New Roman"/>
                <w:sz w:val="18"/>
                <w:szCs w:val="18"/>
              </w:rPr>
              <w:t>7,186,567.64</w:t>
            </w:r>
          </w:p>
        </w:tc>
        <w:tc>
          <w:tcPr>
            <w:tcW w:w="1604" w:type="dxa"/>
            <w:tcBorders>
              <w:top w:val="single" w:sz="4" w:space="0" w:color="000000"/>
              <w:left w:val="single" w:sz="4" w:space="0" w:color="000000"/>
              <w:bottom w:val="single" w:sz="4" w:space="0" w:color="000000"/>
              <w:right w:val="single" w:sz="4" w:space="0" w:color="000000"/>
            </w:tcBorders>
            <w:vAlign w:val="center"/>
          </w:tcPr>
          <w:p w14:paraId="234BA27A" w14:textId="34F416BD"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14.46%</w:t>
            </w:r>
          </w:p>
        </w:tc>
        <w:tc>
          <w:tcPr>
            <w:tcW w:w="1605" w:type="dxa"/>
            <w:tcBorders>
              <w:top w:val="single" w:sz="4" w:space="0" w:color="000000"/>
              <w:left w:val="single" w:sz="4" w:space="0" w:color="000000"/>
              <w:bottom w:val="single" w:sz="4" w:space="0" w:color="000000"/>
              <w:right w:val="single" w:sz="4" w:space="0" w:color="000000"/>
            </w:tcBorders>
            <w:vAlign w:val="center"/>
          </w:tcPr>
          <w:p w14:paraId="27A4F02C" w14:textId="13192B67" w:rsidR="00066462" w:rsidRDefault="00066462" w:rsidP="00182BE9">
            <w:pPr>
              <w:spacing w:before="100" w:after="100" w:line="240" w:lineRule="exact"/>
              <w:jc w:val="right"/>
              <w:rPr>
                <w:rFonts w:ascii="Times New Roman" w:eastAsia="宋体" w:hAnsi="Times New Roman" w:cs="Times New Roman"/>
                <w:sz w:val="18"/>
                <w:szCs w:val="18"/>
              </w:rPr>
            </w:pPr>
            <w:r w:rsidRPr="00F97F74">
              <w:rPr>
                <w:rFonts w:ascii="Times New Roman" w:eastAsia="宋体" w:hAnsi="Times New Roman" w:cs="Times New Roman"/>
                <w:sz w:val="18"/>
                <w:szCs w:val="18"/>
              </w:rPr>
              <w:t>9,182,026.31</w:t>
            </w:r>
          </w:p>
        </w:tc>
        <w:tc>
          <w:tcPr>
            <w:tcW w:w="1605" w:type="dxa"/>
            <w:tcBorders>
              <w:top w:val="single" w:sz="4" w:space="0" w:color="000000"/>
              <w:left w:val="single" w:sz="4" w:space="0" w:color="000000"/>
              <w:bottom w:val="single" w:sz="4" w:space="0" w:color="000000"/>
              <w:right w:val="single" w:sz="4" w:space="0" w:color="000000"/>
            </w:tcBorders>
            <w:vAlign w:val="center"/>
          </w:tcPr>
          <w:p w14:paraId="7D9E9741" w14:textId="47A2C09F"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16.03%</w:t>
            </w:r>
          </w:p>
        </w:tc>
        <w:tc>
          <w:tcPr>
            <w:tcW w:w="1605" w:type="dxa"/>
            <w:tcBorders>
              <w:top w:val="single" w:sz="4" w:space="0" w:color="000000"/>
              <w:left w:val="single" w:sz="4" w:space="0" w:color="000000"/>
              <w:bottom w:val="single" w:sz="4" w:space="0" w:color="000000"/>
              <w:right w:val="single" w:sz="4" w:space="0" w:color="000000"/>
            </w:tcBorders>
            <w:vAlign w:val="center"/>
          </w:tcPr>
          <w:p w14:paraId="481D9F8F" w14:textId="49C46210"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-21.73%</w:t>
            </w:r>
          </w:p>
        </w:tc>
      </w:tr>
      <w:tr w:rsidR="00066462" w14:paraId="0CF9AE99" w14:textId="77777777" w:rsidTr="00182BE9">
        <w:trPr>
          <w:trHeight w:val="20"/>
        </w:trPr>
        <w:tc>
          <w:tcPr>
            <w:tcW w:w="1604" w:type="dxa"/>
            <w:tcBorders>
              <w:top w:val="single" w:sz="4" w:space="0" w:color="000000"/>
              <w:left w:val="single" w:sz="4" w:space="0" w:color="000000"/>
              <w:bottom w:val="single" w:sz="4" w:space="0" w:color="000000"/>
              <w:right w:val="single" w:sz="4" w:space="0" w:color="000000"/>
            </w:tcBorders>
            <w:vAlign w:val="center"/>
          </w:tcPr>
          <w:p w14:paraId="2C96F001" w14:textId="0DF2D289"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lastRenderedPageBreak/>
              <w:t>合计</w:t>
            </w:r>
          </w:p>
        </w:tc>
        <w:tc>
          <w:tcPr>
            <w:tcW w:w="1604" w:type="dxa"/>
            <w:tcBorders>
              <w:top w:val="single" w:sz="4" w:space="0" w:color="000000"/>
              <w:left w:val="single" w:sz="4" w:space="0" w:color="000000"/>
              <w:bottom w:val="single" w:sz="4" w:space="0" w:color="000000"/>
              <w:right w:val="single" w:sz="4" w:space="0" w:color="000000"/>
            </w:tcBorders>
            <w:vAlign w:val="center"/>
          </w:tcPr>
          <w:p w14:paraId="35821BD3" w14:textId="378399A0" w:rsidR="00066462" w:rsidRDefault="00066462" w:rsidP="00182BE9">
            <w:pPr>
              <w:spacing w:before="100" w:after="100" w:line="240" w:lineRule="exact"/>
              <w:jc w:val="right"/>
              <w:rPr>
                <w:rFonts w:ascii="Times New Roman" w:eastAsia="宋体" w:hAnsi="Times New Roman" w:cs="Times New Roman"/>
                <w:sz w:val="18"/>
                <w:szCs w:val="18"/>
              </w:rPr>
            </w:pPr>
            <w:r w:rsidRPr="00F97F74">
              <w:rPr>
                <w:rFonts w:ascii="Times New Roman" w:eastAsia="宋体" w:hAnsi="Times New Roman" w:cs="Times New Roman"/>
                <w:sz w:val="18"/>
                <w:szCs w:val="18"/>
              </w:rPr>
              <w:t>49,716,998.40</w:t>
            </w:r>
          </w:p>
        </w:tc>
        <w:tc>
          <w:tcPr>
            <w:tcW w:w="1604" w:type="dxa"/>
            <w:tcBorders>
              <w:top w:val="single" w:sz="4" w:space="0" w:color="000000"/>
              <w:left w:val="single" w:sz="4" w:space="0" w:color="000000"/>
              <w:bottom w:val="single" w:sz="4" w:space="0" w:color="000000"/>
              <w:right w:val="single" w:sz="4" w:space="0" w:color="000000"/>
            </w:tcBorders>
            <w:vAlign w:val="center"/>
          </w:tcPr>
          <w:p w14:paraId="5B722FBD" w14:textId="4EA97062"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100.00%</w:t>
            </w:r>
          </w:p>
        </w:tc>
        <w:tc>
          <w:tcPr>
            <w:tcW w:w="1605" w:type="dxa"/>
            <w:tcBorders>
              <w:top w:val="single" w:sz="4" w:space="0" w:color="000000"/>
              <w:left w:val="single" w:sz="4" w:space="0" w:color="000000"/>
              <w:bottom w:val="single" w:sz="4" w:space="0" w:color="000000"/>
              <w:right w:val="single" w:sz="4" w:space="0" w:color="000000"/>
            </w:tcBorders>
            <w:vAlign w:val="center"/>
          </w:tcPr>
          <w:p w14:paraId="469E4771" w14:textId="55493099" w:rsidR="00066462" w:rsidRDefault="00066462" w:rsidP="00182BE9">
            <w:pPr>
              <w:spacing w:before="100" w:after="100" w:line="240" w:lineRule="exact"/>
              <w:jc w:val="right"/>
              <w:rPr>
                <w:rFonts w:ascii="Times New Roman" w:eastAsia="宋体" w:hAnsi="Times New Roman" w:cs="Times New Roman"/>
                <w:sz w:val="18"/>
                <w:szCs w:val="18"/>
              </w:rPr>
            </w:pPr>
            <w:r w:rsidRPr="00F97F74">
              <w:rPr>
                <w:rFonts w:ascii="Times New Roman" w:eastAsia="宋体" w:hAnsi="Times New Roman" w:cs="Times New Roman"/>
                <w:sz w:val="18"/>
                <w:szCs w:val="18"/>
              </w:rPr>
              <w:t>57,280,512.12</w:t>
            </w:r>
          </w:p>
        </w:tc>
        <w:tc>
          <w:tcPr>
            <w:tcW w:w="1605" w:type="dxa"/>
            <w:tcBorders>
              <w:top w:val="single" w:sz="4" w:space="0" w:color="000000"/>
              <w:left w:val="single" w:sz="4" w:space="0" w:color="000000"/>
              <w:bottom w:val="single" w:sz="4" w:space="0" w:color="000000"/>
              <w:right w:val="single" w:sz="4" w:space="0" w:color="000000"/>
            </w:tcBorders>
            <w:vAlign w:val="center"/>
          </w:tcPr>
          <w:p w14:paraId="41279577" w14:textId="73DA44FB"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100.00%</w:t>
            </w:r>
          </w:p>
        </w:tc>
        <w:tc>
          <w:tcPr>
            <w:tcW w:w="1605" w:type="dxa"/>
            <w:tcBorders>
              <w:top w:val="single" w:sz="4" w:space="0" w:color="000000"/>
              <w:left w:val="single" w:sz="4" w:space="0" w:color="000000"/>
              <w:bottom w:val="single" w:sz="4" w:space="0" w:color="000000"/>
              <w:right w:val="single" w:sz="4" w:space="0" w:color="000000"/>
            </w:tcBorders>
            <w:vAlign w:val="center"/>
          </w:tcPr>
          <w:p w14:paraId="269DC0C9" w14:textId="17954480" w:rsidR="00066462" w:rsidRDefault="00066462" w:rsidP="00D81019">
            <w:pPr>
              <w:spacing w:before="100" w:after="100" w:line="240" w:lineRule="exact"/>
              <w:jc w:val="center"/>
              <w:rPr>
                <w:rFonts w:ascii="Times New Roman" w:eastAsia="宋体" w:hAnsi="Times New Roman" w:cs="Times New Roman"/>
                <w:sz w:val="18"/>
                <w:szCs w:val="18"/>
              </w:rPr>
            </w:pPr>
            <w:r w:rsidRPr="00F97F74">
              <w:rPr>
                <w:rFonts w:ascii="Times New Roman" w:eastAsia="宋体" w:hAnsi="Times New Roman" w:cs="Times New Roman"/>
                <w:sz w:val="18"/>
                <w:szCs w:val="18"/>
              </w:rPr>
              <w:t>-13.20%</w:t>
            </w:r>
          </w:p>
        </w:tc>
      </w:tr>
    </w:tbl>
    <w:p w14:paraId="7BFBC085"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17" w:name="_Toc988906"/>
      <w:r w:rsidRPr="005A284F">
        <w:rPr>
          <w:rFonts w:ascii="Times New Roman" w:eastAsia="宋体" w:hAnsi="Times New Roman" w:cs="Times New Roman"/>
          <w:b/>
          <w:bCs/>
          <w:sz w:val="24"/>
          <w:szCs w:val="24"/>
        </w:rPr>
        <w:t>四、非主营业务分析</w:t>
      </w:r>
      <w:bookmarkEnd w:id="17"/>
    </w:p>
    <w:p w14:paraId="04159C17" w14:textId="77777777" w:rsidR="006C011D" w:rsidRPr="00F97F74" w:rsidRDefault="00000000">
      <w:pPr>
        <w:spacing w:before="40" w:after="40" w:line="240" w:lineRule="exact"/>
        <w:rPr>
          <w:rFonts w:ascii="宋体" w:eastAsia="宋体" w:hAnsi="宋体" w:cs="Times New Roman" w:hint="eastAsia"/>
          <w:sz w:val="18"/>
          <w:szCs w:val="18"/>
        </w:rPr>
      </w:pPr>
      <w:r w:rsidRPr="00F97F74">
        <w:rPr>
          <w:rFonts w:ascii="宋体" w:eastAsia="宋体" w:hAnsi="宋体" w:cs="Times New Roman"/>
          <w:sz w:val="18"/>
          <w:szCs w:val="18"/>
        </w:rPr>
        <w:t xml:space="preserve">□适用 </w:t>
      </w:r>
      <w:r w:rsidRPr="00F97F74">
        <w:rPr>
          <w:rFonts w:ascii="宋体" w:eastAsia="宋体" w:hAnsi="宋体" w:cs="Times New Roman"/>
          <w:sz w:val="18"/>
          <w:szCs w:val="18"/>
        </w:rPr>
        <w:sym w:font="Wingdings 2" w:char="F052"/>
      </w:r>
      <w:r w:rsidRPr="00F97F74">
        <w:rPr>
          <w:rFonts w:ascii="宋体" w:eastAsia="宋体" w:hAnsi="宋体" w:cs="Times New Roman"/>
          <w:sz w:val="18"/>
          <w:szCs w:val="18"/>
        </w:rPr>
        <w:t>不适用</w:t>
      </w:r>
    </w:p>
    <w:p w14:paraId="4C11D5E0"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18" w:name="_Toc988907"/>
      <w:r w:rsidRPr="005A284F">
        <w:rPr>
          <w:rFonts w:ascii="Times New Roman" w:eastAsia="宋体" w:hAnsi="Times New Roman" w:cs="Times New Roman"/>
          <w:b/>
          <w:bCs/>
          <w:sz w:val="24"/>
          <w:szCs w:val="24"/>
        </w:rPr>
        <w:t>五、资产及负债状况分析</w:t>
      </w:r>
      <w:bookmarkEnd w:id="18"/>
    </w:p>
    <w:p w14:paraId="6346E311" w14:textId="77777777" w:rsidR="006C011D" w:rsidRPr="005A284F" w:rsidRDefault="00000000">
      <w:pPr>
        <w:pStyle w:val="3"/>
        <w:spacing w:line="280" w:lineRule="exact"/>
        <w:jc w:val="left"/>
        <w:rPr>
          <w:rFonts w:ascii="Times New Roman" w:hAnsi="Times New Roman" w:cs="Times New Roman"/>
          <w:b/>
          <w:bCs/>
        </w:rPr>
      </w:pPr>
      <w:bookmarkStart w:id="19" w:name="_Toc988908"/>
      <w:r w:rsidRPr="005A284F">
        <w:rPr>
          <w:rFonts w:ascii="Times New Roman" w:hAnsi="Times New Roman" w:cs="Times New Roman"/>
          <w:b/>
          <w:bCs/>
        </w:rPr>
        <w:t>1</w:t>
      </w:r>
      <w:r w:rsidRPr="005A284F">
        <w:rPr>
          <w:rFonts w:ascii="Times New Roman" w:hAnsi="Times New Roman" w:cs="Times New Roman"/>
          <w:b/>
          <w:bCs/>
        </w:rPr>
        <w:t>、资产构成重大变动情况</w:t>
      </w:r>
      <w:bookmarkEnd w:id="19"/>
    </w:p>
    <w:p w14:paraId="3181E436"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4A0" w:firstRow="1" w:lastRow="0" w:firstColumn="1" w:lastColumn="0" w:noHBand="0" w:noVBand="1"/>
      </w:tblPr>
      <w:tblGrid>
        <w:gridCol w:w="1377"/>
        <w:gridCol w:w="1549"/>
        <w:gridCol w:w="1276"/>
        <w:gridCol w:w="1559"/>
        <w:gridCol w:w="1276"/>
        <w:gridCol w:w="1225"/>
        <w:gridCol w:w="1377"/>
      </w:tblGrid>
      <w:tr w:rsidR="006C011D" w:rsidRPr="005A284F" w14:paraId="2FF0EC77" w14:textId="77777777" w:rsidTr="00F97F74">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F1CA7B5" w14:textId="77777777" w:rsidR="006C011D" w:rsidRPr="005A284F" w:rsidRDefault="006C011D">
            <w:pPr>
              <w:rPr>
                <w:rFonts w:ascii="Times New Roman" w:eastAsia="宋体" w:hAnsi="Times New Roman" w:cs="Times New Roman"/>
              </w:rPr>
            </w:pPr>
          </w:p>
        </w:tc>
        <w:tc>
          <w:tcPr>
            <w:tcW w:w="282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95ABE8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本报告期末</w:t>
            </w:r>
          </w:p>
        </w:tc>
        <w:tc>
          <w:tcPr>
            <w:tcW w:w="283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94BC02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上年末</w:t>
            </w:r>
          </w:p>
        </w:tc>
        <w:tc>
          <w:tcPr>
            <w:tcW w:w="122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A171E6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比重增减</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3F598B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重大变动说明</w:t>
            </w:r>
          </w:p>
        </w:tc>
      </w:tr>
      <w:tr w:rsidR="006C011D" w:rsidRPr="005A284F" w14:paraId="0E793E22" w14:textId="77777777" w:rsidTr="00F97F74">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8AC636D" w14:textId="77777777" w:rsidR="006C011D" w:rsidRPr="005A284F" w:rsidRDefault="006C011D">
            <w:pPr>
              <w:rPr>
                <w:rFonts w:ascii="Times New Roman" w:eastAsia="宋体" w:hAnsi="Times New Roman" w:cs="Times New Roman"/>
              </w:rPr>
            </w:pPr>
          </w:p>
        </w:tc>
        <w:tc>
          <w:tcPr>
            <w:tcW w:w="1549" w:type="dxa"/>
            <w:tcBorders>
              <w:top w:val="single" w:sz="2" w:space="0" w:color="auto"/>
              <w:left w:val="single" w:sz="2" w:space="0" w:color="auto"/>
              <w:bottom w:val="single" w:sz="2" w:space="0" w:color="auto"/>
              <w:right w:val="single" w:sz="2" w:space="0" w:color="auto"/>
            </w:tcBorders>
            <w:shd w:val="clear" w:color="auto" w:fill="D3D3D3"/>
            <w:vAlign w:val="center"/>
          </w:tcPr>
          <w:p w14:paraId="186F306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金额</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7CA0B72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占总资产比例</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3C9F6E4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金额</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4B5626E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占总资产比例</w:t>
            </w:r>
          </w:p>
        </w:tc>
        <w:tc>
          <w:tcPr>
            <w:tcW w:w="122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31F63F4" w14:textId="77777777" w:rsidR="006C011D" w:rsidRPr="005A284F" w:rsidRDefault="006C011D">
            <w:pPr>
              <w:rPr>
                <w:rFonts w:ascii="Times New Roman" w:eastAsia="宋体" w:hAnsi="Times New Roman" w:cs="Times New Roman"/>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64A6108" w14:textId="77777777" w:rsidR="006C011D" w:rsidRPr="005A284F" w:rsidRDefault="006C011D">
            <w:pPr>
              <w:rPr>
                <w:rFonts w:ascii="Times New Roman" w:eastAsia="宋体" w:hAnsi="Times New Roman" w:cs="Times New Roman"/>
              </w:rPr>
            </w:pPr>
          </w:p>
        </w:tc>
      </w:tr>
      <w:tr w:rsidR="006C011D" w:rsidRPr="005A284F" w14:paraId="62B32AE1" w14:textId="77777777" w:rsidTr="00F97F7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C516A1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货币资金</w:t>
            </w:r>
          </w:p>
        </w:tc>
        <w:tc>
          <w:tcPr>
            <w:tcW w:w="1549" w:type="dxa"/>
            <w:tcBorders>
              <w:top w:val="single" w:sz="2" w:space="0" w:color="auto"/>
              <w:left w:val="single" w:sz="2" w:space="0" w:color="auto"/>
              <w:bottom w:val="single" w:sz="2" w:space="0" w:color="auto"/>
              <w:right w:val="single" w:sz="2" w:space="0" w:color="auto"/>
            </w:tcBorders>
            <w:vAlign w:val="center"/>
          </w:tcPr>
          <w:p w14:paraId="3A6059C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972,559,534.00</w:t>
            </w:r>
          </w:p>
        </w:tc>
        <w:tc>
          <w:tcPr>
            <w:tcW w:w="1276" w:type="dxa"/>
            <w:tcBorders>
              <w:top w:val="single" w:sz="2" w:space="0" w:color="auto"/>
              <w:left w:val="single" w:sz="2" w:space="0" w:color="auto"/>
              <w:bottom w:val="single" w:sz="2" w:space="0" w:color="auto"/>
              <w:right w:val="single" w:sz="2" w:space="0" w:color="auto"/>
            </w:tcBorders>
            <w:vAlign w:val="center"/>
          </w:tcPr>
          <w:p w14:paraId="1D6154E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16.79%</w:t>
            </w:r>
          </w:p>
        </w:tc>
        <w:tc>
          <w:tcPr>
            <w:tcW w:w="1559" w:type="dxa"/>
            <w:tcBorders>
              <w:top w:val="single" w:sz="2" w:space="0" w:color="auto"/>
              <w:left w:val="single" w:sz="2" w:space="0" w:color="auto"/>
              <w:bottom w:val="single" w:sz="2" w:space="0" w:color="auto"/>
              <w:right w:val="single" w:sz="2" w:space="0" w:color="auto"/>
            </w:tcBorders>
            <w:vAlign w:val="center"/>
          </w:tcPr>
          <w:p w14:paraId="3A02F67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970,117,579.77</w:t>
            </w:r>
          </w:p>
        </w:tc>
        <w:tc>
          <w:tcPr>
            <w:tcW w:w="1276" w:type="dxa"/>
            <w:tcBorders>
              <w:top w:val="single" w:sz="2" w:space="0" w:color="auto"/>
              <w:left w:val="single" w:sz="2" w:space="0" w:color="auto"/>
              <w:bottom w:val="single" w:sz="2" w:space="0" w:color="auto"/>
              <w:right w:val="single" w:sz="2" w:space="0" w:color="auto"/>
            </w:tcBorders>
            <w:vAlign w:val="center"/>
          </w:tcPr>
          <w:p w14:paraId="1EB4FC5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16.50%</w:t>
            </w:r>
          </w:p>
        </w:tc>
        <w:tc>
          <w:tcPr>
            <w:tcW w:w="1225" w:type="dxa"/>
            <w:tcBorders>
              <w:top w:val="single" w:sz="2" w:space="0" w:color="auto"/>
              <w:left w:val="single" w:sz="2" w:space="0" w:color="auto"/>
              <w:bottom w:val="single" w:sz="2" w:space="0" w:color="auto"/>
              <w:right w:val="single" w:sz="2" w:space="0" w:color="auto"/>
            </w:tcBorders>
            <w:vAlign w:val="center"/>
          </w:tcPr>
          <w:p w14:paraId="204113F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0.29%</w:t>
            </w:r>
          </w:p>
        </w:tc>
        <w:tc>
          <w:tcPr>
            <w:tcW w:w="1377" w:type="dxa"/>
            <w:tcBorders>
              <w:top w:val="single" w:sz="2" w:space="0" w:color="auto"/>
              <w:left w:val="single" w:sz="2" w:space="0" w:color="auto"/>
              <w:bottom w:val="single" w:sz="2" w:space="0" w:color="auto"/>
              <w:right w:val="single" w:sz="2" w:space="0" w:color="auto"/>
            </w:tcBorders>
            <w:vAlign w:val="center"/>
          </w:tcPr>
          <w:p w14:paraId="7BA777FD" w14:textId="77777777" w:rsidR="006C011D" w:rsidRPr="005A284F" w:rsidRDefault="006C011D">
            <w:pPr>
              <w:spacing w:after="0" w:line="240" w:lineRule="exact"/>
              <w:rPr>
                <w:rFonts w:ascii="Times New Roman" w:eastAsia="宋体" w:hAnsi="Times New Roman" w:cs="Times New Roman"/>
                <w:sz w:val="18"/>
                <w:szCs w:val="18"/>
              </w:rPr>
            </w:pPr>
          </w:p>
        </w:tc>
      </w:tr>
      <w:tr w:rsidR="006C011D" w:rsidRPr="005A284F" w14:paraId="660BB218" w14:textId="77777777" w:rsidTr="00F97F7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E80F141"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应收账款</w:t>
            </w:r>
          </w:p>
        </w:tc>
        <w:tc>
          <w:tcPr>
            <w:tcW w:w="1549" w:type="dxa"/>
            <w:tcBorders>
              <w:top w:val="single" w:sz="2" w:space="0" w:color="auto"/>
              <w:left w:val="single" w:sz="2" w:space="0" w:color="auto"/>
              <w:bottom w:val="single" w:sz="2" w:space="0" w:color="auto"/>
              <w:right w:val="single" w:sz="2" w:space="0" w:color="auto"/>
            </w:tcBorders>
            <w:vAlign w:val="center"/>
          </w:tcPr>
          <w:p w14:paraId="03B3F33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415,559,216.77</w:t>
            </w:r>
          </w:p>
        </w:tc>
        <w:tc>
          <w:tcPr>
            <w:tcW w:w="1276" w:type="dxa"/>
            <w:tcBorders>
              <w:top w:val="single" w:sz="2" w:space="0" w:color="auto"/>
              <w:left w:val="single" w:sz="2" w:space="0" w:color="auto"/>
              <w:bottom w:val="single" w:sz="2" w:space="0" w:color="auto"/>
              <w:right w:val="single" w:sz="2" w:space="0" w:color="auto"/>
            </w:tcBorders>
            <w:vAlign w:val="center"/>
          </w:tcPr>
          <w:p w14:paraId="2986BCC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7.18%</w:t>
            </w:r>
          </w:p>
        </w:tc>
        <w:tc>
          <w:tcPr>
            <w:tcW w:w="1559" w:type="dxa"/>
            <w:tcBorders>
              <w:top w:val="single" w:sz="2" w:space="0" w:color="auto"/>
              <w:left w:val="single" w:sz="2" w:space="0" w:color="auto"/>
              <w:bottom w:val="single" w:sz="2" w:space="0" w:color="auto"/>
              <w:right w:val="single" w:sz="2" w:space="0" w:color="auto"/>
            </w:tcBorders>
            <w:vAlign w:val="center"/>
          </w:tcPr>
          <w:p w14:paraId="31050DC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428,734,055.32</w:t>
            </w:r>
          </w:p>
        </w:tc>
        <w:tc>
          <w:tcPr>
            <w:tcW w:w="1276" w:type="dxa"/>
            <w:tcBorders>
              <w:top w:val="single" w:sz="2" w:space="0" w:color="auto"/>
              <w:left w:val="single" w:sz="2" w:space="0" w:color="auto"/>
              <w:bottom w:val="single" w:sz="2" w:space="0" w:color="auto"/>
              <w:right w:val="single" w:sz="2" w:space="0" w:color="auto"/>
            </w:tcBorders>
            <w:vAlign w:val="center"/>
          </w:tcPr>
          <w:p w14:paraId="29EEBCA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7.29%</w:t>
            </w:r>
          </w:p>
        </w:tc>
        <w:tc>
          <w:tcPr>
            <w:tcW w:w="1225" w:type="dxa"/>
            <w:tcBorders>
              <w:top w:val="single" w:sz="2" w:space="0" w:color="auto"/>
              <w:left w:val="single" w:sz="2" w:space="0" w:color="auto"/>
              <w:bottom w:val="single" w:sz="2" w:space="0" w:color="auto"/>
              <w:right w:val="single" w:sz="2" w:space="0" w:color="auto"/>
            </w:tcBorders>
            <w:vAlign w:val="center"/>
          </w:tcPr>
          <w:p w14:paraId="46C803F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-0.11%</w:t>
            </w:r>
          </w:p>
        </w:tc>
        <w:tc>
          <w:tcPr>
            <w:tcW w:w="1377" w:type="dxa"/>
            <w:tcBorders>
              <w:top w:val="single" w:sz="2" w:space="0" w:color="auto"/>
              <w:left w:val="single" w:sz="2" w:space="0" w:color="auto"/>
              <w:bottom w:val="single" w:sz="2" w:space="0" w:color="auto"/>
              <w:right w:val="single" w:sz="2" w:space="0" w:color="auto"/>
            </w:tcBorders>
            <w:vAlign w:val="center"/>
          </w:tcPr>
          <w:p w14:paraId="024D2EDE" w14:textId="77777777" w:rsidR="006C011D" w:rsidRPr="005A284F" w:rsidRDefault="006C011D">
            <w:pPr>
              <w:spacing w:after="0" w:line="240" w:lineRule="exact"/>
              <w:rPr>
                <w:rFonts w:ascii="Times New Roman" w:eastAsia="宋体" w:hAnsi="Times New Roman" w:cs="Times New Roman"/>
                <w:sz w:val="18"/>
                <w:szCs w:val="18"/>
              </w:rPr>
            </w:pPr>
          </w:p>
        </w:tc>
      </w:tr>
      <w:tr w:rsidR="006C011D" w:rsidRPr="005A284F" w14:paraId="048C4942" w14:textId="77777777" w:rsidTr="00F97F7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9BC2C71"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存货</w:t>
            </w:r>
          </w:p>
        </w:tc>
        <w:tc>
          <w:tcPr>
            <w:tcW w:w="1549" w:type="dxa"/>
            <w:tcBorders>
              <w:top w:val="single" w:sz="2" w:space="0" w:color="auto"/>
              <w:left w:val="single" w:sz="2" w:space="0" w:color="auto"/>
              <w:bottom w:val="single" w:sz="2" w:space="0" w:color="auto"/>
              <w:right w:val="single" w:sz="2" w:space="0" w:color="auto"/>
            </w:tcBorders>
            <w:vAlign w:val="center"/>
          </w:tcPr>
          <w:p w14:paraId="7301E73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901,706,258.35</w:t>
            </w:r>
          </w:p>
        </w:tc>
        <w:tc>
          <w:tcPr>
            <w:tcW w:w="1276" w:type="dxa"/>
            <w:tcBorders>
              <w:top w:val="single" w:sz="2" w:space="0" w:color="auto"/>
              <w:left w:val="single" w:sz="2" w:space="0" w:color="auto"/>
              <w:bottom w:val="single" w:sz="2" w:space="0" w:color="auto"/>
              <w:right w:val="single" w:sz="2" w:space="0" w:color="auto"/>
            </w:tcBorders>
            <w:vAlign w:val="center"/>
          </w:tcPr>
          <w:p w14:paraId="2B0FB54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15.57%</w:t>
            </w:r>
          </w:p>
        </w:tc>
        <w:tc>
          <w:tcPr>
            <w:tcW w:w="1559" w:type="dxa"/>
            <w:tcBorders>
              <w:top w:val="single" w:sz="2" w:space="0" w:color="auto"/>
              <w:left w:val="single" w:sz="2" w:space="0" w:color="auto"/>
              <w:bottom w:val="single" w:sz="2" w:space="0" w:color="auto"/>
              <w:right w:val="single" w:sz="2" w:space="0" w:color="auto"/>
            </w:tcBorders>
            <w:vAlign w:val="center"/>
          </w:tcPr>
          <w:p w14:paraId="14A9E9D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994,358,007.81</w:t>
            </w:r>
          </w:p>
        </w:tc>
        <w:tc>
          <w:tcPr>
            <w:tcW w:w="1276" w:type="dxa"/>
            <w:tcBorders>
              <w:top w:val="single" w:sz="2" w:space="0" w:color="auto"/>
              <w:left w:val="single" w:sz="2" w:space="0" w:color="auto"/>
              <w:bottom w:val="single" w:sz="2" w:space="0" w:color="auto"/>
              <w:right w:val="single" w:sz="2" w:space="0" w:color="auto"/>
            </w:tcBorders>
            <w:vAlign w:val="center"/>
          </w:tcPr>
          <w:p w14:paraId="557BB0E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16.91%</w:t>
            </w:r>
          </w:p>
        </w:tc>
        <w:tc>
          <w:tcPr>
            <w:tcW w:w="1225" w:type="dxa"/>
            <w:tcBorders>
              <w:top w:val="single" w:sz="2" w:space="0" w:color="auto"/>
              <w:left w:val="single" w:sz="2" w:space="0" w:color="auto"/>
              <w:bottom w:val="single" w:sz="2" w:space="0" w:color="auto"/>
              <w:right w:val="single" w:sz="2" w:space="0" w:color="auto"/>
            </w:tcBorders>
            <w:vAlign w:val="center"/>
          </w:tcPr>
          <w:p w14:paraId="053F17D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-1.34%</w:t>
            </w:r>
          </w:p>
        </w:tc>
        <w:tc>
          <w:tcPr>
            <w:tcW w:w="1377" w:type="dxa"/>
            <w:tcBorders>
              <w:top w:val="single" w:sz="2" w:space="0" w:color="auto"/>
              <w:left w:val="single" w:sz="2" w:space="0" w:color="auto"/>
              <w:bottom w:val="single" w:sz="2" w:space="0" w:color="auto"/>
              <w:right w:val="single" w:sz="2" w:space="0" w:color="auto"/>
            </w:tcBorders>
            <w:vAlign w:val="center"/>
          </w:tcPr>
          <w:p w14:paraId="60825F3B" w14:textId="77777777" w:rsidR="006C011D" w:rsidRPr="005A284F" w:rsidRDefault="006C011D">
            <w:pPr>
              <w:spacing w:after="0" w:line="240" w:lineRule="exact"/>
              <w:rPr>
                <w:rFonts w:ascii="Times New Roman" w:eastAsia="宋体" w:hAnsi="Times New Roman" w:cs="Times New Roman"/>
                <w:sz w:val="18"/>
                <w:szCs w:val="18"/>
              </w:rPr>
            </w:pPr>
          </w:p>
        </w:tc>
      </w:tr>
      <w:tr w:rsidR="006C011D" w:rsidRPr="005A284F" w14:paraId="65905C0A" w14:textId="77777777" w:rsidTr="00F97F7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4E30EE5"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固定资产</w:t>
            </w:r>
          </w:p>
        </w:tc>
        <w:tc>
          <w:tcPr>
            <w:tcW w:w="1549" w:type="dxa"/>
            <w:tcBorders>
              <w:top w:val="single" w:sz="2" w:space="0" w:color="auto"/>
              <w:left w:val="single" w:sz="2" w:space="0" w:color="auto"/>
              <w:bottom w:val="single" w:sz="2" w:space="0" w:color="auto"/>
              <w:right w:val="single" w:sz="2" w:space="0" w:color="auto"/>
            </w:tcBorders>
            <w:vAlign w:val="center"/>
          </w:tcPr>
          <w:p w14:paraId="65BF173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2,307,204,546.25</w:t>
            </w:r>
          </w:p>
        </w:tc>
        <w:tc>
          <w:tcPr>
            <w:tcW w:w="1276" w:type="dxa"/>
            <w:tcBorders>
              <w:top w:val="single" w:sz="2" w:space="0" w:color="auto"/>
              <w:left w:val="single" w:sz="2" w:space="0" w:color="auto"/>
              <w:bottom w:val="single" w:sz="2" w:space="0" w:color="auto"/>
              <w:right w:val="single" w:sz="2" w:space="0" w:color="auto"/>
            </w:tcBorders>
            <w:vAlign w:val="center"/>
          </w:tcPr>
          <w:p w14:paraId="6EEAA9B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39.84%</w:t>
            </w:r>
          </w:p>
        </w:tc>
        <w:tc>
          <w:tcPr>
            <w:tcW w:w="1559" w:type="dxa"/>
            <w:tcBorders>
              <w:top w:val="single" w:sz="2" w:space="0" w:color="auto"/>
              <w:left w:val="single" w:sz="2" w:space="0" w:color="auto"/>
              <w:bottom w:val="single" w:sz="2" w:space="0" w:color="auto"/>
              <w:right w:val="single" w:sz="2" w:space="0" w:color="auto"/>
            </w:tcBorders>
            <w:vAlign w:val="center"/>
          </w:tcPr>
          <w:p w14:paraId="3B7EB52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2,369,509,841.69</w:t>
            </w:r>
          </w:p>
        </w:tc>
        <w:tc>
          <w:tcPr>
            <w:tcW w:w="1276" w:type="dxa"/>
            <w:tcBorders>
              <w:top w:val="single" w:sz="2" w:space="0" w:color="auto"/>
              <w:left w:val="single" w:sz="2" w:space="0" w:color="auto"/>
              <w:bottom w:val="single" w:sz="2" w:space="0" w:color="auto"/>
              <w:right w:val="single" w:sz="2" w:space="0" w:color="auto"/>
            </w:tcBorders>
            <w:vAlign w:val="center"/>
          </w:tcPr>
          <w:p w14:paraId="06F8EFB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40.30%</w:t>
            </w:r>
          </w:p>
        </w:tc>
        <w:tc>
          <w:tcPr>
            <w:tcW w:w="1225" w:type="dxa"/>
            <w:tcBorders>
              <w:top w:val="single" w:sz="2" w:space="0" w:color="auto"/>
              <w:left w:val="single" w:sz="2" w:space="0" w:color="auto"/>
              <w:bottom w:val="single" w:sz="2" w:space="0" w:color="auto"/>
              <w:right w:val="single" w:sz="2" w:space="0" w:color="auto"/>
            </w:tcBorders>
            <w:vAlign w:val="center"/>
          </w:tcPr>
          <w:p w14:paraId="17100E3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-0.46%</w:t>
            </w:r>
          </w:p>
        </w:tc>
        <w:tc>
          <w:tcPr>
            <w:tcW w:w="1377" w:type="dxa"/>
            <w:tcBorders>
              <w:top w:val="single" w:sz="2" w:space="0" w:color="auto"/>
              <w:left w:val="single" w:sz="2" w:space="0" w:color="auto"/>
              <w:bottom w:val="single" w:sz="2" w:space="0" w:color="auto"/>
              <w:right w:val="single" w:sz="2" w:space="0" w:color="auto"/>
            </w:tcBorders>
            <w:vAlign w:val="center"/>
          </w:tcPr>
          <w:p w14:paraId="5DFD9D82" w14:textId="77777777" w:rsidR="006C011D" w:rsidRPr="005A284F" w:rsidRDefault="006C011D">
            <w:pPr>
              <w:spacing w:after="0" w:line="240" w:lineRule="exact"/>
              <w:rPr>
                <w:rFonts w:ascii="Times New Roman" w:eastAsia="宋体" w:hAnsi="Times New Roman" w:cs="Times New Roman"/>
                <w:sz w:val="18"/>
                <w:szCs w:val="18"/>
              </w:rPr>
            </w:pPr>
          </w:p>
        </w:tc>
      </w:tr>
      <w:tr w:rsidR="006C011D" w:rsidRPr="005A284F" w14:paraId="5F1D8E63" w14:textId="77777777" w:rsidTr="00F97F7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E27E756"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在建工程</w:t>
            </w:r>
          </w:p>
        </w:tc>
        <w:tc>
          <w:tcPr>
            <w:tcW w:w="1549" w:type="dxa"/>
            <w:tcBorders>
              <w:top w:val="single" w:sz="2" w:space="0" w:color="auto"/>
              <w:left w:val="single" w:sz="2" w:space="0" w:color="auto"/>
              <w:bottom w:val="single" w:sz="2" w:space="0" w:color="auto"/>
              <w:right w:val="single" w:sz="2" w:space="0" w:color="auto"/>
            </w:tcBorders>
            <w:vAlign w:val="center"/>
          </w:tcPr>
          <w:p w14:paraId="0BE2CA2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261,288,623.08</w:t>
            </w:r>
          </w:p>
        </w:tc>
        <w:tc>
          <w:tcPr>
            <w:tcW w:w="1276" w:type="dxa"/>
            <w:tcBorders>
              <w:top w:val="single" w:sz="2" w:space="0" w:color="auto"/>
              <w:left w:val="single" w:sz="2" w:space="0" w:color="auto"/>
              <w:bottom w:val="single" w:sz="2" w:space="0" w:color="auto"/>
              <w:right w:val="single" w:sz="2" w:space="0" w:color="auto"/>
            </w:tcBorders>
            <w:vAlign w:val="center"/>
          </w:tcPr>
          <w:p w14:paraId="1672E49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4.51%</w:t>
            </w:r>
          </w:p>
        </w:tc>
        <w:tc>
          <w:tcPr>
            <w:tcW w:w="1559" w:type="dxa"/>
            <w:tcBorders>
              <w:top w:val="single" w:sz="2" w:space="0" w:color="auto"/>
              <w:left w:val="single" w:sz="2" w:space="0" w:color="auto"/>
              <w:bottom w:val="single" w:sz="2" w:space="0" w:color="auto"/>
              <w:right w:val="single" w:sz="2" w:space="0" w:color="auto"/>
            </w:tcBorders>
            <w:vAlign w:val="center"/>
          </w:tcPr>
          <w:p w14:paraId="50B8FA5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254,397,411.06</w:t>
            </w:r>
          </w:p>
        </w:tc>
        <w:tc>
          <w:tcPr>
            <w:tcW w:w="1276" w:type="dxa"/>
            <w:tcBorders>
              <w:top w:val="single" w:sz="2" w:space="0" w:color="auto"/>
              <w:left w:val="single" w:sz="2" w:space="0" w:color="auto"/>
              <w:bottom w:val="single" w:sz="2" w:space="0" w:color="auto"/>
              <w:right w:val="single" w:sz="2" w:space="0" w:color="auto"/>
            </w:tcBorders>
            <w:vAlign w:val="center"/>
          </w:tcPr>
          <w:p w14:paraId="63694C0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4.33%</w:t>
            </w:r>
          </w:p>
        </w:tc>
        <w:tc>
          <w:tcPr>
            <w:tcW w:w="1225" w:type="dxa"/>
            <w:tcBorders>
              <w:top w:val="single" w:sz="2" w:space="0" w:color="auto"/>
              <w:left w:val="single" w:sz="2" w:space="0" w:color="auto"/>
              <w:bottom w:val="single" w:sz="2" w:space="0" w:color="auto"/>
              <w:right w:val="single" w:sz="2" w:space="0" w:color="auto"/>
            </w:tcBorders>
            <w:vAlign w:val="center"/>
          </w:tcPr>
          <w:p w14:paraId="5997642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0.18%</w:t>
            </w:r>
          </w:p>
        </w:tc>
        <w:tc>
          <w:tcPr>
            <w:tcW w:w="1377" w:type="dxa"/>
            <w:tcBorders>
              <w:top w:val="single" w:sz="2" w:space="0" w:color="auto"/>
              <w:left w:val="single" w:sz="2" w:space="0" w:color="auto"/>
              <w:bottom w:val="single" w:sz="2" w:space="0" w:color="auto"/>
              <w:right w:val="single" w:sz="2" w:space="0" w:color="auto"/>
            </w:tcBorders>
            <w:vAlign w:val="center"/>
          </w:tcPr>
          <w:p w14:paraId="1FE9959E" w14:textId="77777777" w:rsidR="006C011D" w:rsidRPr="005A284F" w:rsidRDefault="006C011D">
            <w:pPr>
              <w:spacing w:after="0" w:line="240" w:lineRule="exact"/>
              <w:rPr>
                <w:rFonts w:ascii="Times New Roman" w:eastAsia="宋体" w:hAnsi="Times New Roman" w:cs="Times New Roman"/>
                <w:sz w:val="18"/>
                <w:szCs w:val="18"/>
              </w:rPr>
            </w:pPr>
          </w:p>
        </w:tc>
      </w:tr>
      <w:tr w:rsidR="006C011D" w:rsidRPr="005A284F" w14:paraId="4878D8FD" w14:textId="77777777" w:rsidTr="00F97F7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BEC4A74"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使用权资产</w:t>
            </w:r>
          </w:p>
        </w:tc>
        <w:tc>
          <w:tcPr>
            <w:tcW w:w="1549" w:type="dxa"/>
            <w:tcBorders>
              <w:top w:val="single" w:sz="2" w:space="0" w:color="auto"/>
              <w:left w:val="single" w:sz="2" w:space="0" w:color="auto"/>
              <w:bottom w:val="single" w:sz="2" w:space="0" w:color="auto"/>
              <w:right w:val="single" w:sz="2" w:space="0" w:color="auto"/>
            </w:tcBorders>
            <w:vAlign w:val="center"/>
          </w:tcPr>
          <w:p w14:paraId="02F0F97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127,832,442.94</w:t>
            </w:r>
          </w:p>
        </w:tc>
        <w:tc>
          <w:tcPr>
            <w:tcW w:w="1276" w:type="dxa"/>
            <w:tcBorders>
              <w:top w:val="single" w:sz="2" w:space="0" w:color="auto"/>
              <w:left w:val="single" w:sz="2" w:space="0" w:color="auto"/>
              <w:bottom w:val="single" w:sz="2" w:space="0" w:color="auto"/>
              <w:right w:val="single" w:sz="2" w:space="0" w:color="auto"/>
            </w:tcBorders>
            <w:vAlign w:val="center"/>
          </w:tcPr>
          <w:p w14:paraId="71A016D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2.21%</w:t>
            </w:r>
          </w:p>
        </w:tc>
        <w:tc>
          <w:tcPr>
            <w:tcW w:w="1559" w:type="dxa"/>
            <w:tcBorders>
              <w:top w:val="single" w:sz="2" w:space="0" w:color="auto"/>
              <w:left w:val="single" w:sz="2" w:space="0" w:color="auto"/>
              <w:bottom w:val="single" w:sz="2" w:space="0" w:color="auto"/>
              <w:right w:val="single" w:sz="2" w:space="0" w:color="auto"/>
            </w:tcBorders>
            <w:vAlign w:val="center"/>
          </w:tcPr>
          <w:p w14:paraId="2598F53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55,036,360.58</w:t>
            </w:r>
          </w:p>
        </w:tc>
        <w:tc>
          <w:tcPr>
            <w:tcW w:w="1276" w:type="dxa"/>
            <w:tcBorders>
              <w:top w:val="single" w:sz="2" w:space="0" w:color="auto"/>
              <w:left w:val="single" w:sz="2" w:space="0" w:color="auto"/>
              <w:bottom w:val="single" w:sz="2" w:space="0" w:color="auto"/>
              <w:right w:val="single" w:sz="2" w:space="0" w:color="auto"/>
            </w:tcBorders>
            <w:vAlign w:val="center"/>
          </w:tcPr>
          <w:p w14:paraId="78036DD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0.94%</w:t>
            </w:r>
          </w:p>
        </w:tc>
        <w:tc>
          <w:tcPr>
            <w:tcW w:w="1225" w:type="dxa"/>
            <w:tcBorders>
              <w:top w:val="single" w:sz="2" w:space="0" w:color="auto"/>
              <w:left w:val="single" w:sz="2" w:space="0" w:color="auto"/>
              <w:bottom w:val="single" w:sz="2" w:space="0" w:color="auto"/>
              <w:right w:val="single" w:sz="2" w:space="0" w:color="auto"/>
            </w:tcBorders>
            <w:vAlign w:val="center"/>
          </w:tcPr>
          <w:p w14:paraId="3699691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1.27%</w:t>
            </w:r>
          </w:p>
        </w:tc>
        <w:tc>
          <w:tcPr>
            <w:tcW w:w="1377" w:type="dxa"/>
            <w:tcBorders>
              <w:top w:val="single" w:sz="2" w:space="0" w:color="auto"/>
              <w:left w:val="single" w:sz="2" w:space="0" w:color="auto"/>
              <w:bottom w:val="single" w:sz="2" w:space="0" w:color="auto"/>
              <w:right w:val="single" w:sz="2" w:space="0" w:color="auto"/>
            </w:tcBorders>
            <w:vAlign w:val="center"/>
          </w:tcPr>
          <w:p w14:paraId="36612944" w14:textId="77777777" w:rsidR="006C011D" w:rsidRPr="005A284F" w:rsidRDefault="006C011D">
            <w:pPr>
              <w:spacing w:after="0" w:line="240" w:lineRule="exact"/>
              <w:rPr>
                <w:rFonts w:ascii="Times New Roman" w:eastAsia="宋体" w:hAnsi="Times New Roman" w:cs="Times New Roman"/>
                <w:sz w:val="18"/>
                <w:szCs w:val="18"/>
              </w:rPr>
            </w:pPr>
          </w:p>
        </w:tc>
      </w:tr>
      <w:tr w:rsidR="006C011D" w:rsidRPr="005A284F" w14:paraId="034F81B4" w14:textId="77777777" w:rsidTr="00F97F7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F294018"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短期借款</w:t>
            </w:r>
          </w:p>
        </w:tc>
        <w:tc>
          <w:tcPr>
            <w:tcW w:w="1549" w:type="dxa"/>
            <w:tcBorders>
              <w:top w:val="single" w:sz="2" w:space="0" w:color="auto"/>
              <w:left w:val="single" w:sz="2" w:space="0" w:color="auto"/>
              <w:bottom w:val="single" w:sz="2" w:space="0" w:color="auto"/>
              <w:right w:val="single" w:sz="2" w:space="0" w:color="auto"/>
            </w:tcBorders>
            <w:vAlign w:val="center"/>
          </w:tcPr>
          <w:p w14:paraId="4C8CBEE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1,550,932,131.95</w:t>
            </w:r>
          </w:p>
        </w:tc>
        <w:tc>
          <w:tcPr>
            <w:tcW w:w="1276" w:type="dxa"/>
            <w:tcBorders>
              <w:top w:val="single" w:sz="2" w:space="0" w:color="auto"/>
              <w:left w:val="single" w:sz="2" w:space="0" w:color="auto"/>
              <w:bottom w:val="single" w:sz="2" w:space="0" w:color="auto"/>
              <w:right w:val="single" w:sz="2" w:space="0" w:color="auto"/>
            </w:tcBorders>
            <w:vAlign w:val="center"/>
          </w:tcPr>
          <w:p w14:paraId="4E85344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26.78%</w:t>
            </w:r>
          </w:p>
        </w:tc>
        <w:tc>
          <w:tcPr>
            <w:tcW w:w="1559" w:type="dxa"/>
            <w:tcBorders>
              <w:top w:val="single" w:sz="2" w:space="0" w:color="auto"/>
              <w:left w:val="single" w:sz="2" w:space="0" w:color="auto"/>
              <w:bottom w:val="single" w:sz="2" w:space="0" w:color="auto"/>
              <w:right w:val="single" w:sz="2" w:space="0" w:color="auto"/>
            </w:tcBorders>
            <w:vAlign w:val="center"/>
          </w:tcPr>
          <w:p w14:paraId="6733921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1,629,824,663.47</w:t>
            </w:r>
          </w:p>
        </w:tc>
        <w:tc>
          <w:tcPr>
            <w:tcW w:w="1276" w:type="dxa"/>
            <w:tcBorders>
              <w:top w:val="single" w:sz="2" w:space="0" w:color="auto"/>
              <w:left w:val="single" w:sz="2" w:space="0" w:color="auto"/>
              <w:bottom w:val="single" w:sz="2" w:space="0" w:color="auto"/>
              <w:right w:val="single" w:sz="2" w:space="0" w:color="auto"/>
            </w:tcBorders>
            <w:vAlign w:val="center"/>
          </w:tcPr>
          <w:p w14:paraId="407921D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27.72%</w:t>
            </w:r>
          </w:p>
        </w:tc>
        <w:tc>
          <w:tcPr>
            <w:tcW w:w="1225" w:type="dxa"/>
            <w:tcBorders>
              <w:top w:val="single" w:sz="2" w:space="0" w:color="auto"/>
              <w:left w:val="single" w:sz="2" w:space="0" w:color="auto"/>
              <w:bottom w:val="single" w:sz="2" w:space="0" w:color="auto"/>
              <w:right w:val="single" w:sz="2" w:space="0" w:color="auto"/>
            </w:tcBorders>
            <w:vAlign w:val="center"/>
          </w:tcPr>
          <w:p w14:paraId="02146E5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-0.94%</w:t>
            </w:r>
          </w:p>
        </w:tc>
        <w:tc>
          <w:tcPr>
            <w:tcW w:w="1377" w:type="dxa"/>
            <w:tcBorders>
              <w:top w:val="single" w:sz="2" w:space="0" w:color="auto"/>
              <w:left w:val="single" w:sz="2" w:space="0" w:color="auto"/>
              <w:bottom w:val="single" w:sz="2" w:space="0" w:color="auto"/>
              <w:right w:val="single" w:sz="2" w:space="0" w:color="auto"/>
            </w:tcBorders>
            <w:vAlign w:val="center"/>
          </w:tcPr>
          <w:p w14:paraId="64D966F4" w14:textId="77777777" w:rsidR="006C011D" w:rsidRPr="005A284F" w:rsidRDefault="006C011D">
            <w:pPr>
              <w:spacing w:after="0" w:line="240" w:lineRule="exact"/>
              <w:rPr>
                <w:rFonts w:ascii="Times New Roman" w:eastAsia="宋体" w:hAnsi="Times New Roman" w:cs="Times New Roman"/>
                <w:sz w:val="18"/>
                <w:szCs w:val="18"/>
              </w:rPr>
            </w:pPr>
          </w:p>
        </w:tc>
      </w:tr>
      <w:tr w:rsidR="006C011D" w:rsidRPr="005A284F" w14:paraId="63815695" w14:textId="77777777" w:rsidTr="00F97F7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C2F7F74"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合同负债</w:t>
            </w:r>
          </w:p>
        </w:tc>
        <w:tc>
          <w:tcPr>
            <w:tcW w:w="1549" w:type="dxa"/>
            <w:tcBorders>
              <w:top w:val="single" w:sz="2" w:space="0" w:color="auto"/>
              <w:left w:val="single" w:sz="2" w:space="0" w:color="auto"/>
              <w:bottom w:val="single" w:sz="2" w:space="0" w:color="auto"/>
              <w:right w:val="single" w:sz="2" w:space="0" w:color="auto"/>
            </w:tcBorders>
            <w:vAlign w:val="center"/>
          </w:tcPr>
          <w:p w14:paraId="65394D4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121,102,530.59</w:t>
            </w:r>
          </w:p>
        </w:tc>
        <w:tc>
          <w:tcPr>
            <w:tcW w:w="1276" w:type="dxa"/>
            <w:tcBorders>
              <w:top w:val="single" w:sz="2" w:space="0" w:color="auto"/>
              <w:left w:val="single" w:sz="2" w:space="0" w:color="auto"/>
              <w:bottom w:val="single" w:sz="2" w:space="0" w:color="auto"/>
              <w:right w:val="single" w:sz="2" w:space="0" w:color="auto"/>
            </w:tcBorders>
            <w:vAlign w:val="center"/>
          </w:tcPr>
          <w:p w14:paraId="62574A6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2.09%</w:t>
            </w:r>
          </w:p>
        </w:tc>
        <w:tc>
          <w:tcPr>
            <w:tcW w:w="1559" w:type="dxa"/>
            <w:tcBorders>
              <w:top w:val="single" w:sz="2" w:space="0" w:color="auto"/>
              <w:left w:val="single" w:sz="2" w:space="0" w:color="auto"/>
              <w:bottom w:val="single" w:sz="2" w:space="0" w:color="auto"/>
              <w:right w:val="single" w:sz="2" w:space="0" w:color="auto"/>
            </w:tcBorders>
            <w:vAlign w:val="center"/>
          </w:tcPr>
          <w:p w14:paraId="49CD490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119,376,031.80</w:t>
            </w:r>
          </w:p>
        </w:tc>
        <w:tc>
          <w:tcPr>
            <w:tcW w:w="1276" w:type="dxa"/>
            <w:tcBorders>
              <w:top w:val="single" w:sz="2" w:space="0" w:color="auto"/>
              <w:left w:val="single" w:sz="2" w:space="0" w:color="auto"/>
              <w:bottom w:val="single" w:sz="2" w:space="0" w:color="auto"/>
              <w:right w:val="single" w:sz="2" w:space="0" w:color="auto"/>
            </w:tcBorders>
            <w:vAlign w:val="center"/>
          </w:tcPr>
          <w:p w14:paraId="63783B1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2.03%</w:t>
            </w:r>
          </w:p>
        </w:tc>
        <w:tc>
          <w:tcPr>
            <w:tcW w:w="1225" w:type="dxa"/>
            <w:tcBorders>
              <w:top w:val="single" w:sz="2" w:space="0" w:color="auto"/>
              <w:left w:val="single" w:sz="2" w:space="0" w:color="auto"/>
              <w:bottom w:val="single" w:sz="2" w:space="0" w:color="auto"/>
              <w:right w:val="single" w:sz="2" w:space="0" w:color="auto"/>
            </w:tcBorders>
            <w:vAlign w:val="center"/>
          </w:tcPr>
          <w:p w14:paraId="167F79C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0.06%</w:t>
            </w:r>
          </w:p>
        </w:tc>
        <w:tc>
          <w:tcPr>
            <w:tcW w:w="1377" w:type="dxa"/>
            <w:tcBorders>
              <w:top w:val="single" w:sz="2" w:space="0" w:color="auto"/>
              <w:left w:val="single" w:sz="2" w:space="0" w:color="auto"/>
              <w:bottom w:val="single" w:sz="2" w:space="0" w:color="auto"/>
              <w:right w:val="single" w:sz="2" w:space="0" w:color="auto"/>
            </w:tcBorders>
            <w:vAlign w:val="center"/>
          </w:tcPr>
          <w:p w14:paraId="336FCFBD" w14:textId="77777777" w:rsidR="006C011D" w:rsidRPr="005A284F" w:rsidRDefault="006C011D">
            <w:pPr>
              <w:spacing w:after="0" w:line="240" w:lineRule="exact"/>
              <w:rPr>
                <w:rFonts w:ascii="Times New Roman" w:eastAsia="宋体" w:hAnsi="Times New Roman" w:cs="Times New Roman"/>
                <w:sz w:val="18"/>
                <w:szCs w:val="18"/>
              </w:rPr>
            </w:pPr>
          </w:p>
        </w:tc>
      </w:tr>
      <w:tr w:rsidR="006C011D" w:rsidRPr="005A284F" w14:paraId="22BA5F2B" w14:textId="77777777" w:rsidTr="00F97F7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3E3728F"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长期借款</w:t>
            </w:r>
          </w:p>
        </w:tc>
        <w:tc>
          <w:tcPr>
            <w:tcW w:w="1549" w:type="dxa"/>
            <w:tcBorders>
              <w:top w:val="single" w:sz="2" w:space="0" w:color="auto"/>
              <w:left w:val="single" w:sz="2" w:space="0" w:color="auto"/>
              <w:bottom w:val="single" w:sz="2" w:space="0" w:color="auto"/>
              <w:right w:val="single" w:sz="2" w:space="0" w:color="auto"/>
            </w:tcBorders>
            <w:vAlign w:val="center"/>
          </w:tcPr>
          <w:p w14:paraId="77AECF6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225,600,541.91</w:t>
            </w:r>
          </w:p>
        </w:tc>
        <w:tc>
          <w:tcPr>
            <w:tcW w:w="1276" w:type="dxa"/>
            <w:tcBorders>
              <w:top w:val="single" w:sz="2" w:space="0" w:color="auto"/>
              <w:left w:val="single" w:sz="2" w:space="0" w:color="auto"/>
              <w:bottom w:val="single" w:sz="2" w:space="0" w:color="auto"/>
              <w:right w:val="single" w:sz="2" w:space="0" w:color="auto"/>
            </w:tcBorders>
            <w:vAlign w:val="center"/>
          </w:tcPr>
          <w:p w14:paraId="0856D12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3.90%</w:t>
            </w:r>
          </w:p>
        </w:tc>
        <w:tc>
          <w:tcPr>
            <w:tcW w:w="1559" w:type="dxa"/>
            <w:tcBorders>
              <w:top w:val="single" w:sz="2" w:space="0" w:color="auto"/>
              <w:left w:val="single" w:sz="2" w:space="0" w:color="auto"/>
              <w:bottom w:val="single" w:sz="2" w:space="0" w:color="auto"/>
              <w:right w:val="single" w:sz="2" w:space="0" w:color="auto"/>
            </w:tcBorders>
            <w:vAlign w:val="center"/>
          </w:tcPr>
          <w:p w14:paraId="05A1691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272,316,541.91</w:t>
            </w:r>
          </w:p>
        </w:tc>
        <w:tc>
          <w:tcPr>
            <w:tcW w:w="1276" w:type="dxa"/>
            <w:tcBorders>
              <w:top w:val="single" w:sz="2" w:space="0" w:color="auto"/>
              <w:left w:val="single" w:sz="2" w:space="0" w:color="auto"/>
              <w:bottom w:val="single" w:sz="2" w:space="0" w:color="auto"/>
              <w:right w:val="single" w:sz="2" w:space="0" w:color="auto"/>
            </w:tcBorders>
            <w:vAlign w:val="center"/>
          </w:tcPr>
          <w:p w14:paraId="1C49F84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4.63%</w:t>
            </w:r>
          </w:p>
        </w:tc>
        <w:tc>
          <w:tcPr>
            <w:tcW w:w="1225" w:type="dxa"/>
            <w:tcBorders>
              <w:top w:val="single" w:sz="2" w:space="0" w:color="auto"/>
              <w:left w:val="single" w:sz="2" w:space="0" w:color="auto"/>
              <w:bottom w:val="single" w:sz="2" w:space="0" w:color="auto"/>
              <w:right w:val="single" w:sz="2" w:space="0" w:color="auto"/>
            </w:tcBorders>
            <w:vAlign w:val="center"/>
          </w:tcPr>
          <w:p w14:paraId="5CC713A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-0.73%</w:t>
            </w:r>
          </w:p>
        </w:tc>
        <w:tc>
          <w:tcPr>
            <w:tcW w:w="1377" w:type="dxa"/>
            <w:tcBorders>
              <w:top w:val="single" w:sz="2" w:space="0" w:color="auto"/>
              <w:left w:val="single" w:sz="2" w:space="0" w:color="auto"/>
              <w:bottom w:val="single" w:sz="2" w:space="0" w:color="auto"/>
              <w:right w:val="single" w:sz="2" w:space="0" w:color="auto"/>
            </w:tcBorders>
            <w:vAlign w:val="center"/>
          </w:tcPr>
          <w:p w14:paraId="5C4A1FFF" w14:textId="77777777" w:rsidR="006C011D" w:rsidRPr="005A284F" w:rsidRDefault="006C011D">
            <w:pPr>
              <w:spacing w:after="0" w:line="240" w:lineRule="exact"/>
              <w:rPr>
                <w:rFonts w:ascii="Times New Roman" w:eastAsia="宋体" w:hAnsi="Times New Roman" w:cs="Times New Roman"/>
                <w:sz w:val="18"/>
                <w:szCs w:val="18"/>
              </w:rPr>
            </w:pPr>
          </w:p>
        </w:tc>
      </w:tr>
      <w:tr w:rsidR="006C011D" w:rsidRPr="005A284F" w14:paraId="1FAE3C9D" w14:textId="77777777" w:rsidTr="00F97F7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2E1ACD1"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租赁负债</w:t>
            </w:r>
          </w:p>
        </w:tc>
        <w:tc>
          <w:tcPr>
            <w:tcW w:w="1549" w:type="dxa"/>
            <w:tcBorders>
              <w:top w:val="single" w:sz="2" w:space="0" w:color="auto"/>
              <w:left w:val="single" w:sz="2" w:space="0" w:color="auto"/>
              <w:bottom w:val="single" w:sz="2" w:space="0" w:color="auto"/>
              <w:right w:val="single" w:sz="2" w:space="0" w:color="auto"/>
            </w:tcBorders>
            <w:vAlign w:val="center"/>
          </w:tcPr>
          <w:p w14:paraId="06AFB09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122,491,807.02</w:t>
            </w:r>
          </w:p>
        </w:tc>
        <w:tc>
          <w:tcPr>
            <w:tcW w:w="1276" w:type="dxa"/>
            <w:tcBorders>
              <w:top w:val="single" w:sz="2" w:space="0" w:color="auto"/>
              <w:left w:val="single" w:sz="2" w:space="0" w:color="auto"/>
              <w:bottom w:val="single" w:sz="2" w:space="0" w:color="auto"/>
              <w:right w:val="single" w:sz="2" w:space="0" w:color="auto"/>
            </w:tcBorders>
            <w:vAlign w:val="center"/>
          </w:tcPr>
          <w:p w14:paraId="1D170C9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2.11%</w:t>
            </w:r>
          </w:p>
        </w:tc>
        <w:tc>
          <w:tcPr>
            <w:tcW w:w="1559" w:type="dxa"/>
            <w:tcBorders>
              <w:top w:val="single" w:sz="2" w:space="0" w:color="auto"/>
              <w:left w:val="single" w:sz="2" w:space="0" w:color="auto"/>
              <w:bottom w:val="single" w:sz="2" w:space="0" w:color="auto"/>
              <w:right w:val="single" w:sz="2" w:space="0" w:color="auto"/>
            </w:tcBorders>
            <w:vAlign w:val="center"/>
          </w:tcPr>
          <w:p w14:paraId="184BC8D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48,114,380.73</w:t>
            </w:r>
          </w:p>
        </w:tc>
        <w:tc>
          <w:tcPr>
            <w:tcW w:w="1276" w:type="dxa"/>
            <w:tcBorders>
              <w:top w:val="single" w:sz="2" w:space="0" w:color="auto"/>
              <w:left w:val="single" w:sz="2" w:space="0" w:color="auto"/>
              <w:bottom w:val="single" w:sz="2" w:space="0" w:color="auto"/>
              <w:right w:val="single" w:sz="2" w:space="0" w:color="auto"/>
            </w:tcBorders>
            <w:vAlign w:val="center"/>
          </w:tcPr>
          <w:p w14:paraId="2E659A5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0.82%</w:t>
            </w:r>
          </w:p>
        </w:tc>
        <w:tc>
          <w:tcPr>
            <w:tcW w:w="1225" w:type="dxa"/>
            <w:tcBorders>
              <w:top w:val="single" w:sz="2" w:space="0" w:color="auto"/>
              <w:left w:val="single" w:sz="2" w:space="0" w:color="auto"/>
              <w:bottom w:val="single" w:sz="2" w:space="0" w:color="auto"/>
              <w:right w:val="single" w:sz="2" w:space="0" w:color="auto"/>
            </w:tcBorders>
            <w:vAlign w:val="center"/>
          </w:tcPr>
          <w:p w14:paraId="0ADF674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1.29%</w:t>
            </w:r>
          </w:p>
        </w:tc>
        <w:tc>
          <w:tcPr>
            <w:tcW w:w="1377" w:type="dxa"/>
            <w:tcBorders>
              <w:top w:val="single" w:sz="2" w:space="0" w:color="auto"/>
              <w:left w:val="single" w:sz="2" w:space="0" w:color="auto"/>
              <w:bottom w:val="single" w:sz="2" w:space="0" w:color="auto"/>
              <w:right w:val="single" w:sz="2" w:space="0" w:color="auto"/>
            </w:tcBorders>
            <w:vAlign w:val="center"/>
          </w:tcPr>
          <w:p w14:paraId="37890C6B" w14:textId="77777777" w:rsidR="006C011D" w:rsidRPr="005A284F" w:rsidRDefault="006C011D">
            <w:pPr>
              <w:spacing w:after="0" w:line="240" w:lineRule="exact"/>
              <w:rPr>
                <w:rFonts w:ascii="Times New Roman" w:eastAsia="宋体" w:hAnsi="Times New Roman" w:cs="Times New Roman"/>
                <w:sz w:val="18"/>
                <w:szCs w:val="18"/>
              </w:rPr>
            </w:pPr>
          </w:p>
        </w:tc>
      </w:tr>
    </w:tbl>
    <w:p w14:paraId="7A582168" w14:textId="77777777" w:rsidR="006C011D" w:rsidRPr="005A284F" w:rsidRDefault="00000000">
      <w:pPr>
        <w:pStyle w:val="3"/>
        <w:spacing w:line="280" w:lineRule="exact"/>
        <w:jc w:val="left"/>
        <w:rPr>
          <w:rFonts w:ascii="Times New Roman" w:hAnsi="Times New Roman" w:cs="Times New Roman"/>
          <w:b/>
          <w:bCs/>
        </w:rPr>
      </w:pPr>
      <w:bookmarkStart w:id="20" w:name="_Toc988909"/>
      <w:r w:rsidRPr="005A284F">
        <w:rPr>
          <w:rFonts w:ascii="Times New Roman" w:hAnsi="Times New Roman" w:cs="Times New Roman"/>
          <w:b/>
          <w:bCs/>
        </w:rPr>
        <w:t>2</w:t>
      </w:r>
      <w:r w:rsidRPr="005A284F">
        <w:rPr>
          <w:rFonts w:ascii="Times New Roman" w:hAnsi="Times New Roman" w:cs="Times New Roman"/>
          <w:b/>
          <w:bCs/>
        </w:rPr>
        <w:t>、主要境外资产情况</w:t>
      </w:r>
      <w:bookmarkEnd w:id="20"/>
    </w:p>
    <w:p w14:paraId="220692D6" w14:textId="77777777" w:rsidR="006C011D" w:rsidRPr="00F97F74" w:rsidRDefault="00000000">
      <w:pPr>
        <w:spacing w:before="40" w:after="40" w:line="240" w:lineRule="exact"/>
        <w:rPr>
          <w:rFonts w:ascii="宋体" w:eastAsia="宋体" w:hAnsi="宋体" w:cs="Times New Roman" w:hint="eastAsia"/>
          <w:sz w:val="18"/>
          <w:szCs w:val="18"/>
        </w:rPr>
      </w:pPr>
      <w:r w:rsidRPr="00F97F74">
        <w:rPr>
          <w:rFonts w:ascii="宋体" w:eastAsia="宋体" w:hAnsi="宋体" w:cs="Times New Roman"/>
          <w:sz w:val="18"/>
          <w:szCs w:val="18"/>
        </w:rPr>
        <w:t xml:space="preserve">□适用 </w:t>
      </w:r>
      <w:r w:rsidRPr="00F97F74">
        <w:rPr>
          <w:rFonts w:ascii="宋体" w:eastAsia="宋体" w:hAnsi="宋体" w:cs="Times New Roman"/>
          <w:sz w:val="18"/>
          <w:szCs w:val="18"/>
        </w:rPr>
        <w:sym w:font="Wingdings 2" w:char="F052"/>
      </w:r>
      <w:r w:rsidRPr="00F97F74">
        <w:rPr>
          <w:rFonts w:ascii="宋体" w:eastAsia="宋体" w:hAnsi="宋体" w:cs="Times New Roman"/>
          <w:sz w:val="18"/>
          <w:szCs w:val="18"/>
        </w:rPr>
        <w:t>不适用</w:t>
      </w:r>
    </w:p>
    <w:p w14:paraId="713BDF8D" w14:textId="77777777" w:rsidR="006C011D" w:rsidRPr="005A284F" w:rsidRDefault="00000000">
      <w:pPr>
        <w:pStyle w:val="3"/>
        <w:spacing w:line="280" w:lineRule="exact"/>
        <w:jc w:val="left"/>
        <w:rPr>
          <w:rFonts w:ascii="Times New Roman" w:hAnsi="Times New Roman" w:cs="Times New Roman"/>
          <w:b/>
          <w:bCs/>
        </w:rPr>
      </w:pPr>
      <w:bookmarkStart w:id="21" w:name="_Toc988910"/>
      <w:r w:rsidRPr="005A284F">
        <w:rPr>
          <w:rFonts w:ascii="Times New Roman" w:hAnsi="Times New Roman" w:cs="Times New Roman"/>
          <w:b/>
          <w:bCs/>
        </w:rPr>
        <w:t>3</w:t>
      </w:r>
      <w:r w:rsidRPr="005A284F">
        <w:rPr>
          <w:rFonts w:ascii="Times New Roman" w:hAnsi="Times New Roman" w:cs="Times New Roman"/>
          <w:b/>
          <w:bCs/>
        </w:rPr>
        <w:t>、以公允价值计量的资产和负债</w:t>
      </w:r>
      <w:bookmarkEnd w:id="21"/>
    </w:p>
    <w:p w14:paraId="20FC0CD3" w14:textId="77777777" w:rsidR="006C011D" w:rsidRPr="00F97F74" w:rsidRDefault="00000000">
      <w:pPr>
        <w:spacing w:before="40" w:after="40" w:line="240" w:lineRule="exact"/>
        <w:rPr>
          <w:rFonts w:ascii="宋体" w:eastAsia="宋体" w:hAnsi="宋体" w:cs="Times New Roman" w:hint="eastAsia"/>
          <w:sz w:val="18"/>
          <w:szCs w:val="18"/>
        </w:rPr>
      </w:pPr>
      <w:r w:rsidRPr="00F97F74">
        <w:rPr>
          <w:rFonts w:ascii="宋体" w:eastAsia="宋体" w:hAnsi="宋体" w:cs="Times New Roman"/>
          <w:sz w:val="18"/>
          <w:szCs w:val="18"/>
        </w:rPr>
        <w:t xml:space="preserve">□适用 </w:t>
      </w:r>
      <w:r w:rsidRPr="00F97F74">
        <w:rPr>
          <w:rFonts w:ascii="宋体" w:eastAsia="宋体" w:hAnsi="宋体" w:cs="Times New Roman"/>
          <w:sz w:val="18"/>
          <w:szCs w:val="18"/>
        </w:rPr>
        <w:sym w:font="Wingdings 2" w:char="F052"/>
      </w:r>
      <w:r w:rsidRPr="00F97F74">
        <w:rPr>
          <w:rFonts w:ascii="宋体" w:eastAsia="宋体" w:hAnsi="宋体" w:cs="Times New Roman"/>
          <w:sz w:val="18"/>
          <w:szCs w:val="18"/>
        </w:rPr>
        <w:t>不适用</w:t>
      </w:r>
    </w:p>
    <w:p w14:paraId="0084C403" w14:textId="77777777" w:rsidR="006C011D" w:rsidRPr="005A284F" w:rsidRDefault="00000000">
      <w:pPr>
        <w:pStyle w:val="3"/>
        <w:spacing w:line="280" w:lineRule="exact"/>
        <w:jc w:val="left"/>
        <w:rPr>
          <w:rFonts w:ascii="Times New Roman" w:hAnsi="Times New Roman" w:cs="Times New Roman"/>
          <w:b/>
          <w:bCs/>
        </w:rPr>
      </w:pPr>
      <w:bookmarkStart w:id="22" w:name="_Toc988911"/>
      <w:r w:rsidRPr="005A284F">
        <w:rPr>
          <w:rFonts w:ascii="Times New Roman" w:hAnsi="Times New Roman" w:cs="Times New Roman"/>
          <w:b/>
          <w:bCs/>
        </w:rPr>
        <w:t>4</w:t>
      </w:r>
      <w:r w:rsidRPr="005A284F">
        <w:rPr>
          <w:rFonts w:ascii="Times New Roman" w:hAnsi="Times New Roman" w:cs="Times New Roman"/>
          <w:b/>
          <w:bCs/>
        </w:rPr>
        <w:t>、截至报告期末的资产权利受限情况</w:t>
      </w:r>
      <w:bookmarkEnd w:id="22"/>
    </w:p>
    <w:p w14:paraId="006053E7" w14:textId="18F1412F" w:rsidR="000309B5" w:rsidRPr="005A284F" w:rsidRDefault="00000000" w:rsidP="00F97F74">
      <w:pPr>
        <w:pStyle w:val="a3"/>
        <w:spacing w:before="0" w:beforeAutospacing="0" w:after="0" w:afterAutospacing="0" w:line="276" w:lineRule="auto"/>
        <w:ind w:firstLineChars="200" w:firstLine="360"/>
        <w:divId w:val="366371966"/>
        <w:rPr>
          <w:rFonts w:ascii="Times New Roman" w:hAnsi="Times New Roman" w:cs="Times New Roman"/>
          <w:sz w:val="22"/>
          <w:szCs w:val="22"/>
        </w:rPr>
      </w:pPr>
      <w:r w:rsidRPr="005A284F">
        <w:rPr>
          <w:rFonts w:ascii="Times New Roman" w:hAnsi="Times New Roman" w:cs="Times New Roman"/>
          <w:sz w:val="18"/>
          <w:szCs w:val="18"/>
        </w:rPr>
        <w:t>货币资金承兑汇票保证金及定期存单</w:t>
      </w:r>
      <w:r w:rsidRPr="005A284F">
        <w:rPr>
          <w:rFonts w:ascii="Times New Roman" w:hAnsi="Times New Roman" w:cs="Times New Roman"/>
          <w:sz w:val="18"/>
          <w:szCs w:val="18"/>
        </w:rPr>
        <w:t>31,395.42</w:t>
      </w:r>
      <w:r w:rsidRPr="005A284F">
        <w:rPr>
          <w:rFonts w:ascii="Times New Roman" w:hAnsi="Times New Roman" w:cs="Times New Roman"/>
          <w:sz w:val="18"/>
          <w:szCs w:val="18"/>
        </w:rPr>
        <w:t>万元，因使用受限，不作为现金及现金等价物。</w:t>
      </w:r>
    </w:p>
    <w:p w14:paraId="0A7F69DD" w14:textId="77777777" w:rsidR="000309B5" w:rsidRPr="005A284F" w:rsidRDefault="00000000" w:rsidP="00F97F74">
      <w:pPr>
        <w:pStyle w:val="a3"/>
        <w:spacing w:before="0" w:beforeAutospacing="0" w:after="0" w:afterAutospacing="0" w:line="276" w:lineRule="auto"/>
        <w:ind w:firstLineChars="200" w:firstLine="360"/>
        <w:divId w:val="366371966"/>
        <w:rPr>
          <w:rFonts w:ascii="Times New Roman" w:hAnsi="Times New Roman" w:cs="Times New Roman"/>
          <w:sz w:val="22"/>
          <w:szCs w:val="22"/>
        </w:rPr>
      </w:pPr>
      <w:r w:rsidRPr="005A284F">
        <w:rPr>
          <w:rFonts w:ascii="Times New Roman" w:hAnsi="Times New Roman" w:cs="Times New Roman"/>
          <w:sz w:val="18"/>
          <w:szCs w:val="18"/>
        </w:rPr>
        <w:t>货币资金</w:t>
      </w:r>
      <w:r w:rsidRPr="005A284F">
        <w:rPr>
          <w:rFonts w:ascii="Times New Roman" w:hAnsi="Times New Roman" w:cs="Times New Roman"/>
          <w:sz w:val="18"/>
          <w:szCs w:val="18"/>
        </w:rPr>
        <w:t>809.88</w:t>
      </w:r>
      <w:r w:rsidRPr="005A284F">
        <w:rPr>
          <w:rFonts w:ascii="Times New Roman" w:hAnsi="Times New Roman" w:cs="Times New Roman"/>
          <w:sz w:val="18"/>
          <w:szCs w:val="18"/>
        </w:rPr>
        <w:t>万元，未决诉讼，使用受限。</w:t>
      </w:r>
    </w:p>
    <w:p w14:paraId="550CF0F3" w14:textId="77777777" w:rsidR="000309B5" w:rsidRPr="005A284F" w:rsidRDefault="00000000" w:rsidP="00F97F74">
      <w:pPr>
        <w:pStyle w:val="a3"/>
        <w:spacing w:before="0" w:beforeAutospacing="0" w:after="0" w:afterAutospacing="0" w:line="276" w:lineRule="auto"/>
        <w:ind w:firstLineChars="200" w:firstLine="360"/>
        <w:divId w:val="366371966"/>
        <w:rPr>
          <w:rFonts w:ascii="Times New Roman" w:hAnsi="Times New Roman" w:cs="Times New Roman"/>
          <w:sz w:val="22"/>
          <w:szCs w:val="22"/>
        </w:rPr>
      </w:pPr>
      <w:r w:rsidRPr="005A284F">
        <w:rPr>
          <w:rFonts w:ascii="Times New Roman" w:hAnsi="Times New Roman" w:cs="Times New Roman"/>
          <w:sz w:val="18"/>
          <w:szCs w:val="18"/>
        </w:rPr>
        <w:t>固定资产</w:t>
      </w:r>
      <w:r w:rsidRPr="005A284F">
        <w:rPr>
          <w:rFonts w:ascii="Times New Roman" w:hAnsi="Times New Roman" w:cs="Times New Roman"/>
          <w:sz w:val="18"/>
          <w:szCs w:val="18"/>
        </w:rPr>
        <w:t>44,045.15</w:t>
      </w:r>
      <w:r w:rsidRPr="005A284F">
        <w:rPr>
          <w:rFonts w:ascii="Times New Roman" w:hAnsi="Times New Roman" w:cs="Times New Roman"/>
          <w:sz w:val="18"/>
          <w:szCs w:val="18"/>
        </w:rPr>
        <w:t>万元，借款抵押，使用受限。</w:t>
      </w:r>
    </w:p>
    <w:p w14:paraId="6C848E6A" w14:textId="77777777" w:rsidR="000309B5" w:rsidRPr="005A284F" w:rsidRDefault="00000000" w:rsidP="00F97F74">
      <w:pPr>
        <w:pStyle w:val="a3"/>
        <w:spacing w:before="0" w:beforeAutospacing="0" w:after="0" w:afterAutospacing="0" w:line="276" w:lineRule="auto"/>
        <w:ind w:firstLineChars="200" w:firstLine="360"/>
        <w:divId w:val="366371966"/>
        <w:rPr>
          <w:rFonts w:ascii="Times New Roman" w:hAnsi="Times New Roman" w:cs="Times New Roman"/>
          <w:sz w:val="22"/>
          <w:szCs w:val="22"/>
        </w:rPr>
      </w:pPr>
      <w:r w:rsidRPr="005A284F">
        <w:rPr>
          <w:rFonts w:ascii="Times New Roman" w:hAnsi="Times New Roman" w:cs="Times New Roman"/>
          <w:sz w:val="18"/>
          <w:szCs w:val="18"/>
        </w:rPr>
        <w:t>在建工程</w:t>
      </w:r>
      <w:r w:rsidRPr="005A284F">
        <w:rPr>
          <w:rFonts w:ascii="Times New Roman" w:hAnsi="Times New Roman" w:cs="Times New Roman"/>
          <w:sz w:val="18"/>
          <w:szCs w:val="18"/>
        </w:rPr>
        <w:t>15,726.36</w:t>
      </w:r>
      <w:r w:rsidRPr="005A284F">
        <w:rPr>
          <w:rFonts w:ascii="Times New Roman" w:hAnsi="Times New Roman" w:cs="Times New Roman"/>
          <w:sz w:val="18"/>
          <w:szCs w:val="18"/>
        </w:rPr>
        <w:t>万元，借款抵押，使用受限。</w:t>
      </w:r>
    </w:p>
    <w:p w14:paraId="3458672E" w14:textId="77777777" w:rsidR="000309B5" w:rsidRPr="005A284F" w:rsidRDefault="00000000" w:rsidP="00F97F74">
      <w:pPr>
        <w:pStyle w:val="a3"/>
        <w:spacing w:before="0" w:beforeAutospacing="0" w:after="0" w:afterAutospacing="0" w:line="276" w:lineRule="auto"/>
        <w:ind w:firstLineChars="200" w:firstLine="360"/>
        <w:divId w:val="366371966"/>
        <w:rPr>
          <w:rFonts w:ascii="Times New Roman" w:hAnsi="Times New Roman" w:cs="Times New Roman"/>
          <w:sz w:val="22"/>
          <w:szCs w:val="22"/>
        </w:rPr>
      </w:pPr>
      <w:r w:rsidRPr="005A284F">
        <w:rPr>
          <w:rFonts w:ascii="Times New Roman" w:hAnsi="Times New Roman" w:cs="Times New Roman"/>
          <w:sz w:val="18"/>
          <w:szCs w:val="18"/>
        </w:rPr>
        <w:t>无形资产</w:t>
      </w:r>
      <w:r w:rsidRPr="005A284F">
        <w:rPr>
          <w:rFonts w:ascii="Times New Roman" w:hAnsi="Times New Roman" w:cs="Times New Roman"/>
          <w:sz w:val="18"/>
          <w:szCs w:val="18"/>
        </w:rPr>
        <w:t>4,330.15</w:t>
      </w:r>
      <w:r w:rsidRPr="005A284F">
        <w:rPr>
          <w:rFonts w:ascii="Times New Roman" w:hAnsi="Times New Roman" w:cs="Times New Roman"/>
          <w:sz w:val="18"/>
          <w:szCs w:val="18"/>
        </w:rPr>
        <w:t>万元，借款抵押，使用受限。</w:t>
      </w:r>
    </w:p>
    <w:p w14:paraId="3E7B0E20"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23" w:name="_Toc988912"/>
      <w:r w:rsidRPr="005A284F">
        <w:rPr>
          <w:rFonts w:ascii="Times New Roman" w:eastAsia="宋体" w:hAnsi="Times New Roman" w:cs="Times New Roman"/>
          <w:b/>
          <w:bCs/>
          <w:sz w:val="24"/>
          <w:szCs w:val="24"/>
        </w:rPr>
        <w:t>六、投资状况分析</w:t>
      </w:r>
      <w:bookmarkEnd w:id="23"/>
    </w:p>
    <w:p w14:paraId="11D9C73B" w14:textId="77777777" w:rsidR="006C011D" w:rsidRPr="005A284F" w:rsidRDefault="00000000">
      <w:pPr>
        <w:pStyle w:val="3"/>
        <w:spacing w:line="280" w:lineRule="exact"/>
        <w:jc w:val="left"/>
        <w:rPr>
          <w:rFonts w:ascii="Times New Roman" w:hAnsi="Times New Roman" w:cs="Times New Roman"/>
          <w:b/>
          <w:bCs/>
        </w:rPr>
      </w:pPr>
      <w:bookmarkStart w:id="24" w:name="_Toc988913"/>
      <w:r w:rsidRPr="005A284F">
        <w:rPr>
          <w:rFonts w:ascii="Times New Roman" w:hAnsi="Times New Roman" w:cs="Times New Roman"/>
          <w:b/>
          <w:bCs/>
        </w:rPr>
        <w:t>1</w:t>
      </w:r>
      <w:r w:rsidRPr="005A284F">
        <w:rPr>
          <w:rFonts w:ascii="Times New Roman" w:hAnsi="Times New Roman" w:cs="Times New Roman"/>
          <w:b/>
          <w:bCs/>
        </w:rPr>
        <w:t>、总体情况</w:t>
      </w:r>
      <w:bookmarkEnd w:id="24"/>
    </w:p>
    <w:p w14:paraId="6ABCE199" w14:textId="77777777" w:rsidR="006C011D" w:rsidRPr="00F97F74" w:rsidRDefault="00000000">
      <w:pPr>
        <w:spacing w:before="40" w:after="40" w:line="240" w:lineRule="exact"/>
        <w:rPr>
          <w:rFonts w:ascii="宋体" w:eastAsia="宋体" w:hAnsi="宋体" w:cs="Times New Roman" w:hint="eastAsia"/>
          <w:sz w:val="18"/>
          <w:szCs w:val="18"/>
        </w:rPr>
      </w:pPr>
      <w:r w:rsidRPr="00F97F74">
        <w:rPr>
          <w:rFonts w:ascii="宋体" w:eastAsia="宋体" w:hAnsi="宋体" w:cs="Times New Roman"/>
          <w:sz w:val="18"/>
          <w:szCs w:val="18"/>
        </w:rPr>
        <w:t xml:space="preserve">□适用 </w:t>
      </w:r>
      <w:r w:rsidRPr="00F97F74">
        <w:rPr>
          <w:rFonts w:ascii="宋体" w:eastAsia="宋体" w:hAnsi="宋体" w:cs="Times New Roman"/>
          <w:sz w:val="18"/>
          <w:szCs w:val="18"/>
        </w:rPr>
        <w:sym w:font="Wingdings 2" w:char="F052"/>
      </w:r>
      <w:r w:rsidRPr="00F97F74">
        <w:rPr>
          <w:rFonts w:ascii="宋体" w:eastAsia="宋体" w:hAnsi="宋体" w:cs="Times New Roman"/>
          <w:sz w:val="18"/>
          <w:szCs w:val="18"/>
        </w:rPr>
        <w:t>不适用</w:t>
      </w:r>
    </w:p>
    <w:p w14:paraId="6B278924" w14:textId="77777777" w:rsidR="006C011D" w:rsidRPr="005A284F" w:rsidRDefault="00000000">
      <w:pPr>
        <w:pStyle w:val="3"/>
        <w:spacing w:line="280" w:lineRule="exact"/>
        <w:jc w:val="left"/>
        <w:rPr>
          <w:rFonts w:ascii="Times New Roman" w:hAnsi="Times New Roman" w:cs="Times New Roman"/>
          <w:b/>
          <w:bCs/>
        </w:rPr>
      </w:pPr>
      <w:bookmarkStart w:id="25" w:name="_Toc988914"/>
      <w:r w:rsidRPr="005A284F">
        <w:rPr>
          <w:rFonts w:ascii="Times New Roman" w:hAnsi="Times New Roman" w:cs="Times New Roman"/>
          <w:b/>
          <w:bCs/>
        </w:rPr>
        <w:lastRenderedPageBreak/>
        <w:t>2</w:t>
      </w:r>
      <w:r w:rsidRPr="005A284F">
        <w:rPr>
          <w:rFonts w:ascii="Times New Roman" w:hAnsi="Times New Roman" w:cs="Times New Roman"/>
          <w:b/>
          <w:bCs/>
        </w:rPr>
        <w:t>、报告期内获取的重大的股权投资情况</w:t>
      </w:r>
      <w:bookmarkEnd w:id="25"/>
    </w:p>
    <w:p w14:paraId="66C50CC2" w14:textId="77777777" w:rsidR="006C011D" w:rsidRPr="00F97F74" w:rsidRDefault="00000000">
      <w:pPr>
        <w:spacing w:before="40" w:after="40" w:line="240" w:lineRule="exact"/>
        <w:rPr>
          <w:rFonts w:ascii="宋体" w:eastAsia="宋体" w:hAnsi="宋体" w:cs="Times New Roman" w:hint="eastAsia"/>
          <w:sz w:val="18"/>
          <w:szCs w:val="18"/>
        </w:rPr>
      </w:pPr>
      <w:r w:rsidRPr="00F97F74">
        <w:rPr>
          <w:rFonts w:ascii="宋体" w:eastAsia="宋体" w:hAnsi="宋体" w:cs="Times New Roman"/>
          <w:sz w:val="18"/>
          <w:szCs w:val="18"/>
        </w:rPr>
        <w:t xml:space="preserve">□适用 </w:t>
      </w:r>
      <w:r w:rsidRPr="00F97F74">
        <w:rPr>
          <w:rFonts w:ascii="宋体" w:eastAsia="宋体" w:hAnsi="宋体" w:cs="Times New Roman"/>
          <w:sz w:val="18"/>
          <w:szCs w:val="18"/>
        </w:rPr>
        <w:sym w:font="Wingdings 2" w:char="F052"/>
      </w:r>
      <w:r w:rsidRPr="00F97F74">
        <w:rPr>
          <w:rFonts w:ascii="宋体" w:eastAsia="宋体" w:hAnsi="宋体" w:cs="Times New Roman"/>
          <w:sz w:val="18"/>
          <w:szCs w:val="18"/>
        </w:rPr>
        <w:t>不适用</w:t>
      </w:r>
    </w:p>
    <w:p w14:paraId="308750DC" w14:textId="77777777" w:rsidR="006C011D" w:rsidRPr="005A284F" w:rsidRDefault="00000000">
      <w:pPr>
        <w:pStyle w:val="3"/>
        <w:spacing w:line="280" w:lineRule="exact"/>
        <w:jc w:val="left"/>
        <w:rPr>
          <w:rFonts w:ascii="Times New Roman" w:hAnsi="Times New Roman" w:cs="Times New Roman"/>
          <w:b/>
          <w:bCs/>
        </w:rPr>
      </w:pPr>
      <w:bookmarkStart w:id="26" w:name="_Toc988915"/>
      <w:r w:rsidRPr="005A284F">
        <w:rPr>
          <w:rFonts w:ascii="Times New Roman" w:hAnsi="Times New Roman" w:cs="Times New Roman"/>
          <w:b/>
          <w:bCs/>
        </w:rPr>
        <w:t>3</w:t>
      </w:r>
      <w:r w:rsidRPr="005A284F">
        <w:rPr>
          <w:rFonts w:ascii="Times New Roman" w:hAnsi="Times New Roman" w:cs="Times New Roman"/>
          <w:b/>
          <w:bCs/>
        </w:rPr>
        <w:t>、报告期内正在进行的重大的非股权投资情况</w:t>
      </w:r>
      <w:bookmarkEnd w:id="26"/>
    </w:p>
    <w:p w14:paraId="5235CE5B" w14:textId="77777777" w:rsidR="006C011D" w:rsidRPr="00F97F74" w:rsidRDefault="00000000">
      <w:pPr>
        <w:spacing w:before="40" w:after="40" w:line="240" w:lineRule="exact"/>
        <w:rPr>
          <w:rFonts w:ascii="宋体" w:eastAsia="宋体" w:hAnsi="宋体" w:cs="Times New Roman" w:hint="eastAsia"/>
          <w:sz w:val="18"/>
          <w:szCs w:val="18"/>
        </w:rPr>
      </w:pPr>
      <w:r w:rsidRPr="00F97F74">
        <w:rPr>
          <w:rFonts w:ascii="宋体" w:eastAsia="宋体" w:hAnsi="宋体" w:cs="Times New Roman"/>
          <w:sz w:val="18"/>
          <w:szCs w:val="18"/>
        </w:rPr>
        <w:t xml:space="preserve">□适用 </w:t>
      </w:r>
      <w:r w:rsidRPr="00F97F74">
        <w:rPr>
          <w:rFonts w:ascii="宋体" w:eastAsia="宋体" w:hAnsi="宋体" w:cs="Times New Roman"/>
          <w:sz w:val="18"/>
          <w:szCs w:val="18"/>
        </w:rPr>
        <w:sym w:font="Wingdings 2" w:char="F052"/>
      </w:r>
      <w:r w:rsidRPr="00F97F74">
        <w:rPr>
          <w:rFonts w:ascii="宋体" w:eastAsia="宋体" w:hAnsi="宋体" w:cs="Times New Roman"/>
          <w:sz w:val="18"/>
          <w:szCs w:val="18"/>
        </w:rPr>
        <w:t>不适用</w:t>
      </w:r>
    </w:p>
    <w:p w14:paraId="753A4901" w14:textId="77777777" w:rsidR="006C011D" w:rsidRPr="005A284F" w:rsidRDefault="00000000">
      <w:pPr>
        <w:pStyle w:val="3"/>
        <w:spacing w:line="280" w:lineRule="exact"/>
        <w:jc w:val="left"/>
        <w:rPr>
          <w:rFonts w:ascii="Times New Roman" w:hAnsi="Times New Roman" w:cs="Times New Roman"/>
          <w:b/>
          <w:bCs/>
        </w:rPr>
      </w:pPr>
      <w:bookmarkStart w:id="27" w:name="_Toc988916"/>
      <w:r w:rsidRPr="005A284F">
        <w:rPr>
          <w:rFonts w:ascii="Times New Roman" w:hAnsi="Times New Roman" w:cs="Times New Roman"/>
          <w:b/>
          <w:bCs/>
        </w:rPr>
        <w:t>4</w:t>
      </w:r>
      <w:r w:rsidRPr="005A284F">
        <w:rPr>
          <w:rFonts w:ascii="Times New Roman" w:hAnsi="Times New Roman" w:cs="Times New Roman"/>
          <w:b/>
          <w:bCs/>
        </w:rPr>
        <w:t>、金融资产投资</w:t>
      </w:r>
      <w:bookmarkEnd w:id="27"/>
    </w:p>
    <w:p w14:paraId="580FA44C" w14:textId="77777777" w:rsidR="006C011D" w:rsidRPr="005A284F" w:rsidRDefault="00000000">
      <w:pPr>
        <w:keepNext/>
        <w:keepLines/>
        <w:spacing w:before="300" w:after="300" w:line="280" w:lineRule="exact"/>
        <w:outlineLvl w:val="3"/>
        <w:rPr>
          <w:rFonts w:ascii="Times New Roman" w:eastAsia="宋体" w:hAnsi="Times New Roman" w:cs="Times New Roman"/>
          <w:b/>
          <w:bCs/>
          <w:sz w:val="18"/>
          <w:szCs w:val="18"/>
        </w:rPr>
      </w:pPr>
      <w:bookmarkStart w:id="28" w:name="_Toc988917"/>
      <w:r w:rsidRPr="005A284F">
        <w:rPr>
          <w:rFonts w:ascii="Times New Roman" w:eastAsia="宋体" w:hAnsi="Times New Roman" w:cs="Times New Roman"/>
          <w:b/>
          <w:bCs/>
          <w:sz w:val="18"/>
          <w:szCs w:val="18"/>
        </w:rPr>
        <w:t>（</w:t>
      </w:r>
      <w:r w:rsidRPr="005A284F">
        <w:rPr>
          <w:rFonts w:ascii="Times New Roman" w:eastAsia="宋体" w:hAnsi="Times New Roman" w:cs="Times New Roman"/>
          <w:b/>
          <w:bCs/>
          <w:sz w:val="18"/>
          <w:szCs w:val="18"/>
        </w:rPr>
        <w:t>1</w:t>
      </w:r>
      <w:r w:rsidRPr="005A284F">
        <w:rPr>
          <w:rFonts w:ascii="Times New Roman" w:eastAsia="宋体" w:hAnsi="Times New Roman" w:cs="Times New Roman"/>
          <w:b/>
          <w:bCs/>
          <w:sz w:val="18"/>
          <w:szCs w:val="18"/>
        </w:rPr>
        <w:t>）</w:t>
      </w:r>
      <w:r w:rsidRPr="005A284F">
        <w:rPr>
          <w:rFonts w:ascii="Times New Roman" w:eastAsia="宋体" w:hAnsi="Times New Roman" w:cs="Times New Roman"/>
          <w:b/>
          <w:bCs/>
          <w:sz w:val="18"/>
          <w:szCs w:val="18"/>
        </w:rPr>
        <w:t xml:space="preserve"> </w:t>
      </w:r>
      <w:r w:rsidRPr="005A284F">
        <w:rPr>
          <w:rFonts w:ascii="Times New Roman" w:eastAsia="宋体" w:hAnsi="Times New Roman" w:cs="Times New Roman"/>
          <w:b/>
          <w:bCs/>
          <w:sz w:val="18"/>
          <w:szCs w:val="18"/>
        </w:rPr>
        <w:t>证券投资情况</w:t>
      </w:r>
      <w:bookmarkEnd w:id="28"/>
    </w:p>
    <w:p w14:paraId="6B1ED80A" w14:textId="77777777" w:rsidR="006C011D" w:rsidRPr="00F97F74" w:rsidRDefault="00000000">
      <w:pPr>
        <w:spacing w:before="40" w:after="40" w:line="240" w:lineRule="exact"/>
        <w:rPr>
          <w:rFonts w:ascii="宋体" w:eastAsia="宋体" w:hAnsi="宋体" w:cs="Times New Roman" w:hint="eastAsia"/>
          <w:sz w:val="18"/>
          <w:szCs w:val="18"/>
        </w:rPr>
      </w:pPr>
      <w:r w:rsidRPr="00F97F74">
        <w:rPr>
          <w:rFonts w:ascii="宋体" w:eastAsia="宋体" w:hAnsi="宋体" w:cs="Times New Roman"/>
          <w:sz w:val="18"/>
          <w:szCs w:val="18"/>
        </w:rPr>
        <w:t xml:space="preserve">□适用 </w:t>
      </w:r>
      <w:r w:rsidRPr="00F97F74">
        <w:rPr>
          <w:rFonts w:ascii="宋体" w:eastAsia="宋体" w:hAnsi="宋体" w:cs="Times New Roman"/>
          <w:sz w:val="18"/>
          <w:szCs w:val="18"/>
        </w:rPr>
        <w:sym w:font="Wingdings 2" w:char="F052"/>
      </w:r>
      <w:r w:rsidRPr="00F97F74">
        <w:rPr>
          <w:rFonts w:ascii="宋体" w:eastAsia="宋体" w:hAnsi="宋体" w:cs="Times New Roman"/>
          <w:sz w:val="18"/>
          <w:szCs w:val="18"/>
        </w:rPr>
        <w:t>不适用</w:t>
      </w:r>
    </w:p>
    <w:p w14:paraId="1952EF12"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公司报告期不存在证券投资。</w:t>
      </w:r>
    </w:p>
    <w:p w14:paraId="1DAA4DB3" w14:textId="77777777" w:rsidR="006C011D" w:rsidRPr="005A284F" w:rsidRDefault="00000000">
      <w:pPr>
        <w:keepNext/>
        <w:keepLines/>
        <w:spacing w:before="300" w:after="300" w:line="280" w:lineRule="exact"/>
        <w:outlineLvl w:val="3"/>
        <w:rPr>
          <w:rFonts w:ascii="Times New Roman" w:eastAsia="宋体" w:hAnsi="Times New Roman" w:cs="Times New Roman"/>
          <w:b/>
          <w:bCs/>
          <w:sz w:val="18"/>
          <w:szCs w:val="18"/>
        </w:rPr>
      </w:pPr>
      <w:bookmarkStart w:id="29" w:name="_Toc988918"/>
      <w:r w:rsidRPr="005A284F">
        <w:rPr>
          <w:rFonts w:ascii="Times New Roman" w:eastAsia="宋体" w:hAnsi="Times New Roman" w:cs="Times New Roman"/>
          <w:b/>
          <w:bCs/>
          <w:sz w:val="18"/>
          <w:szCs w:val="18"/>
        </w:rPr>
        <w:t>（</w:t>
      </w:r>
      <w:r w:rsidRPr="005A284F">
        <w:rPr>
          <w:rFonts w:ascii="Times New Roman" w:eastAsia="宋体" w:hAnsi="Times New Roman" w:cs="Times New Roman"/>
          <w:b/>
          <w:bCs/>
          <w:sz w:val="18"/>
          <w:szCs w:val="18"/>
        </w:rPr>
        <w:t>2</w:t>
      </w:r>
      <w:r w:rsidRPr="005A284F">
        <w:rPr>
          <w:rFonts w:ascii="Times New Roman" w:eastAsia="宋体" w:hAnsi="Times New Roman" w:cs="Times New Roman"/>
          <w:b/>
          <w:bCs/>
          <w:sz w:val="18"/>
          <w:szCs w:val="18"/>
        </w:rPr>
        <w:t>）</w:t>
      </w:r>
      <w:r w:rsidRPr="005A284F">
        <w:rPr>
          <w:rFonts w:ascii="Times New Roman" w:eastAsia="宋体" w:hAnsi="Times New Roman" w:cs="Times New Roman"/>
          <w:b/>
          <w:bCs/>
          <w:sz w:val="18"/>
          <w:szCs w:val="18"/>
        </w:rPr>
        <w:t xml:space="preserve"> </w:t>
      </w:r>
      <w:r w:rsidRPr="005A284F">
        <w:rPr>
          <w:rFonts w:ascii="Times New Roman" w:eastAsia="宋体" w:hAnsi="Times New Roman" w:cs="Times New Roman"/>
          <w:b/>
          <w:bCs/>
          <w:sz w:val="18"/>
          <w:szCs w:val="18"/>
        </w:rPr>
        <w:t>衍生品投资情况</w:t>
      </w:r>
      <w:bookmarkEnd w:id="29"/>
    </w:p>
    <w:p w14:paraId="29737C6F" w14:textId="77777777" w:rsidR="006C011D" w:rsidRPr="00F97F74" w:rsidRDefault="00000000" w:rsidP="00F97F74">
      <w:pPr>
        <w:spacing w:before="40" w:after="40" w:line="240" w:lineRule="exact"/>
        <w:rPr>
          <w:rFonts w:ascii="宋体" w:eastAsia="宋体" w:hAnsi="宋体" w:cs="Times New Roman" w:hint="eastAsia"/>
          <w:sz w:val="18"/>
          <w:szCs w:val="18"/>
        </w:rPr>
      </w:pPr>
      <w:r w:rsidRPr="00F97F74">
        <w:rPr>
          <w:rFonts w:ascii="宋体" w:eastAsia="宋体" w:hAnsi="宋体" w:cs="Times New Roman"/>
          <w:sz w:val="18"/>
          <w:szCs w:val="18"/>
        </w:rPr>
        <w:t xml:space="preserve">□适用 </w:t>
      </w:r>
      <w:r w:rsidRPr="00F97F74">
        <w:rPr>
          <w:rFonts w:ascii="宋体" w:eastAsia="宋体" w:hAnsi="宋体" w:cs="Times New Roman"/>
          <w:sz w:val="18"/>
          <w:szCs w:val="18"/>
        </w:rPr>
        <w:sym w:font="Wingdings 2" w:char="F052"/>
      </w:r>
      <w:r w:rsidRPr="00F97F74">
        <w:rPr>
          <w:rFonts w:ascii="宋体" w:eastAsia="宋体" w:hAnsi="宋体" w:cs="Times New Roman"/>
          <w:sz w:val="18"/>
          <w:szCs w:val="18"/>
        </w:rPr>
        <w:t>不适用</w:t>
      </w:r>
    </w:p>
    <w:p w14:paraId="4E796ED6"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公司报告期不存在衍生品投资。</w:t>
      </w:r>
    </w:p>
    <w:p w14:paraId="239DF0A5" w14:textId="77777777" w:rsidR="006C011D" w:rsidRPr="005A284F" w:rsidRDefault="00000000">
      <w:pPr>
        <w:pStyle w:val="3"/>
        <w:spacing w:line="280" w:lineRule="exact"/>
        <w:jc w:val="left"/>
        <w:rPr>
          <w:rFonts w:ascii="Times New Roman" w:hAnsi="Times New Roman" w:cs="Times New Roman"/>
          <w:b/>
          <w:bCs/>
        </w:rPr>
      </w:pPr>
      <w:bookmarkStart w:id="30" w:name="_Toc988919"/>
      <w:r w:rsidRPr="005A284F">
        <w:rPr>
          <w:rFonts w:ascii="Times New Roman" w:hAnsi="Times New Roman" w:cs="Times New Roman"/>
          <w:b/>
          <w:bCs/>
        </w:rPr>
        <w:t>5</w:t>
      </w:r>
      <w:r w:rsidRPr="005A284F">
        <w:rPr>
          <w:rFonts w:ascii="Times New Roman" w:hAnsi="Times New Roman" w:cs="Times New Roman"/>
          <w:b/>
          <w:bCs/>
        </w:rPr>
        <w:t>、募集资金使用情况</w:t>
      </w:r>
      <w:bookmarkEnd w:id="30"/>
    </w:p>
    <w:p w14:paraId="7D25A8CE" w14:textId="77777777" w:rsidR="006C011D" w:rsidRPr="00F97F74" w:rsidRDefault="00000000">
      <w:pPr>
        <w:spacing w:before="40" w:after="40" w:line="240" w:lineRule="exact"/>
        <w:rPr>
          <w:rFonts w:ascii="宋体" w:eastAsia="宋体" w:hAnsi="宋体" w:cs="Times New Roman" w:hint="eastAsia"/>
          <w:sz w:val="18"/>
          <w:szCs w:val="18"/>
        </w:rPr>
      </w:pPr>
      <w:r w:rsidRPr="00F97F74">
        <w:rPr>
          <w:rFonts w:ascii="宋体" w:eastAsia="宋体" w:hAnsi="宋体" w:cs="Times New Roman"/>
          <w:sz w:val="18"/>
          <w:szCs w:val="18"/>
        </w:rPr>
        <w:sym w:font="Wingdings 2" w:char="F052"/>
      </w:r>
      <w:r w:rsidRPr="00F97F74">
        <w:rPr>
          <w:rFonts w:ascii="宋体" w:eastAsia="宋体" w:hAnsi="宋体" w:cs="Times New Roman"/>
          <w:sz w:val="18"/>
          <w:szCs w:val="18"/>
        </w:rPr>
        <w:t>适用 □不适用</w:t>
      </w:r>
    </w:p>
    <w:p w14:paraId="28C9CFE3" w14:textId="77777777" w:rsidR="006C011D" w:rsidRPr="005A284F" w:rsidRDefault="00000000">
      <w:pPr>
        <w:keepNext/>
        <w:keepLines/>
        <w:spacing w:before="300" w:after="300" w:line="280" w:lineRule="exact"/>
        <w:outlineLvl w:val="3"/>
        <w:rPr>
          <w:rFonts w:ascii="Times New Roman" w:eastAsia="宋体" w:hAnsi="Times New Roman" w:cs="Times New Roman"/>
          <w:b/>
          <w:bCs/>
          <w:sz w:val="18"/>
          <w:szCs w:val="18"/>
        </w:rPr>
      </w:pPr>
      <w:bookmarkStart w:id="31" w:name="_Toc988920"/>
      <w:r w:rsidRPr="005A284F">
        <w:rPr>
          <w:rFonts w:ascii="Times New Roman" w:eastAsia="宋体" w:hAnsi="Times New Roman" w:cs="Times New Roman"/>
          <w:b/>
          <w:bCs/>
          <w:sz w:val="18"/>
          <w:szCs w:val="18"/>
        </w:rPr>
        <w:t>（</w:t>
      </w:r>
      <w:r w:rsidRPr="005A284F">
        <w:rPr>
          <w:rFonts w:ascii="Times New Roman" w:eastAsia="宋体" w:hAnsi="Times New Roman" w:cs="Times New Roman"/>
          <w:b/>
          <w:bCs/>
          <w:sz w:val="18"/>
          <w:szCs w:val="18"/>
        </w:rPr>
        <w:t>1</w:t>
      </w:r>
      <w:r w:rsidRPr="005A284F">
        <w:rPr>
          <w:rFonts w:ascii="Times New Roman" w:eastAsia="宋体" w:hAnsi="Times New Roman" w:cs="Times New Roman"/>
          <w:b/>
          <w:bCs/>
          <w:sz w:val="18"/>
          <w:szCs w:val="18"/>
        </w:rPr>
        <w:t>）</w:t>
      </w:r>
      <w:r w:rsidRPr="005A284F">
        <w:rPr>
          <w:rFonts w:ascii="Times New Roman" w:eastAsia="宋体" w:hAnsi="Times New Roman" w:cs="Times New Roman"/>
          <w:b/>
          <w:bCs/>
          <w:sz w:val="18"/>
          <w:szCs w:val="18"/>
        </w:rPr>
        <w:t xml:space="preserve"> </w:t>
      </w:r>
      <w:r w:rsidRPr="005A284F">
        <w:rPr>
          <w:rFonts w:ascii="Times New Roman" w:eastAsia="宋体" w:hAnsi="Times New Roman" w:cs="Times New Roman"/>
          <w:b/>
          <w:bCs/>
          <w:sz w:val="18"/>
          <w:szCs w:val="18"/>
        </w:rPr>
        <w:t>募集资金总体使用情况</w:t>
      </w:r>
      <w:bookmarkEnd w:id="31"/>
    </w:p>
    <w:p w14:paraId="6139046A" w14:textId="77777777" w:rsidR="006C011D" w:rsidRPr="00F97F74" w:rsidRDefault="00000000">
      <w:pPr>
        <w:spacing w:before="40" w:after="40" w:line="240" w:lineRule="exact"/>
        <w:rPr>
          <w:rFonts w:ascii="宋体" w:eastAsia="宋体" w:hAnsi="宋体" w:cs="Times New Roman" w:hint="eastAsia"/>
          <w:sz w:val="18"/>
          <w:szCs w:val="18"/>
        </w:rPr>
      </w:pPr>
      <w:r w:rsidRPr="00F97F74">
        <w:rPr>
          <w:rFonts w:ascii="宋体" w:eastAsia="宋体" w:hAnsi="宋体" w:cs="Times New Roman"/>
          <w:sz w:val="18"/>
          <w:szCs w:val="18"/>
        </w:rPr>
        <w:sym w:font="Wingdings 2" w:char="F052"/>
      </w:r>
      <w:r w:rsidRPr="00F97F74">
        <w:rPr>
          <w:rFonts w:ascii="宋体" w:eastAsia="宋体" w:hAnsi="宋体" w:cs="Times New Roman"/>
          <w:sz w:val="18"/>
          <w:szCs w:val="18"/>
        </w:rPr>
        <w:t>适用 □不适用</w:t>
      </w:r>
    </w:p>
    <w:p w14:paraId="636B4540" w14:textId="77777777" w:rsidR="006C011D" w:rsidRPr="005A284F" w:rsidRDefault="00000000">
      <w:pPr>
        <w:spacing w:before="120" w:after="12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单位：万元</w:t>
      </w:r>
    </w:p>
    <w:tbl>
      <w:tblPr>
        <w:tblW w:w="10612"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0" w:type="dxa"/>
          <w:right w:w="0" w:type="dxa"/>
        </w:tblCellMar>
        <w:tblLook w:val="04A0" w:firstRow="1" w:lastRow="0" w:firstColumn="1" w:lastColumn="0" w:noHBand="0" w:noVBand="1"/>
      </w:tblPr>
      <w:tblGrid>
        <w:gridCol w:w="630"/>
        <w:gridCol w:w="851"/>
        <w:gridCol w:w="708"/>
        <w:gridCol w:w="709"/>
        <w:gridCol w:w="832"/>
        <w:gridCol w:w="746"/>
        <w:gridCol w:w="832"/>
        <w:gridCol w:w="850"/>
        <w:gridCol w:w="554"/>
        <w:gridCol w:w="580"/>
        <w:gridCol w:w="709"/>
        <w:gridCol w:w="851"/>
        <w:gridCol w:w="1193"/>
        <w:gridCol w:w="567"/>
      </w:tblGrid>
      <w:tr w:rsidR="00253F00" w:rsidRPr="005A284F" w14:paraId="742108F6" w14:textId="77777777" w:rsidTr="00253F00">
        <w:trPr>
          <w:trHeight w:val="238"/>
          <w:jc w:val="center"/>
        </w:trPr>
        <w:tc>
          <w:tcPr>
            <w:tcW w:w="630" w:type="dxa"/>
            <w:tcBorders>
              <w:top w:val="single" w:sz="2" w:space="0" w:color="auto"/>
              <w:left w:val="single" w:sz="2" w:space="0" w:color="auto"/>
              <w:bottom w:val="single" w:sz="2" w:space="0" w:color="auto"/>
              <w:right w:val="single" w:sz="2" w:space="0" w:color="auto"/>
            </w:tcBorders>
            <w:shd w:val="clear" w:color="auto" w:fill="D3D3D3"/>
            <w:vAlign w:val="center"/>
          </w:tcPr>
          <w:p w14:paraId="254C93E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募集年份</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05D39F4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募集方式</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14:paraId="22911DE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证券上市日期</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34354E4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募集资金总额</w:t>
            </w:r>
          </w:p>
        </w:tc>
        <w:tc>
          <w:tcPr>
            <w:tcW w:w="832" w:type="dxa"/>
            <w:tcBorders>
              <w:top w:val="single" w:sz="2" w:space="0" w:color="auto"/>
              <w:left w:val="single" w:sz="2" w:space="0" w:color="auto"/>
              <w:bottom w:val="single" w:sz="2" w:space="0" w:color="auto"/>
              <w:right w:val="single" w:sz="2" w:space="0" w:color="auto"/>
            </w:tcBorders>
            <w:shd w:val="clear" w:color="auto" w:fill="D3D3D3"/>
            <w:vAlign w:val="center"/>
          </w:tcPr>
          <w:p w14:paraId="7C09FE4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募集资金净额（</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w:t>
            </w:r>
          </w:p>
        </w:tc>
        <w:tc>
          <w:tcPr>
            <w:tcW w:w="746" w:type="dxa"/>
            <w:tcBorders>
              <w:top w:val="single" w:sz="2" w:space="0" w:color="auto"/>
              <w:left w:val="single" w:sz="2" w:space="0" w:color="auto"/>
              <w:bottom w:val="single" w:sz="2" w:space="0" w:color="auto"/>
              <w:right w:val="single" w:sz="2" w:space="0" w:color="auto"/>
            </w:tcBorders>
            <w:shd w:val="clear" w:color="auto" w:fill="D3D3D3"/>
            <w:vAlign w:val="center"/>
          </w:tcPr>
          <w:p w14:paraId="266D7C0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本期已使用募集资金总额</w:t>
            </w:r>
          </w:p>
        </w:tc>
        <w:tc>
          <w:tcPr>
            <w:tcW w:w="832" w:type="dxa"/>
            <w:tcBorders>
              <w:top w:val="single" w:sz="2" w:space="0" w:color="auto"/>
              <w:left w:val="single" w:sz="2" w:space="0" w:color="auto"/>
              <w:bottom w:val="single" w:sz="2" w:space="0" w:color="auto"/>
              <w:right w:val="single" w:sz="2" w:space="0" w:color="auto"/>
            </w:tcBorders>
            <w:shd w:val="clear" w:color="auto" w:fill="D3D3D3"/>
            <w:vAlign w:val="center"/>
          </w:tcPr>
          <w:p w14:paraId="513C114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已累计使用募集资金总额（</w:t>
            </w: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086EB5F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报告期末募集资金使用比例（</w:t>
            </w: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w:t>
            </w:r>
          </w:p>
        </w:tc>
        <w:tc>
          <w:tcPr>
            <w:tcW w:w="554" w:type="dxa"/>
            <w:tcBorders>
              <w:top w:val="single" w:sz="2" w:space="0" w:color="auto"/>
              <w:left w:val="single" w:sz="2" w:space="0" w:color="auto"/>
              <w:bottom w:val="single" w:sz="2" w:space="0" w:color="auto"/>
              <w:right w:val="single" w:sz="2" w:space="0" w:color="auto"/>
            </w:tcBorders>
            <w:shd w:val="clear" w:color="auto" w:fill="D3D3D3"/>
            <w:vAlign w:val="center"/>
          </w:tcPr>
          <w:p w14:paraId="1A48A0C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报告期内变更用途的募集资金总额</w:t>
            </w:r>
          </w:p>
        </w:tc>
        <w:tc>
          <w:tcPr>
            <w:tcW w:w="580" w:type="dxa"/>
            <w:tcBorders>
              <w:top w:val="single" w:sz="2" w:space="0" w:color="auto"/>
              <w:left w:val="single" w:sz="2" w:space="0" w:color="auto"/>
              <w:bottom w:val="single" w:sz="2" w:space="0" w:color="auto"/>
              <w:right w:val="single" w:sz="2" w:space="0" w:color="auto"/>
            </w:tcBorders>
            <w:shd w:val="clear" w:color="auto" w:fill="D3D3D3"/>
            <w:vAlign w:val="center"/>
          </w:tcPr>
          <w:p w14:paraId="6F4C9B0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累计变更用途的募集资金总额</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68E53AB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累计变更用途的募集资金总额比例</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3D0AFF4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尚未使用募集资金总额</w:t>
            </w:r>
          </w:p>
        </w:tc>
        <w:tc>
          <w:tcPr>
            <w:tcW w:w="1193" w:type="dxa"/>
            <w:tcBorders>
              <w:top w:val="single" w:sz="2" w:space="0" w:color="auto"/>
              <w:left w:val="single" w:sz="2" w:space="0" w:color="auto"/>
              <w:bottom w:val="single" w:sz="2" w:space="0" w:color="auto"/>
              <w:right w:val="single" w:sz="2" w:space="0" w:color="auto"/>
            </w:tcBorders>
            <w:shd w:val="clear" w:color="auto" w:fill="D3D3D3"/>
            <w:vAlign w:val="center"/>
          </w:tcPr>
          <w:p w14:paraId="69EF735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尚未使用募集资金用途及去向</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222803A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闲置两年以上募集资金金额</w:t>
            </w:r>
          </w:p>
        </w:tc>
      </w:tr>
      <w:tr w:rsidR="00253F00" w:rsidRPr="005A284F" w14:paraId="57CBB286" w14:textId="77777777" w:rsidTr="00253F00">
        <w:trPr>
          <w:trHeight w:val="238"/>
          <w:jc w:val="center"/>
        </w:trPr>
        <w:tc>
          <w:tcPr>
            <w:tcW w:w="630" w:type="dxa"/>
            <w:tcBorders>
              <w:top w:val="single" w:sz="2" w:space="0" w:color="auto"/>
              <w:left w:val="single" w:sz="2" w:space="0" w:color="auto"/>
              <w:bottom w:val="single" w:sz="2" w:space="0" w:color="auto"/>
              <w:right w:val="single" w:sz="2" w:space="0" w:color="auto"/>
            </w:tcBorders>
            <w:vAlign w:val="center"/>
          </w:tcPr>
          <w:p w14:paraId="3261C9C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2020</w:t>
            </w:r>
            <w:r w:rsidRPr="005A284F">
              <w:rPr>
                <w:rFonts w:ascii="Times New Roman" w:eastAsia="宋体" w:hAnsi="Times New Roman" w:cs="Times New Roman"/>
                <w:sz w:val="18"/>
                <w:szCs w:val="18"/>
              </w:rPr>
              <w:t>年</w:t>
            </w:r>
          </w:p>
        </w:tc>
        <w:tc>
          <w:tcPr>
            <w:tcW w:w="851" w:type="dxa"/>
            <w:tcBorders>
              <w:top w:val="single" w:sz="2" w:space="0" w:color="auto"/>
              <w:left w:val="single" w:sz="2" w:space="0" w:color="auto"/>
              <w:bottom w:val="single" w:sz="2" w:space="0" w:color="auto"/>
              <w:right w:val="single" w:sz="2" w:space="0" w:color="auto"/>
            </w:tcBorders>
            <w:vAlign w:val="center"/>
          </w:tcPr>
          <w:p w14:paraId="6C863C8B" w14:textId="7A5E6BF5"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公开发行</w:t>
            </w:r>
            <w:r w:rsidR="00253F00">
              <w:rPr>
                <w:rFonts w:ascii="Times New Roman" w:eastAsia="宋体" w:hAnsi="Times New Roman" w:cs="Times New Roman" w:hint="eastAsia"/>
                <w:sz w:val="18"/>
                <w:szCs w:val="18"/>
              </w:rPr>
              <w:t>可转换</w:t>
            </w:r>
            <w:r w:rsidRPr="005A284F">
              <w:rPr>
                <w:rFonts w:ascii="Times New Roman" w:eastAsia="宋体" w:hAnsi="Times New Roman" w:cs="Times New Roman"/>
                <w:sz w:val="18"/>
                <w:szCs w:val="18"/>
              </w:rPr>
              <w:t>公司债券</w:t>
            </w:r>
          </w:p>
        </w:tc>
        <w:tc>
          <w:tcPr>
            <w:tcW w:w="708" w:type="dxa"/>
            <w:tcBorders>
              <w:top w:val="single" w:sz="2" w:space="0" w:color="auto"/>
              <w:left w:val="single" w:sz="2" w:space="0" w:color="auto"/>
              <w:bottom w:val="single" w:sz="2" w:space="0" w:color="auto"/>
              <w:right w:val="single" w:sz="2" w:space="0" w:color="auto"/>
            </w:tcBorders>
            <w:vAlign w:val="center"/>
          </w:tcPr>
          <w:p w14:paraId="74CD804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2020</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07</w:t>
            </w:r>
            <w:r w:rsidRPr="005A284F">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0ABE1CD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95,000</w:t>
            </w:r>
          </w:p>
        </w:tc>
        <w:tc>
          <w:tcPr>
            <w:tcW w:w="832" w:type="dxa"/>
            <w:tcBorders>
              <w:top w:val="single" w:sz="2" w:space="0" w:color="auto"/>
              <w:left w:val="single" w:sz="2" w:space="0" w:color="auto"/>
              <w:bottom w:val="single" w:sz="2" w:space="0" w:color="auto"/>
              <w:right w:val="single" w:sz="2" w:space="0" w:color="auto"/>
            </w:tcBorders>
            <w:vAlign w:val="center"/>
          </w:tcPr>
          <w:p w14:paraId="3A65859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93,494.3</w:t>
            </w:r>
          </w:p>
        </w:tc>
        <w:tc>
          <w:tcPr>
            <w:tcW w:w="746" w:type="dxa"/>
            <w:tcBorders>
              <w:top w:val="single" w:sz="2" w:space="0" w:color="auto"/>
              <w:left w:val="single" w:sz="2" w:space="0" w:color="auto"/>
              <w:bottom w:val="single" w:sz="2" w:space="0" w:color="auto"/>
              <w:right w:val="single" w:sz="2" w:space="0" w:color="auto"/>
            </w:tcBorders>
            <w:vAlign w:val="center"/>
          </w:tcPr>
          <w:p w14:paraId="63C242F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549.52</w:t>
            </w:r>
          </w:p>
        </w:tc>
        <w:tc>
          <w:tcPr>
            <w:tcW w:w="832" w:type="dxa"/>
            <w:tcBorders>
              <w:top w:val="single" w:sz="2" w:space="0" w:color="auto"/>
              <w:left w:val="single" w:sz="2" w:space="0" w:color="auto"/>
              <w:bottom w:val="single" w:sz="2" w:space="0" w:color="auto"/>
              <w:right w:val="single" w:sz="2" w:space="0" w:color="auto"/>
            </w:tcBorders>
            <w:vAlign w:val="center"/>
          </w:tcPr>
          <w:p w14:paraId="2E8F495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58,237.23</w:t>
            </w:r>
          </w:p>
        </w:tc>
        <w:tc>
          <w:tcPr>
            <w:tcW w:w="850" w:type="dxa"/>
            <w:tcBorders>
              <w:top w:val="single" w:sz="2" w:space="0" w:color="auto"/>
              <w:left w:val="single" w:sz="2" w:space="0" w:color="auto"/>
              <w:bottom w:val="single" w:sz="2" w:space="0" w:color="auto"/>
              <w:right w:val="single" w:sz="2" w:space="0" w:color="auto"/>
            </w:tcBorders>
            <w:vAlign w:val="center"/>
          </w:tcPr>
          <w:p w14:paraId="49FE032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62.29%</w:t>
            </w:r>
          </w:p>
        </w:tc>
        <w:tc>
          <w:tcPr>
            <w:tcW w:w="554" w:type="dxa"/>
            <w:tcBorders>
              <w:top w:val="single" w:sz="2" w:space="0" w:color="auto"/>
              <w:left w:val="single" w:sz="2" w:space="0" w:color="auto"/>
              <w:bottom w:val="single" w:sz="2" w:space="0" w:color="auto"/>
              <w:right w:val="single" w:sz="2" w:space="0" w:color="auto"/>
            </w:tcBorders>
            <w:vAlign w:val="center"/>
          </w:tcPr>
          <w:p w14:paraId="30CC840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580" w:type="dxa"/>
            <w:tcBorders>
              <w:top w:val="single" w:sz="2" w:space="0" w:color="auto"/>
              <w:left w:val="single" w:sz="2" w:space="0" w:color="auto"/>
              <w:bottom w:val="single" w:sz="2" w:space="0" w:color="auto"/>
              <w:right w:val="single" w:sz="2" w:space="0" w:color="auto"/>
            </w:tcBorders>
            <w:vAlign w:val="center"/>
          </w:tcPr>
          <w:p w14:paraId="30F1E09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14:paraId="4A42488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851" w:type="dxa"/>
            <w:tcBorders>
              <w:top w:val="single" w:sz="2" w:space="0" w:color="auto"/>
              <w:left w:val="single" w:sz="2" w:space="0" w:color="auto"/>
              <w:bottom w:val="single" w:sz="2" w:space="0" w:color="auto"/>
              <w:right w:val="single" w:sz="2" w:space="0" w:color="auto"/>
            </w:tcBorders>
            <w:vAlign w:val="center"/>
          </w:tcPr>
          <w:p w14:paraId="6BE5B2B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38,025.41</w:t>
            </w:r>
          </w:p>
        </w:tc>
        <w:tc>
          <w:tcPr>
            <w:tcW w:w="1193" w:type="dxa"/>
            <w:tcBorders>
              <w:top w:val="single" w:sz="2" w:space="0" w:color="auto"/>
              <w:left w:val="single" w:sz="2" w:space="0" w:color="auto"/>
              <w:bottom w:val="single" w:sz="2" w:space="0" w:color="auto"/>
              <w:right w:val="single" w:sz="2" w:space="0" w:color="auto"/>
            </w:tcBorders>
            <w:vAlign w:val="center"/>
          </w:tcPr>
          <w:p w14:paraId="66071058" w14:textId="253BCFA8" w:rsidR="006C011D" w:rsidRPr="005A284F" w:rsidRDefault="00000000" w:rsidP="00253F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）暂时补充流动资金</w:t>
            </w:r>
            <w:r w:rsidRPr="005A284F">
              <w:rPr>
                <w:rFonts w:ascii="Times New Roman" w:eastAsia="宋体" w:hAnsi="Times New Roman" w:cs="Times New Roman"/>
                <w:sz w:val="18"/>
                <w:szCs w:val="18"/>
              </w:rPr>
              <w:t>37,980.00</w:t>
            </w:r>
            <w:r w:rsidRPr="005A284F">
              <w:rPr>
                <w:rFonts w:ascii="Times New Roman" w:eastAsia="宋体" w:hAnsi="Times New Roman" w:cs="Times New Roman"/>
                <w:sz w:val="18"/>
                <w:szCs w:val="18"/>
              </w:rPr>
              <w:t>万元；</w:t>
            </w:r>
          </w:p>
          <w:p w14:paraId="380ADA68" w14:textId="419C537E" w:rsidR="006C011D" w:rsidRPr="005A284F" w:rsidRDefault="00000000" w:rsidP="00253F00">
            <w:pPr>
              <w:spacing w:after="0" w:line="240" w:lineRule="exact"/>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）其余未使用的募集资金人民币</w:t>
            </w:r>
            <w:r w:rsidRPr="005A284F">
              <w:rPr>
                <w:rFonts w:ascii="Times New Roman" w:eastAsia="宋体" w:hAnsi="Times New Roman" w:cs="Times New Roman"/>
                <w:sz w:val="18"/>
                <w:szCs w:val="18"/>
              </w:rPr>
              <w:t>45.41</w:t>
            </w:r>
            <w:r w:rsidRPr="005A284F">
              <w:rPr>
                <w:rFonts w:ascii="Times New Roman" w:eastAsia="宋体" w:hAnsi="Times New Roman" w:cs="Times New Roman"/>
                <w:sz w:val="18"/>
                <w:szCs w:val="18"/>
              </w:rPr>
              <w:t>万元存放于募集资金专用账户。</w:t>
            </w:r>
          </w:p>
        </w:tc>
        <w:tc>
          <w:tcPr>
            <w:tcW w:w="567" w:type="dxa"/>
            <w:tcBorders>
              <w:top w:val="single" w:sz="2" w:space="0" w:color="auto"/>
              <w:left w:val="single" w:sz="2" w:space="0" w:color="auto"/>
              <w:bottom w:val="single" w:sz="2" w:space="0" w:color="auto"/>
              <w:right w:val="single" w:sz="2" w:space="0" w:color="auto"/>
            </w:tcBorders>
            <w:vAlign w:val="center"/>
          </w:tcPr>
          <w:p w14:paraId="1369AAD7" w14:textId="77777777" w:rsidR="006C011D" w:rsidRPr="005A284F" w:rsidRDefault="00000000" w:rsidP="00253F00">
            <w:pPr>
              <w:spacing w:after="0" w:line="240" w:lineRule="exact"/>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r>
      <w:tr w:rsidR="00253F00" w:rsidRPr="005A284F" w14:paraId="19CF857E" w14:textId="77777777" w:rsidTr="00253F00">
        <w:trPr>
          <w:trHeight w:val="238"/>
          <w:jc w:val="center"/>
        </w:trPr>
        <w:tc>
          <w:tcPr>
            <w:tcW w:w="630" w:type="dxa"/>
            <w:tcBorders>
              <w:top w:val="single" w:sz="2" w:space="0" w:color="auto"/>
              <w:left w:val="single" w:sz="2" w:space="0" w:color="auto"/>
              <w:bottom w:val="single" w:sz="2" w:space="0" w:color="auto"/>
              <w:right w:val="single" w:sz="2" w:space="0" w:color="auto"/>
            </w:tcBorders>
            <w:vAlign w:val="center"/>
          </w:tcPr>
          <w:p w14:paraId="3C8CB64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2021</w:t>
            </w:r>
            <w:r w:rsidRPr="005A284F">
              <w:rPr>
                <w:rFonts w:ascii="Times New Roman" w:eastAsia="宋体" w:hAnsi="Times New Roman" w:cs="Times New Roman"/>
                <w:sz w:val="18"/>
                <w:szCs w:val="18"/>
              </w:rPr>
              <w:t>年</w:t>
            </w:r>
          </w:p>
        </w:tc>
        <w:tc>
          <w:tcPr>
            <w:tcW w:w="851" w:type="dxa"/>
            <w:tcBorders>
              <w:top w:val="single" w:sz="2" w:space="0" w:color="auto"/>
              <w:left w:val="single" w:sz="2" w:space="0" w:color="auto"/>
              <w:bottom w:val="single" w:sz="2" w:space="0" w:color="auto"/>
              <w:right w:val="single" w:sz="2" w:space="0" w:color="auto"/>
            </w:tcBorders>
            <w:vAlign w:val="center"/>
          </w:tcPr>
          <w:p w14:paraId="7D3924A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向特定对象发行股票</w:t>
            </w:r>
          </w:p>
        </w:tc>
        <w:tc>
          <w:tcPr>
            <w:tcW w:w="708" w:type="dxa"/>
            <w:tcBorders>
              <w:top w:val="single" w:sz="2" w:space="0" w:color="auto"/>
              <w:left w:val="single" w:sz="2" w:space="0" w:color="auto"/>
              <w:bottom w:val="single" w:sz="2" w:space="0" w:color="auto"/>
              <w:right w:val="single" w:sz="2" w:space="0" w:color="auto"/>
            </w:tcBorders>
            <w:vAlign w:val="center"/>
          </w:tcPr>
          <w:p w14:paraId="143FB4E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2021</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6B0B7ED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62,040</w:t>
            </w:r>
          </w:p>
        </w:tc>
        <w:tc>
          <w:tcPr>
            <w:tcW w:w="832" w:type="dxa"/>
            <w:tcBorders>
              <w:top w:val="single" w:sz="2" w:space="0" w:color="auto"/>
              <w:left w:val="single" w:sz="2" w:space="0" w:color="auto"/>
              <w:bottom w:val="single" w:sz="2" w:space="0" w:color="auto"/>
              <w:right w:val="single" w:sz="2" w:space="0" w:color="auto"/>
            </w:tcBorders>
            <w:vAlign w:val="center"/>
          </w:tcPr>
          <w:p w14:paraId="330E138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61,020.96</w:t>
            </w:r>
          </w:p>
        </w:tc>
        <w:tc>
          <w:tcPr>
            <w:tcW w:w="746" w:type="dxa"/>
            <w:tcBorders>
              <w:top w:val="single" w:sz="2" w:space="0" w:color="auto"/>
              <w:left w:val="single" w:sz="2" w:space="0" w:color="auto"/>
              <w:bottom w:val="single" w:sz="2" w:space="0" w:color="auto"/>
              <w:right w:val="single" w:sz="2" w:space="0" w:color="auto"/>
            </w:tcBorders>
            <w:vAlign w:val="center"/>
          </w:tcPr>
          <w:p w14:paraId="3E0F69E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1,806.86</w:t>
            </w:r>
          </w:p>
        </w:tc>
        <w:tc>
          <w:tcPr>
            <w:tcW w:w="832" w:type="dxa"/>
            <w:tcBorders>
              <w:top w:val="single" w:sz="2" w:space="0" w:color="auto"/>
              <w:left w:val="single" w:sz="2" w:space="0" w:color="auto"/>
              <w:bottom w:val="single" w:sz="2" w:space="0" w:color="auto"/>
              <w:right w:val="single" w:sz="2" w:space="0" w:color="auto"/>
            </w:tcBorders>
            <w:vAlign w:val="center"/>
          </w:tcPr>
          <w:p w14:paraId="705F5AB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53,623.96</w:t>
            </w:r>
          </w:p>
        </w:tc>
        <w:tc>
          <w:tcPr>
            <w:tcW w:w="850" w:type="dxa"/>
            <w:tcBorders>
              <w:top w:val="single" w:sz="2" w:space="0" w:color="auto"/>
              <w:left w:val="single" w:sz="2" w:space="0" w:color="auto"/>
              <w:bottom w:val="single" w:sz="2" w:space="0" w:color="auto"/>
              <w:right w:val="single" w:sz="2" w:space="0" w:color="auto"/>
            </w:tcBorders>
            <w:vAlign w:val="center"/>
          </w:tcPr>
          <w:p w14:paraId="1527684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87.88%</w:t>
            </w:r>
          </w:p>
        </w:tc>
        <w:tc>
          <w:tcPr>
            <w:tcW w:w="554" w:type="dxa"/>
            <w:tcBorders>
              <w:top w:val="single" w:sz="2" w:space="0" w:color="auto"/>
              <w:left w:val="single" w:sz="2" w:space="0" w:color="auto"/>
              <w:bottom w:val="single" w:sz="2" w:space="0" w:color="auto"/>
              <w:right w:val="single" w:sz="2" w:space="0" w:color="auto"/>
            </w:tcBorders>
            <w:vAlign w:val="center"/>
          </w:tcPr>
          <w:p w14:paraId="23D96C1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580" w:type="dxa"/>
            <w:tcBorders>
              <w:top w:val="single" w:sz="2" w:space="0" w:color="auto"/>
              <w:left w:val="single" w:sz="2" w:space="0" w:color="auto"/>
              <w:bottom w:val="single" w:sz="2" w:space="0" w:color="auto"/>
              <w:right w:val="single" w:sz="2" w:space="0" w:color="auto"/>
            </w:tcBorders>
            <w:vAlign w:val="center"/>
          </w:tcPr>
          <w:p w14:paraId="6714ED4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14:paraId="28DF696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851" w:type="dxa"/>
            <w:tcBorders>
              <w:top w:val="single" w:sz="2" w:space="0" w:color="auto"/>
              <w:left w:val="single" w:sz="2" w:space="0" w:color="auto"/>
              <w:bottom w:val="single" w:sz="2" w:space="0" w:color="auto"/>
              <w:right w:val="single" w:sz="2" w:space="0" w:color="auto"/>
            </w:tcBorders>
            <w:vAlign w:val="center"/>
          </w:tcPr>
          <w:p w14:paraId="1DDA64A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7,469.12</w:t>
            </w:r>
          </w:p>
        </w:tc>
        <w:tc>
          <w:tcPr>
            <w:tcW w:w="1193" w:type="dxa"/>
            <w:tcBorders>
              <w:top w:val="single" w:sz="2" w:space="0" w:color="auto"/>
              <w:left w:val="single" w:sz="2" w:space="0" w:color="auto"/>
              <w:bottom w:val="single" w:sz="2" w:space="0" w:color="auto"/>
              <w:right w:val="single" w:sz="2" w:space="0" w:color="auto"/>
            </w:tcBorders>
            <w:vAlign w:val="center"/>
          </w:tcPr>
          <w:p w14:paraId="5E53961B" w14:textId="77777777" w:rsidR="006C011D" w:rsidRPr="005A284F" w:rsidRDefault="00000000" w:rsidP="00253F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）暂时补充流动资金</w:t>
            </w:r>
            <w:r w:rsidRPr="005A284F">
              <w:rPr>
                <w:rFonts w:ascii="Times New Roman" w:eastAsia="宋体" w:hAnsi="Times New Roman" w:cs="Times New Roman"/>
                <w:sz w:val="18"/>
                <w:szCs w:val="18"/>
              </w:rPr>
              <w:t>7,286.80</w:t>
            </w:r>
            <w:r w:rsidRPr="005A284F">
              <w:rPr>
                <w:rFonts w:ascii="Times New Roman" w:eastAsia="宋体" w:hAnsi="Times New Roman" w:cs="Times New Roman"/>
                <w:sz w:val="18"/>
                <w:szCs w:val="18"/>
              </w:rPr>
              <w:t>万元；</w:t>
            </w:r>
          </w:p>
          <w:p w14:paraId="47B2824B" w14:textId="77777777" w:rsidR="006C011D" w:rsidRPr="005A284F" w:rsidRDefault="00000000" w:rsidP="00253F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）其余未使用的募集资金人民币</w:t>
            </w:r>
            <w:r w:rsidRPr="005A284F">
              <w:rPr>
                <w:rFonts w:ascii="Times New Roman" w:eastAsia="宋体" w:hAnsi="Times New Roman" w:cs="Times New Roman"/>
                <w:sz w:val="18"/>
                <w:szCs w:val="18"/>
              </w:rPr>
              <w:t>182.32</w:t>
            </w:r>
            <w:r w:rsidRPr="005A284F">
              <w:rPr>
                <w:rFonts w:ascii="Times New Roman" w:eastAsia="宋体" w:hAnsi="Times New Roman" w:cs="Times New Roman"/>
                <w:sz w:val="18"/>
                <w:szCs w:val="18"/>
              </w:rPr>
              <w:t>万元存放于募</w:t>
            </w:r>
            <w:r w:rsidRPr="005A284F">
              <w:rPr>
                <w:rFonts w:ascii="Times New Roman" w:eastAsia="宋体" w:hAnsi="Times New Roman" w:cs="Times New Roman"/>
                <w:sz w:val="18"/>
                <w:szCs w:val="18"/>
              </w:rPr>
              <w:lastRenderedPageBreak/>
              <w:t>集资金专用账户</w:t>
            </w:r>
          </w:p>
        </w:tc>
        <w:tc>
          <w:tcPr>
            <w:tcW w:w="567" w:type="dxa"/>
            <w:tcBorders>
              <w:top w:val="single" w:sz="2" w:space="0" w:color="auto"/>
              <w:left w:val="single" w:sz="2" w:space="0" w:color="auto"/>
              <w:bottom w:val="single" w:sz="2" w:space="0" w:color="auto"/>
              <w:right w:val="single" w:sz="2" w:space="0" w:color="auto"/>
            </w:tcBorders>
            <w:vAlign w:val="center"/>
          </w:tcPr>
          <w:p w14:paraId="263D5416" w14:textId="77777777" w:rsidR="006C011D" w:rsidRPr="005A284F" w:rsidRDefault="00000000" w:rsidP="00253F00">
            <w:pPr>
              <w:spacing w:after="0" w:line="240" w:lineRule="exact"/>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0</w:t>
            </w:r>
          </w:p>
        </w:tc>
      </w:tr>
      <w:tr w:rsidR="00253F00" w:rsidRPr="005A284F" w14:paraId="4E9573B8" w14:textId="77777777" w:rsidTr="00253F00">
        <w:trPr>
          <w:trHeight w:val="238"/>
          <w:jc w:val="center"/>
        </w:trPr>
        <w:tc>
          <w:tcPr>
            <w:tcW w:w="630" w:type="dxa"/>
            <w:tcBorders>
              <w:top w:val="single" w:sz="2" w:space="0" w:color="auto"/>
              <w:left w:val="single" w:sz="2" w:space="0" w:color="auto"/>
              <w:bottom w:val="single" w:sz="2" w:space="0" w:color="auto"/>
              <w:right w:val="single" w:sz="2" w:space="0" w:color="auto"/>
            </w:tcBorders>
            <w:shd w:val="clear" w:color="auto" w:fill="D3D3D3"/>
            <w:vAlign w:val="center"/>
          </w:tcPr>
          <w:p w14:paraId="494100C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5DC7892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14:paraId="4AE5026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w:t>
            </w:r>
          </w:p>
        </w:tc>
        <w:tc>
          <w:tcPr>
            <w:tcW w:w="709" w:type="dxa"/>
            <w:tcBorders>
              <w:top w:val="single" w:sz="2" w:space="0" w:color="auto"/>
              <w:left w:val="single" w:sz="2" w:space="0" w:color="auto"/>
              <w:bottom w:val="single" w:sz="2" w:space="0" w:color="auto"/>
              <w:right w:val="single" w:sz="2" w:space="0" w:color="auto"/>
            </w:tcBorders>
            <w:vAlign w:val="center"/>
          </w:tcPr>
          <w:p w14:paraId="4E9AA2A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157,040</w:t>
            </w:r>
          </w:p>
        </w:tc>
        <w:tc>
          <w:tcPr>
            <w:tcW w:w="832" w:type="dxa"/>
            <w:tcBorders>
              <w:top w:val="single" w:sz="2" w:space="0" w:color="auto"/>
              <w:left w:val="single" w:sz="2" w:space="0" w:color="auto"/>
              <w:bottom w:val="single" w:sz="2" w:space="0" w:color="auto"/>
              <w:right w:val="single" w:sz="2" w:space="0" w:color="auto"/>
            </w:tcBorders>
            <w:vAlign w:val="center"/>
          </w:tcPr>
          <w:p w14:paraId="1D5DD99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154,515.26</w:t>
            </w:r>
          </w:p>
        </w:tc>
        <w:tc>
          <w:tcPr>
            <w:tcW w:w="746" w:type="dxa"/>
            <w:tcBorders>
              <w:top w:val="single" w:sz="2" w:space="0" w:color="auto"/>
              <w:left w:val="single" w:sz="2" w:space="0" w:color="auto"/>
              <w:bottom w:val="single" w:sz="2" w:space="0" w:color="auto"/>
              <w:right w:val="single" w:sz="2" w:space="0" w:color="auto"/>
            </w:tcBorders>
            <w:vAlign w:val="center"/>
          </w:tcPr>
          <w:p w14:paraId="3470A32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2,356.38</w:t>
            </w:r>
          </w:p>
        </w:tc>
        <w:tc>
          <w:tcPr>
            <w:tcW w:w="832" w:type="dxa"/>
            <w:tcBorders>
              <w:top w:val="single" w:sz="2" w:space="0" w:color="auto"/>
              <w:left w:val="single" w:sz="2" w:space="0" w:color="auto"/>
              <w:bottom w:val="single" w:sz="2" w:space="0" w:color="auto"/>
              <w:right w:val="single" w:sz="2" w:space="0" w:color="auto"/>
            </w:tcBorders>
            <w:vAlign w:val="center"/>
          </w:tcPr>
          <w:p w14:paraId="602F3B2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111,861.19</w:t>
            </w:r>
          </w:p>
        </w:tc>
        <w:tc>
          <w:tcPr>
            <w:tcW w:w="850" w:type="dxa"/>
            <w:tcBorders>
              <w:top w:val="single" w:sz="2" w:space="0" w:color="auto"/>
              <w:left w:val="single" w:sz="2" w:space="0" w:color="auto"/>
              <w:bottom w:val="single" w:sz="2" w:space="0" w:color="auto"/>
              <w:right w:val="single" w:sz="2" w:space="0" w:color="auto"/>
            </w:tcBorders>
            <w:vAlign w:val="center"/>
          </w:tcPr>
          <w:p w14:paraId="0EFDEF7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72.39%</w:t>
            </w:r>
          </w:p>
        </w:tc>
        <w:tc>
          <w:tcPr>
            <w:tcW w:w="554" w:type="dxa"/>
            <w:tcBorders>
              <w:top w:val="single" w:sz="2" w:space="0" w:color="auto"/>
              <w:left w:val="single" w:sz="2" w:space="0" w:color="auto"/>
              <w:bottom w:val="single" w:sz="2" w:space="0" w:color="auto"/>
              <w:right w:val="single" w:sz="2" w:space="0" w:color="auto"/>
            </w:tcBorders>
            <w:vAlign w:val="center"/>
          </w:tcPr>
          <w:p w14:paraId="3ED7571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580" w:type="dxa"/>
            <w:tcBorders>
              <w:top w:val="single" w:sz="2" w:space="0" w:color="auto"/>
              <w:left w:val="single" w:sz="2" w:space="0" w:color="auto"/>
              <w:bottom w:val="single" w:sz="2" w:space="0" w:color="auto"/>
              <w:right w:val="single" w:sz="2" w:space="0" w:color="auto"/>
            </w:tcBorders>
            <w:vAlign w:val="center"/>
          </w:tcPr>
          <w:p w14:paraId="6635823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14:paraId="2DD18F4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851" w:type="dxa"/>
            <w:tcBorders>
              <w:top w:val="single" w:sz="2" w:space="0" w:color="auto"/>
              <w:left w:val="single" w:sz="2" w:space="0" w:color="auto"/>
              <w:bottom w:val="single" w:sz="2" w:space="0" w:color="auto"/>
              <w:right w:val="single" w:sz="2" w:space="0" w:color="auto"/>
            </w:tcBorders>
            <w:vAlign w:val="center"/>
          </w:tcPr>
          <w:p w14:paraId="5B71CCE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45,494.53</w:t>
            </w:r>
          </w:p>
        </w:tc>
        <w:tc>
          <w:tcPr>
            <w:tcW w:w="1193" w:type="dxa"/>
            <w:tcBorders>
              <w:top w:val="single" w:sz="2" w:space="0" w:color="auto"/>
              <w:left w:val="single" w:sz="2" w:space="0" w:color="auto"/>
              <w:bottom w:val="single" w:sz="2" w:space="0" w:color="auto"/>
              <w:right w:val="single" w:sz="2" w:space="0" w:color="auto"/>
            </w:tcBorders>
            <w:shd w:val="clear" w:color="auto" w:fill="D3D3D3"/>
            <w:vAlign w:val="center"/>
          </w:tcPr>
          <w:p w14:paraId="37CF031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w:t>
            </w:r>
          </w:p>
        </w:tc>
        <w:tc>
          <w:tcPr>
            <w:tcW w:w="567" w:type="dxa"/>
            <w:tcBorders>
              <w:top w:val="single" w:sz="2" w:space="0" w:color="auto"/>
              <w:left w:val="single" w:sz="2" w:space="0" w:color="auto"/>
              <w:bottom w:val="single" w:sz="2" w:space="0" w:color="auto"/>
              <w:right w:val="single" w:sz="2" w:space="0" w:color="auto"/>
            </w:tcBorders>
            <w:vAlign w:val="center"/>
          </w:tcPr>
          <w:p w14:paraId="1BB6CAF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r>
      <w:tr w:rsidR="006C011D" w:rsidRPr="005A284F" w14:paraId="50502468" w14:textId="77777777" w:rsidTr="00253F00">
        <w:trPr>
          <w:trHeight w:val="238"/>
          <w:jc w:val="center"/>
        </w:trPr>
        <w:tc>
          <w:tcPr>
            <w:tcW w:w="10612" w:type="dxa"/>
            <w:gridSpan w:val="14"/>
            <w:tcBorders>
              <w:top w:val="single" w:sz="2" w:space="0" w:color="auto"/>
              <w:left w:val="single" w:sz="2" w:space="0" w:color="auto"/>
              <w:bottom w:val="single" w:sz="2" w:space="0" w:color="auto"/>
              <w:right w:val="single" w:sz="2" w:space="0" w:color="auto"/>
            </w:tcBorders>
            <w:shd w:val="clear" w:color="auto" w:fill="D3D3D3"/>
            <w:vAlign w:val="center"/>
          </w:tcPr>
          <w:p w14:paraId="56853BB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募集资金总体使用情况说明</w:t>
            </w:r>
          </w:p>
        </w:tc>
      </w:tr>
      <w:tr w:rsidR="006C011D" w:rsidRPr="005A284F" w14:paraId="454A7BB7" w14:textId="77777777" w:rsidTr="00253F00">
        <w:trPr>
          <w:trHeight w:val="238"/>
          <w:jc w:val="center"/>
        </w:trPr>
        <w:tc>
          <w:tcPr>
            <w:tcW w:w="10612" w:type="dxa"/>
            <w:gridSpan w:val="14"/>
            <w:tcBorders>
              <w:top w:val="single" w:sz="2" w:space="0" w:color="auto"/>
              <w:left w:val="single" w:sz="2" w:space="0" w:color="auto"/>
              <w:bottom w:val="single" w:sz="2" w:space="0" w:color="auto"/>
              <w:right w:val="single" w:sz="2" w:space="0" w:color="auto"/>
            </w:tcBorders>
            <w:vAlign w:val="center"/>
          </w:tcPr>
          <w:p w14:paraId="2D91969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详见</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第三节，六、</w:t>
            </w:r>
            <w:r w:rsidRPr="005A284F">
              <w:rPr>
                <w:rFonts w:ascii="Times New Roman" w:eastAsia="宋体" w:hAnsi="Times New Roman" w:cs="Times New Roman"/>
                <w:sz w:val="18"/>
                <w:szCs w:val="18"/>
              </w:rPr>
              <w:t>5</w:t>
            </w:r>
            <w:r w:rsidRPr="005A284F">
              <w:rPr>
                <w:rFonts w:ascii="Times New Roman" w:eastAsia="宋体" w:hAnsi="Times New Roman" w:cs="Times New Roman"/>
                <w:sz w:val="18"/>
                <w:szCs w:val="18"/>
              </w:rPr>
              <w:t>，募集资金承诺项目情况</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以及公司同日披露于指定信息披露媒体巨潮资讯网（</w:t>
            </w:r>
            <w:r w:rsidRPr="005A284F">
              <w:rPr>
                <w:rFonts w:ascii="Times New Roman" w:eastAsia="宋体" w:hAnsi="Times New Roman" w:cs="Times New Roman"/>
                <w:sz w:val="18"/>
                <w:szCs w:val="18"/>
              </w:rPr>
              <w:t>http://www.cninfo.com.cn</w:t>
            </w:r>
            <w:r w:rsidRPr="005A284F">
              <w:rPr>
                <w:rFonts w:ascii="Times New Roman" w:eastAsia="宋体" w:hAnsi="Times New Roman" w:cs="Times New Roman"/>
                <w:sz w:val="18"/>
                <w:szCs w:val="18"/>
              </w:rPr>
              <w:t>）的《山东龙大美食股份有限公司</w:t>
            </w: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年半年度募集资金存放与实际使用情况的专项报告》。</w:t>
            </w:r>
          </w:p>
        </w:tc>
      </w:tr>
    </w:tbl>
    <w:p w14:paraId="5578EE0D" w14:textId="74C86778" w:rsidR="006C011D" w:rsidRPr="005A284F" w:rsidRDefault="00000000">
      <w:pPr>
        <w:keepNext/>
        <w:keepLines/>
        <w:spacing w:before="300" w:after="300" w:line="280" w:lineRule="exact"/>
        <w:outlineLvl w:val="3"/>
        <w:rPr>
          <w:rFonts w:ascii="Times New Roman" w:eastAsia="宋体" w:hAnsi="Times New Roman" w:cs="Times New Roman"/>
          <w:b/>
          <w:bCs/>
          <w:sz w:val="18"/>
          <w:szCs w:val="18"/>
        </w:rPr>
      </w:pPr>
      <w:bookmarkStart w:id="32" w:name="_Toc988921"/>
      <w:r w:rsidRPr="005A284F">
        <w:rPr>
          <w:rFonts w:ascii="Times New Roman" w:eastAsia="宋体" w:hAnsi="Times New Roman" w:cs="Times New Roman"/>
          <w:b/>
          <w:bCs/>
          <w:sz w:val="18"/>
          <w:szCs w:val="18"/>
        </w:rPr>
        <w:t>（</w:t>
      </w:r>
      <w:r w:rsidRPr="005A284F">
        <w:rPr>
          <w:rFonts w:ascii="Times New Roman" w:eastAsia="宋体" w:hAnsi="Times New Roman" w:cs="Times New Roman"/>
          <w:b/>
          <w:bCs/>
          <w:sz w:val="18"/>
          <w:szCs w:val="18"/>
        </w:rPr>
        <w:t>2</w:t>
      </w:r>
      <w:r w:rsidRPr="005A284F">
        <w:rPr>
          <w:rFonts w:ascii="Times New Roman" w:eastAsia="宋体" w:hAnsi="Times New Roman" w:cs="Times New Roman"/>
          <w:b/>
          <w:bCs/>
          <w:sz w:val="18"/>
          <w:szCs w:val="18"/>
        </w:rPr>
        <w:t>）募集资金承诺项目情况</w:t>
      </w:r>
      <w:bookmarkEnd w:id="32"/>
    </w:p>
    <w:p w14:paraId="1B514902" w14:textId="77777777" w:rsidR="006C011D" w:rsidRPr="00253F00" w:rsidRDefault="00000000">
      <w:pPr>
        <w:spacing w:before="40" w:after="40" w:line="240" w:lineRule="exact"/>
        <w:rPr>
          <w:rFonts w:ascii="宋体" w:eastAsia="宋体" w:hAnsi="宋体" w:cs="Times New Roman" w:hint="eastAsia"/>
          <w:sz w:val="18"/>
          <w:szCs w:val="18"/>
        </w:rPr>
      </w:pPr>
      <w:r w:rsidRPr="00253F00">
        <w:rPr>
          <w:rFonts w:ascii="宋体" w:eastAsia="宋体" w:hAnsi="宋体" w:cs="Times New Roman"/>
          <w:sz w:val="18"/>
          <w:szCs w:val="18"/>
        </w:rPr>
        <w:sym w:font="Wingdings 2" w:char="F052"/>
      </w:r>
      <w:r w:rsidRPr="00253F00">
        <w:rPr>
          <w:rFonts w:ascii="宋体" w:eastAsia="宋体" w:hAnsi="宋体" w:cs="Times New Roman"/>
          <w:sz w:val="18"/>
          <w:szCs w:val="18"/>
        </w:rPr>
        <w:t>适用 □不适用</w:t>
      </w:r>
    </w:p>
    <w:p w14:paraId="186A94DD" w14:textId="77777777" w:rsidR="006C011D" w:rsidRPr="005A284F" w:rsidRDefault="00000000">
      <w:pPr>
        <w:spacing w:before="120" w:after="12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单位：万元</w:t>
      </w:r>
    </w:p>
    <w:tbl>
      <w:tblPr>
        <w:tblW w:w="10773" w:type="dxa"/>
        <w:tblInd w:w="-56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0" w:type="dxa"/>
          <w:right w:w="0" w:type="dxa"/>
        </w:tblCellMar>
        <w:tblLook w:val="04A0" w:firstRow="1" w:lastRow="0" w:firstColumn="1" w:lastColumn="0" w:noHBand="0" w:noVBand="1"/>
      </w:tblPr>
      <w:tblGrid>
        <w:gridCol w:w="851"/>
        <w:gridCol w:w="709"/>
        <w:gridCol w:w="1038"/>
        <w:gridCol w:w="521"/>
        <w:gridCol w:w="425"/>
        <w:gridCol w:w="709"/>
        <w:gridCol w:w="914"/>
        <w:gridCol w:w="643"/>
        <w:gridCol w:w="853"/>
        <w:gridCol w:w="708"/>
        <w:gridCol w:w="709"/>
        <w:gridCol w:w="709"/>
        <w:gridCol w:w="850"/>
        <w:gridCol w:w="567"/>
        <w:gridCol w:w="567"/>
      </w:tblGrid>
      <w:tr w:rsidR="00253F00" w:rsidRPr="005A284F" w14:paraId="31E6D2FF" w14:textId="77777777" w:rsidTr="00253F00">
        <w:trPr>
          <w:trHeight w:val="240"/>
        </w:trPr>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4BDDB28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融资项目名称</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1316F9D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证券上市日期</w:t>
            </w:r>
          </w:p>
        </w:tc>
        <w:tc>
          <w:tcPr>
            <w:tcW w:w="1038" w:type="dxa"/>
            <w:tcBorders>
              <w:top w:val="single" w:sz="2" w:space="0" w:color="auto"/>
              <w:left w:val="single" w:sz="2" w:space="0" w:color="auto"/>
              <w:bottom w:val="single" w:sz="2" w:space="0" w:color="auto"/>
              <w:right w:val="single" w:sz="2" w:space="0" w:color="auto"/>
            </w:tcBorders>
            <w:shd w:val="clear" w:color="auto" w:fill="D3D3D3"/>
            <w:vAlign w:val="center"/>
          </w:tcPr>
          <w:p w14:paraId="737BEFF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承诺投资项目和超募资金投向</w:t>
            </w:r>
          </w:p>
        </w:tc>
        <w:tc>
          <w:tcPr>
            <w:tcW w:w="521" w:type="dxa"/>
            <w:tcBorders>
              <w:top w:val="single" w:sz="2" w:space="0" w:color="auto"/>
              <w:left w:val="single" w:sz="2" w:space="0" w:color="auto"/>
              <w:bottom w:val="single" w:sz="2" w:space="0" w:color="auto"/>
              <w:right w:val="single" w:sz="2" w:space="0" w:color="auto"/>
            </w:tcBorders>
            <w:shd w:val="clear" w:color="auto" w:fill="D3D3D3"/>
            <w:vAlign w:val="center"/>
          </w:tcPr>
          <w:p w14:paraId="74B2CE4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项目性质</w:t>
            </w:r>
          </w:p>
        </w:tc>
        <w:tc>
          <w:tcPr>
            <w:tcW w:w="425" w:type="dxa"/>
            <w:tcBorders>
              <w:top w:val="single" w:sz="2" w:space="0" w:color="auto"/>
              <w:left w:val="single" w:sz="2" w:space="0" w:color="auto"/>
              <w:bottom w:val="single" w:sz="2" w:space="0" w:color="auto"/>
              <w:right w:val="single" w:sz="2" w:space="0" w:color="auto"/>
            </w:tcBorders>
            <w:shd w:val="clear" w:color="auto" w:fill="D3D3D3"/>
            <w:vAlign w:val="center"/>
          </w:tcPr>
          <w:p w14:paraId="0AA0159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是否已变更项目</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含部分变更</w:t>
            </w:r>
            <w:r w:rsidRPr="005A284F">
              <w:rPr>
                <w:rFonts w:ascii="Times New Roman" w:eastAsia="宋体" w:hAnsi="Times New Roman" w:cs="Times New Roman"/>
                <w:sz w:val="18"/>
                <w:szCs w:val="18"/>
              </w:rPr>
              <w:t>)</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3A692AA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募集资金承诺投资总额</w:t>
            </w:r>
          </w:p>
        </w:tc>
        <w:tc>
          <w:tcPr>
            <w:tcW w:w="914" w:type="dxa"/>
            <w:tcBorders>
              <w:top w:val="single" w:sz="2" w:space="0" w:color="auto"/>
              <w:left w:val="single" w:sz="2" w:space="0" w:color="auto"/>
              <w:bottom w:val="single" w:sz="2" w:space="0" w:color="auto"/>
              <w:right w:val="single" w:sz="2" w:space="0" w:color="auto"/>
            </w:tcBorders>
            <w:shd w:val="clear" w:color="auto" w:fill="D3D3D3"/>
            <w:vAlign w:val="center"/>
          </w:tcPr>
          <w:p w14:paraId="6F97337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调整后投资总额</w:t>
            </w:r>
            <w:r w:rsidRPr="005A284F">
              <w:rPr>
                <w:rFonts w:ascii="Times New Roman" w:eastAsia="宋体" w:hAnsi="Times New Roman" w:cs="Times New Roman"/>
                <w:sz w:val="18"/>
                <w:szCs w:val="18"/>
              </w:rPr>
              <w:t>(1)</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14:paraId="169E6FC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本报告期投入金额</w:t>
            </w:r>
          </w:p>
        </w:tc>
        <w:tc>
          <w:tcPr>
            <w:tcW w:w="853" w:type="dxa"/>
            <w:tcBorders>
              <w:top w:val="single" w:sz="2" w:space="0" w:color="auto"/>
              <w:left w:val="single" w:sz="2" w:space="0" w:color="auto"/>
              <w:bottom w:val="single" w:sz="2" w:space="0" w:color="auto"/>
              <w:right w:val="single" w:sz="2" w:space="0" w:color="auto"/>
            </w:tcBorders>
            <w:shd w:val="clear" w:color="auto" w:fill="D3D3D3"/>
            <w:vAlign w:val="center"/>
          </w:tcPr>
          <w:p w14:paraId="57327EB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截至期末累计投入金额</w:t>
            </w:r>
            <w:r w:rsidRPr="005A284F">
              <w:rPr>
                <w:rFonts w:ascii="Times New Roman" w:eastAsia="宋体" w:hAnsi="Times New Roman" w:cs="Times New Roman"/>
                <w:sz w:val="18"/>
                <w:szCs w:val="18"/>
              </w:rPr>
              <w:t>(2)</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14:paraId="4733AAB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截至期末投资进度</w:t>
            </w: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(2)/(1)</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2427FFF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项目达到预定可使用状态日期</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2D93CBB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本报告期实现的效益</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19FB510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截止报告期末累计实现的效益</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595F29D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是否达到预计效益</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32D509D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项目可行性是否发生重大变化</w:t>
            </w:r>
          </w:p>
        </w:tc>
      </w:tr>
      <w:tr w:rsidR="006C011D" w:rsidRPr="005A284F" w14:paraId="55D8116C" w14:textId="77777777" w:rsidTr="00253F00">
        <w:trPr>
          <w:trHeight w:val="240"/>
        </w:trPr>
        <w:tc>
          <w:tcPr>
            <w:tcW w:w="10773"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14:paraId="7F395753"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承诺投资项目</w:t>
            </w:r>
          </w:p>
        </w:tc>
      </w:tr>
      <w:tr w:rsidR="00253F00" w:rsidRPr="005A284F" w14:paraId="52D38180" w14:textId="77777777" w:rsidTr="00253F00">
        <w:trPr>
          <w:trHeight w:val="240"/>
        </w:trPr>
        <w:tc>
          <w:tcPr>
            <w:tcW w:w="851" w:type="dxa"/>
            <w:tcBorders>
              <w:top w:val="single" w:sz="2" w:space="0" w:color="auto"/>
              <w:left w:val="single" w:sz="2" w:space="0" w:color="auto"/>
              <w:bottom w:val="single" w:sz="2" w:space="0" w:color="auto"/>
              <w:right w:val="single" w:sz="2" w:space="0" w:color="auto"/>
            </w:tcBorders>
            <w:vAlign w:val="center"/>
          </w:tcPr>
          <w:p w14:paraId="5D21494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2020</w:t>
            </w:r>
            <w:r w:rsidRPr="005A284F">
              <w:rPr>
                <w:rFonts w:ascii="Times New Roman" w:eastAsia="宋体" w:hAnsi="Times New Roman" w:cs="Times New Roman"/>
                <w:sz w:val="18"/>
                <w:szCs w:val="18"/>
              </w:rPr>
              <w:t>年公开发行可转换公司债券</w:t>
            </w:r>
          </w:p>
        </w:tc>
        <w:tc>
          <w:tcPr>
            <w:tcW w:w="709" w:type="dxa"/>
            <w:tcBorders>
              <w:top w:val="single" w:sz="2" w:space="0" w:color="auto"/>
              <w:left w:val="single" w:sz="2" w:space="0" w:color="auto"/>
              <w:bottom w:val="single" w:sz="2" w:space="0" w:color="auto"/>
              <w:right w:val="single" w:sz="2" w:space="0" w:color="auto"/>
            </w:tcBorders>
            <w:vAlign w:val="center"/>
          </w:tcPr>
          <w:p w14:paraId="6104277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2020</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07</w:t>
            </w:r>
            <w:r w:rsidRPr="005A284F">
              <w:rPr>
                <w:rFonts w:ascii="Times New Roman" w:eastAsia="宋体" w:hAnsi="Times New Roman" w:cs="Times New Roman"/>
                <w:sz w:val="18"/>
                <w:szCs w:val="18"/>
              </w:rPr>
              <w:t>日</w:t>
            </w:r>
          </w:p>
        </w:tc>
        <w:tc>
          <w:tcPr>
            <w:tcW w:w="1038" w:type="dxa"/>
            <w:tcBorders>
              <w:top w:val="single" w:sz="2" w:space="0" w:color="auto"/>
              <w:left w:val="single" w:sz="2" w:space="0" w:color="auto"/>
              <w:bottom w:val="single" w:sz="2" w:space="0" w:color="auto"/>
              <w:right w:val="single" w:sz="2" w:space="0" w:color="auto"/>
            </w:tcBorders>
            <w:vAlign w:val="center"/>
          </w:tcPr>
          <w:p w14:paraId="776AECC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、补充流动资金</w:t>
            </w:r>
          </w:p>
        </w:tc>
        <w:tc>
          <w:tcPr>
            <w:tcW w:w="521" w:type="dxa"/>
            <w:tcBorders>
              <w:top w:val="single" w:sz="2" w:space="0" w:color="auto"/>
              <w:left w:val="single" w:sz="2" w:space="0" w:color="auto"/>
              <w:bottom w:val="single" w:sz="2" w:space="0" w:color="auto"/>
              <w:right w:val="single" w:sz="2" w:space="0" w:color="auto"/>
            </w:tcBorders>
            <w:vAlign w:val="center"/>
          </w:tcPr>
          <w:p w14:paraId="5C0B55E1" w14:textId="77777777" w:rsidR="006C011D" w:rsidRPr="005A284F" w:rsidRDefault="00000000" w:rsidP="00253F00">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生产建设</w:t>
            </w:r>
          </w:p>
        </w:tc>
        <w:tc>
          <w:tcPr>
            <w:tcW w:w="425" w:type="dxa"/>
            <w:tcBorders>
              <w:top w:val="single" w:sz="2" w:space="0" w:color="auto"/>
              <w:left w:val="single" w:sz="2" w:space="0" w:color="auto"/>
              <w:bottom w:val="single" w:sz="2" w:space="0" w:color="auto"/>
              <w:right w:val="single" w:sz="2" w:space="0" w:color="auto"/>
            </w:tcBorders>
            <w:vAlign w:val="center"/>
          </w:tcPr>
          <w:p w14:paraId="39EA77AC" w14:textId="77777777" w:rsidR="006C011D" w:rsidRPr="005A284F" w:rsidRDefault="00000000" w:rsidP="00253F00">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709" w:type="dxa"/>
            <w:tcBorders>
              <w:top w:val="single" w:sz="2" w:space="0" w:color="auto"/>
              <w:left w:val="single" w:sz="2" w:space="0" w:color="auto"/>
              <w:bottom w:val="single" w:sz="2" w:space="0" w:color="auto"/>
              <w:right w:val="single" w:sz="2" w:space="0" w:color="auto"/>
            </w:tcBorders>
            <w:vAlign w:val="center"/>
          </w:tcPr>
          <w:p w14:paraId="72FDE0A4" w14:textId="77777777" w:rsidR="006C011D" w:rsidRPr="005A284F" w:rsidRDefault="00000000" w:rsidP="00253F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28,500</w:t>
            </w:r>
          </w:p>
        </w:tc>
        <w:tc>
          <w:tcPr>
            <w:tcW w:w="914" w:type="dxa"/>
            <w:tcBorders>
              <w:top w:val="single" w:sz="2" w:space="0" w:color="auto"/>
              <w:left w:val="single" w:sz="2" w:space="0" w:color="auto"/>
              <w:bottom w:val="single" w:sz="2" w:space="0" w:color="auto"/>
              <w:right w:val="single" w:sz="2" w:space="0" w:color="auto"/>
            </w:tcBorders>
            <w:vAlign w:val="center"/>
          </w:tcPr>
          <w:p w14:paraId="109FE7A5" w14:textId="77777777" w:rsidR="006C011D" w:rsidRPr="005A284F" w:rsidRDefault="00000000" w:rsidP="00253F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28,500</w:t>
            </w:r>
          </w:p>
        </w:tc>
        <w:tc>
          <w:tcPr>
            <w:tcW w:w="643" w:type="dxa"/>
            <w:tcBorders>
              <w:top w:val="single" w:sz="2" w:space="0" w:color="auto"/>
              <w:left w:val="single" w:sz="2" w:space="0" w:color="auto"/>
              <w:bottom w:val="single" w:sz="2" w:space="0" w:color="auto"/>
              <w:right w:val="single" w:sz="2" w:space="0" w:color="auto"/>
            </w:tcBorders>
            <w:vAlign w:val="center"/>
          </w:tcPr>
          <w:p w14:paraId="6186665A" w14:textId="77777777" w:rsidR="006C011D" w:rsidRPr="005A284F" w:rsidRDefault="00000000" w:rsidP="00253F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853" w:type="dxa"/>
            <w:tcBorders>
              <w:top w:val="single" w:sz="2" w:space="0" w:color="auto"/>
              <w:left w:val="single" w:sz="2" w:space="0" w:color="auto"/>
              <w:bottom w:val="single" w:sz="2" w:space="0" w:color="auto"/>
              <w:right w:val="single" w:sz="2" w:space="0" w:color="auto"/>
            </w:tcBorders>
            <w:vAlign w:val="center"/>
          </w:tcPr>
          <w:p w14:paraId="7C117A7C" w14:textId="77777777" w:rsidR="006C011D" w:rsidRPr="005A284F" w:rsidRDefault="00000000" w:rsidP="00253F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28,500</w:t>
            </w:r>
          </w:p>
        </w:tc>
        <w:tc>
          <w:tcPr>
            <w:tcW w:w="708" w:type="dxa"/>
            <w:tcBorders>
              <w:top w:val="single" w:sz="2" w:space="0" w:color="auto"/>
              <w:left w:val="single" w:sz="2" w:space="0" w:color="auto"/>
              <w:bottom w:val="single" w:sz="2" w:space="0" w:color="auto"/>
              <w:right w:val="single" w:sz="2" w:space="0" w:color="auto"/>
            </w:tcBorders>
            <w:vAlign w:val="center"/>
          </w:tcPr>
          <w:p w14:paraId="4594E78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709" w:type="dxa"/>
            <w:tcBorders>
              <w:top w:val="single" w:sz="2" w:space="0" w:color="auto"/>
              <w:left w:val="single" w:sz="2" w:space="0" w:color="auto"/>
              <w:bottom w:val="single" w:sz="2" w:space="0" w:color="auto"/>
              <w:right w:val="single" w:sz="2" w:space="0" w:color="auto"/>
            </w:tcBorders>
            <w:vAlign w:val="center"/>
          </w:tcPr>
          <w:p w14:paraId="7C83D37A" w14:textId="77777777" w:rsidR="006C011D" w:rsidRPr="005A284F" w:rsidRDefault="006C011D">
            <w:pPr>
              <w:spacing w:after="0" w:line="240" w:lineRule="exac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854E58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14:paraId="1BF76AB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567" w:type="dxa"/>
            <w:tcBorders>
              <w:top w:val="single" w:sz="2" w:space="0" w:color="auto"/>
              <w:left w:val="single" w:sz="2" w:space="0" w:color="auto"/>
              <w:bottom w:val="single" w:sz="2" w:space="0" w:color="auto"/>
              <w:right w:val="single" w:sz="2" w:space="0" w:color="auto"/>
            </w:tcBorders>
            <w:vAlign w:val="center"/>
          </w:tcPr>
          <w:p w14:paraId="7DC5475D" w14:textId="77777777" w:rsidR="006C011D" w:rsidRPr="005A284F" w:rsidRDefault="00000000" w:rsidP="00253F00">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不适用</w:t>
            </w:r>
          </w:p>
        </w:tc>
        <w:tc>
          <w:tcPr>
            <w:tcW w:w="567" w:type="dxa"/>
            <w:tcBorders>
              <w:top w:val="single" w:sz="2" w:space="0" w:color="auto"/>
              <w:left w:val="single" w:sz="2" w:space="0" w:color="auto"/>
              <w:bottom w:val="single" w:sz="2" w:space="0" w:color="auto"/>
              <w:right w:val="single" w:sz="2" w:space="0" w:color="auto"/>
            </w:tcBorders>
            <w:vAlign w:val="center"/>
          </w:tcPr>
          <w:p w14:paraId="144FC209" w14:textId="77777777" w:rsidR="006C011D" w:rsidRPr="005A284F" w:rsidRDefault="00000000" w:rsidP="00253F00">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253F00" w:rsidRPr="005A284F" w14:paraId="14F2BC0B" w14:textId="77777777" w:rsidTr="00253F00">
        <w:trPr>
          <w:trHeight w:val="240"/>
        </w:trPr>
        <w:tc>
          <w:tcPr>
            <w:tcW w:w="851" w:type="dxa"/>
            <w:tcBorders>
              <w:top w:val="single" w:sz="2" w:space="0" w:color="auto"/>
              <w:left w:val="single" w:sz="2" w:space="0" w:color="auto"/>
              <w:bottom w:val="single" w:sz="2" w:space="0" w:color="auto"/>
              <w:right w:val="single" w:sz="2" w:space="0" w:color="auto"/>
            </w:tcBorders>
            <w:vAlign w:val="center"/>
          </w:tcPr>
          <w:p w14:paraId="171BE81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2020</w:t>
            </w:r>
            <w:r w:rsidRPr="005A284F">
              <w:rPr>
                <w:rFonts w:ascii="Times New Roman" w:eastAsia="宋体" w:hAnsi="Times New Roman" w:cs="Times New Roman"/>
                <w:sz w:val="18"/>
                <w:szCs w:val="18"/>
              </w:rPr>
              <w:t>年公开发行可转换公司债券</w:t>
            </w:r>
          </w:p>
        </w:tc>
        <w:tc>
          <w:tcPr>
            <w:tcW w:w="709" w:type="dxa"/>
            <w:tcBorders>
              <w:top w:val="single" w:sz="2" w:space="0" w:color="auto"/>
              <w:left w:val="single" w:sz="2" w:space="0" w:color="auto"/>
              <w:bottom w:val="single" w:sz="2" w:space="0" w:color="auto"/>
              <w:right w:val="single" w:sz="2" w:space="0" w:color="auto"/>
            </w:tcBorders>
            <w:vAlign w:val="center"/>
          </w:tcPr>
          <w:p w14:paraId="24A4677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2020</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07</w:t>
            </w:r>
            <w:r w:rsidRPr="005A284F">
              <w:rPr>
                <w:rFonts w:ascii="Times New Roman" w:eastAsia="宋体" w:hAnsi="Times New Roman" w:cs="Times New Roman"/>
                <w:sz w:val="18"/>
                <w:szCs w:val="18"/>
              </w:rPr>
              <w:t>日</w:t>
            </w:r>
          </w:p>
        </w:tc>
        <w:tc>
          <w:tcPr>
            <w:tcW w:w="1038" w:type="dxa"/>
            <w:tcBorders>
              <w:top w:val="single" w:sz="2" w:space="0" w:color="auto"/>
              <w:left w:val="single" w:sz="2" w:space="0" w:color="auto"/>
              <w:bottom w:val="single" w:sz="2" w:space="0" w:color="auto"/>
              <w:right w:val="single" w:sz="2" w:space="0" w:color="auto"/>
            </w:tcBorders>
            <w:vAlign w:val="center"/>
          </w:tcPr>
          <w:p w14:paraId="5223272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、安丘市石埠子镇新建年出栏</w:t>
            </w:r>
            <w:r w:rsidRPr="005A284F">
              <w:rPr>
                <w:rFonts w:ascii="Times New Roman" w:eastAsia="宋体" w:hAnsi="Times New Roman" w:cs="Times New Roman"/>
                <w:sz w:val="18"/>
                <w:szCs w:val="18"/>
              </w:rPr>
              <w:t>50</w:t>
            </w:r>
            <w:r w:rsidRPr="005A284F">
              <w:rPr>
                <w:rFonts w:ascii="Times New Roman" w:eastAsia="宋体" w:hAnsi="Times New Roman" w:cs="Times New Roman"/>
                <w:sz w:val="18"/>
                <w:szCs w:val="18"/>
              </w:rPr>
              <w:t>万头商品猪项目（晏峪猪场、西刘庄猪场）</w:t>
            </w:r>
          </w:p>
        </w:tc>
        <w:tc>
          <w:tcPr>
            <w:tcW w:w="521" w:type="dxa"/>
            <w:tcBorders>
              <w:top w:val="single" w:sz="2" w:space="0" w:color="auto"/>
              <w:left w:val="single" w:sz="2" w:space="0" w:color="auto"/>
              <w:bottom w:val="single" w:sz="2" w:space="0" w:color="auto"/>
              <w:right w:val="single" w:sz="2" w:space="0" w:color="auto"/>
            </w:tcBorders>
            <w:vAlign w:val="center"/>
          </w:tcPr>
          <w:p w14:paraId="29A145CE" w14:textId="77777777" w:rsidR="006C011D" w:rsidRPr="005A284F" w:rsidRDefault="00000000" w:rsidP="00253F00">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生产建设</w:t>
            </w:r>
          </w:p>
        </w:tc>
        <w:tc>
          <w:tcPr>
            <w:tcW w:w="425" w:type="dxa"/>
            <w:tcBorders>
              <w:top w:val="single" w:sz="2" w:space="0" w:color="auto"/>
              <w:left w:val="single" w:sz="2" w:space="0" w:color="auto"/>
              <w:bottom w:val="single" w:sz="2" w:space="0" w:color="auto"/>
              <w:right w:val="single" w:sz="2" w:space="0" w:color="auto"/>
            </w:tcBorders>
            <w:vAlign w:val="center"/>
          </w:tcPr>
          <w:p w14:paraId="2AFFAC61" w14:textId="77777777" w:rsidR="006C011D" w:rsidRPr="005A284F" w:rsidRDefault="00000000" w:rsidP="00253F00">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709" w:type="dxa"/>
            <w:tcBorders>
              <w:top w:val="single" w:sz="2" w:space="0" w:color="auto"/>
              <w:left w:val="single" w:sz="2" w:space="0" w:color="auto"/>
              <w:bottom w:val="single" w:sz="2" w:space="0" w:color="auto"/>
              <w:right w:val="single" w:sz="2" w:space="0" w:color="auto"/>
            </w:tcBorders>
            <w:vAlign w:val="center"/>
          </w:tcPr>
          <w:p w14:paraId="2D84D616" w14:textId="77777777" w:rsidR="006C011D" w:rsidRPr="005A284F" w:rsidRDefault="00000000" w:rsidP="00253F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66,500</w:t>
            </w:r>
          </w:p>
        </w:tc>
        <w:tc>
          <w:tcPr>
            <w:tcW w:w="914" w:type="dxa"/>
            <w:tcBorders>
              <w:top w:val="single" w:sz="2" w:space="0" w:color="auto"/>
              <w:left w:val="single" w:sz="2" w:space="0" w:color="auto"/>
              <w:bottom w:val="single" w:sz="2" w:space="0" w:color="auto"/>
              <w:right w:val="single" w:sz="2" w:space="0" w:color="auto"/>
            </w:tcBorders>
            <w:vAlign w:val="center"/>
          </w:tcPr>
          <w:p w14:paraId="5C15E375" w14:textId="77777777" w:rsidR="006C011D" w:rsidRPr="005A284F" w:rsidRDefault="00000000" w:rsidP="00253F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66,500</w:t>
            </w:r>
          </w:p>
        </w:tc>
        <w:tc>
          <w:tcPr>
            <w:tcW w:w="643" w:type="dxa"/>
            <w:tcBorders>
              <w:top w:val="single" w:sz="2" w:space="0" w:color="auto"/>
              <w:left w:val="single" w:sz="2" w:space="0" w:color="auto"/>
              <w:bottom w:val="single" w:sz="2" w:space="0" w:color="auto"/>
              <w:right w:val="single" w:sz="2" w:space="0" w:color="auto"/>
            </w:tcBorders>
            <w:vAlign w:val="center"/>
          </w:tcPr>
          <w:p w14:paraId="4EC3D4B2" w14:textId="77777777" w:rsidR="006C011D" w:rsidRPr="005A284F" w:rsidRDefault="00000000" w:rsidP="00253F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549.52</w:t>
            </w:r>
          </w:p>
        </w:tc>
        <w:tc>
          <w:tcPr>
            <w:tcW w:w="853" w:type="dxa"/>
            <w:tcBorders>
              <w:top w:val="single" w:sz="2" w:space="0" w:color="auto"/>
              <w:left w:val="single" w:sz="2" w:space="0" w:color="auto"/>
              <w:bottom w:val="single" w:sz="2" w:space="0" w:color="auto"/>
              <w:right w:val="single" w:sz="2" w:space="0" w:color="auto"/>
            </w:tcBorders>
            <w:vAlign w:val="center"/>
          </w:tcPr>
          <w:p w14:paraId="49C39EA9" w14:textId="77777777" w:rsidR="006C011D" w:rsidRPr="005A284F" w:rsidRDefault="00000000" w:rsidP="00253F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29,737.23</w:t>
            </w:r>
          </w:p>
        </w:tc>
        <w:tc>
          <w:tcPr>
            <w:tcW w:w="708" w:type="dxa"/>
            <w:tcBorders>
              <w:top w:val="single" w:sz="2" w:space="0" w:color="auto"/>
              <w:left w:val="single" w:sz="2" w:space="0" w:color="auto"/>
              <w:bottom w:val="single" w:sz="2" w:space="0" w:color="auto"/>
              <w:right w:val="single" w:sz="2" w:space="0" w:color="auto"/>
            </w:tcBorders>
            <w:vAlign w:val="center"/>
          </w:tcPr>
          <w:p w14:paraId="70AA85B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44.72%</w:t>
            </w:r>
          </w:p>
        </w:tc>
        <w:tc>
          <w:tcPr>
            <w:tcW w:w="709" w:type="dxa"/>
            <w:tcBorders>
              <w:top w:val="single" w:sz="2" w:space="0" w:color="auto"/>
              <w:left w:val="single" w:sz="2" w:space="0" w:color="auto"/>
              <w:bottom w:val="single" w:sz="2" w:space="0" w:color="auto"/>
              <w:right w:val="single" w:sz="2" w:space="0" w:color="auto"/>
            </w:tcBorders>
            <w:vAlign w:val="center"/>
          </w:tcPr>
          <w:p w14:paraId="58D9CDBF" w14:textId="24D61F05" w:rsidR="006C011D" w:rsidRPr="005A284F" w:rsidRDefault="00032DC1" w:rsidP="0070121C">
            <w:pPr>
              <w:spacing w:after="0"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w:t>
            </w:r>
          </w:p>
        </w:tc>
        <w:tc>
          <w:tcPr>
            <w:tcW w:w="709" w:type="dxa"/>
            <w:tcBorders>
              <w:top w:val="single" w:sz="2" w:space="0" w:color="auto"/>
              <w:left w:val="single" w:sz="2" w:space="0" w:color="auto"/>
              <w:bottom w:val="single" w:sz="2" w:space="0" w:color="auto"/>
              <w:right w:val="single" w:sz="2" w:space="0" w:color="auto"/>
            </w:tcBorders>
            <w:vAlign w:val="center"/>
          </w:tcPr>
          <w:p w14:paraId="36B6FED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-1,110.83</w:t>
            </w:r>
          </w:p>
        </w:tc>
        <w:tc>
          <w:tcPr>
            <w:tcW w:w="850" w:type="dxa"/>
            <w:tcBorders>
              <w:top w:val="single" w:sz="2" w:space="0" w:color="auto"/>
              <w:left w:val="single" w:sz="2" w:space="0" w:color="auto"/>
              <w:bottom w:val="single" w:sz="2" w:space="0" w:color="auto"/>
              <w:right w:val="single" w:sz="2" w:space="0" w:color="auto"/>
            </w:tcBorders>
            <w:vAlign w:val="center"/>
          </w:tcPr>
          <w:p w14:paraId="255A570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-8,113.15</w:t>
            </w:r>
          </w:p>
        </w:tc>
        <w:tc>
          <w:tcPr>
            <w:tcW w:w="567" w:type="dxa"/>
            <w:tcBorders>
              <w:top w:val="single" w:sz="2" w:space="0" w:color="auto"/>
              <w:left w:val="single" w:sz="2" w:space="0" w:color="auto"/>
              <w:bottom w:val="single" w:sz="2" w:space="0" w:color="auto"/>
              <w:right w:val="single" w:sz="2" w:space="0" w:color="auto"/>
            </w:tcBorders>
            <w:vAlign w:val="center"/>
          </w:tcPr>
          <w:p w14:paraId="15C90C0C" w14:textId="77777777" w:rsidR="006C011D" w:rsidRPr="005A284F" w:rsidRDefault="00000000" w:rsidP="00253F00">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567" w:type="dxa"/>
            <w:tcBorders>
              <w:top w:val="single" w:sz="2" w:space="0" w:color="auto"/>
              <w:left w:val="single" w:sz="2" w:space="0" w:color="auto"/>
              <w:bottom w:val="single" w:sz="2" w:space="0" w:color="auto"/>
              <w:right w:val="single" w:sz="2" w:space="0" w:color="auto"/>
            </w:tcBorders>
            <w:vAlign w:val="center"/>
          </w:tcPr>
          <w:p w14:paraId="5CDFE8CC" w14:textId="77777777" w:rsidR="006C011D" w:rsidRPr="005A284F" w:rsidRDefault="00000000" w:rsidP="00253F00">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253F00" w:rsidRPr="005A284F" w14:paraId="3EF6160E" w14:textId="77777777" w:rsidTr="00253F00">
        <w:trPr>
          <w:trHeight w:val="240"/>
        </w:trPr>
        <w:tc>
          <w:tcPr>
            <w:tcW w:w="851" w:type="dxa"/>
            <w:tcBorders>
              <w:top w:val="single" w:sz="2" w:space="0" w:color="auto"/>
              <w:left w:val="single" w:sz="2" w:space="0" w:color="auto"/>
              <w:bottom w:val="single" w:sz="2" w:space="0" w:color="auto"/>
              <w:right w:val="single" w:sz="2" w:space="0" w:color="auto"/>
            </w:tcBorders>
            <w:vAlign w:val="center"/>
          </w:tcPr>
          <w:p w14:paraId="3F24B4F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2021</w:t>
            </w:r>
            <w:r w:rsidRPr="005A284F">
              <w:rPr>
                <w:rFonts w:ascii="Times New Roman" w:eastAsia="宋体" w:hAnsi="Times New Roman" w:cs="Times New Roman"/>
                <w:sz w:val="18"/>
                <w:szCs w:val="18"/>
              </w:rPr>
              <w:t>年非公开发行股票</w:t>
            </w:r>
          </w:p>
        </w:tc>
        <w:tc>
          <w:tcPr>
            <w:tcW w:w="709" w:type="dxa"/>
            <w:tcBorders>
              <w:top w:val="single" w:sz="2" w:space="0" w:color="auto"/>
              <w:left w:val="single" w:sz="2" w:space="0" w:color="auto"/>
              <w:bottom w:val="single" w:sz="2" w:space="0" w:color="auto"/>
              <w:right w:val="single" w:sz="2" w:space="0" w:color="auto"/>
            </w:tcBorders>
            <w:vAlign w:val="center"/>
          </w:tcPr>
          <w:p w14:paraId="7E3FE9D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2021</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日</w:t>
            </w:r>
          </w:p>
        </w:tc>
        <w:tc>
          <w:tcPr>
            <w:tcW w:w="1038" w:type="dxa"/>
            <w:tcBorders>
              <w:top w:val="single" w:sz="2" w:space="0" w:color="auto"/>
              <w:left w:val="single" w:sz="2" w:space="0" w:color="auto"/>
              <w:bottom w:val="single" w:sz="2" w:space="0" w:color="auto"/>
              <w:right w:val="single" w:sz="2" w:space="0" w:color="auto"/>
            </w:tcBorders>
            <w:vAlign w:val="center"/>
          </w:tcPr>
          <w:p w14:paraId="74FB6D3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、补充流动资金</w:t>
            </w:r>
          </w:p>
        </w:tc>
        <w:tc>
          <w:tcPr>
            <w:tcW w:w="521" w:type="dxa"/>
            <w:tcBorders>
              <w:top w:val="single" w:sz="2" w:space="0" w:color="auto"/>
              <w:left w:val="single" w:sz="2" w:space="0" w:color="auto"/>
              <w:bottom w:val="single" w:sz="2" w:space="0" w:color="auto"/>
              <w:right w:val="single" w:sz="2" w:space="0" w:color="auto"/>
            </w:tcBorders>
            <w:vAlign w:val="center"/>
          </w:tcPr>
          <w:p w14:paraId="6C9AD8EF" w14:textId="77777777" w:rsidR="006C011D" w:rsidRPr="005A284F" w:rsidRDefault="00000000" w:rsidP="00253F00">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生产建设</w:t>
            </w:r>
          </w:p>
        </w:tc>
        <w:tc>
          <w:tcPr>
            <w:tcW w:w="425" w:type="dxa"/>
            <w:tcBorders>
              <w:top w:val="single" w:sz="2" w:space="0" w:color="auto"/>
              <w:left w:val="single" w:sz="2" w:space="0" w:color="auto"/>
              <w:bottom w:val="single" w:sz="2" w:space="0" w:color="auto"/>
              <w:right w:val="single" w:sz="2" w:space="0" w:color="auto"/>
            </w:tcBorders>
            <w:vAlign w:val="center"/>
          </w:tcPr>
          <w:p w14:paraId="0B813AF2" w14:textId="77777777" w:rsidR="006C011D" w:rsidRPr="005A284F" w:rsidRDefault="00000000" w:rsidP="00253F00">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709" w:type="dxa"/>
            <w:tcBorders>
              <w:top w:val="single" w:sz="2" w:space="0" w:color="auto"/>
              <w:left w:val="single" w:sz="2" w:space="0" w:color="auto"/>
              <w:bottom w:val="single" w:sz="2" w:space="0" w:color="auto"/>
              <w:right w:val="single" w:sz="2" w:space="0" w:color="auto"/>
            </w:tcBorders>
            <w:vAlign w:val="center"/>
          </w:tcPr>
          <w:p w14:paraId="77BEFB9A" w14:textId="77777777" w:rsidR="006C011D" w:rsidRPr="005A284F" w:rsidRDefault="00000000" w:rsidP="00253F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45,000</w:t>
            </w:r>
          </w:p>
        </w:tc>
        <w:tc>
          <w:tcPr>
            <w:tcW w:w="914" w:type="dxa"/>
            <w:tcBorders>
              <w:top w:val="single" w:sz="2" w:space="0" w:color="auto"/>
              <w:left w:val="single" w:sz="2" w:space="0" w:color="auto"/>
              <w:bottom w:val="single" w:sz="2" w:space="0" w:color="auto"/>
              <w:right w:val="single" w:sz="2" w:space="0" w:color="auto"/>
            </w:tcBorders>
            <w:vAlign w:val="center"/>
          </w:tcPr>
          <w:p w14:paraId="74C72ACB" w14:textId="77777777" w:rsidR="006C011D" w:rsidRPr="005A284F" w:rsidRDefault="00000000" w:rsidP="00253F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18,612</w:t>
            </w:r>
          </w:p>
        </w:tc>
        <w:tc>
          <w:tcPr>
            <w:tcW w:w="643" w:type="dxa"/>
            <w:tcBorders>
              <w:top w:val="single" w:sz="2" w:space="0" w:color="auto"/>
              <w:left w:val="single" w:sz="2" w:space="0" w:color="auto"/>
              <w:bottom w:val="single" w:sz="2" w:space="0" w:color="auto"/>
              <w:right w:val="single" w:sz="2" w:space="0" w:color="auto"/>
            </w:tcBorders>
            <w:vAlign w:val="center"/>
          </w:tcPr>
          <w:p w14:paraId="17C1A4A9" w14:textId="77777777" w:rsidR="006C011D" w:rsidRPr="005A284F" w:rsidRDefault="00000000" w:rsidP="00253F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853" w:type="dxa"/>
            <w:tcBorders>
              <w:top w:val="single" w:sz="2" w:space="0" w:color="auto"/>
              <w:left w:val="single" w:sz="2" w:space="0" w:color="auto"/>
              <w:bottom w:val="single" w:sz="2" w:space="0" w:color="auto"/>
              <w:right w:val="single" w:sz="2" w:space="0" w:color="auto"/>
            </w:tcBorders>
            <w:vAlign w:val="center"/>
          </w:tcPr>
          <w:p w14:paraId="7AD6A50F" w14:textId="77777777" w:rsidR="006C011D" w:rsidRPr="005A284F" w:rsidRDefault="00000000" w:rsidP="00253F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18,612</w:t>
            </w:r>
          </w:p>
        </w:tc>
        <w:tc>
          <w:tcPr>
            <w:tcW w:w="708" w:type="dxa"/>
            <w:tcBorders>
              <w:top w:val="single" w:sz="2" w:space="0" w:color="auto"/>
              <w:left w:val="single" w:sz="2" w:space="0" w:color="auto"/>
              <w:bottom w:val="single" w:sz="2" w:space="0" w:color="auto"/>
              <w:right w:val="single" w:sz="2" w:space="0" w:color="auto"/>
            </w:tcBorders>
            <w:vAlign w:val="center"/>
          </w:tcPr>
          <w:p w14:paraId="17871D1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709" w:type="dxa"/>
            <w:tcBorders>
              <w:top w:val="single" w:sz="2" w:space="0" w:color="auto"/>
              <w:left w:val="single" w:sz="2" w:space="0" w:color="auto"/>
              <w:bottom w:val="single" w:sz="2" w:space="0" w:color="auto"/>
              <w:right w:val="single" w:sz="2" w:space="0" w:color="auto"/>
            </w:tcBorders>
            <w:vAlign w:val="center"/>
          </w:tcPr>
          <w:p w14:paraId="35740A3F" w14:textId="77777777" w:rsidR="006C011D" w:rsidRPr="005A284F" w:rsidRDefault="006C011D" w:rsidP="0070121C">
            <w:pPr>
              <w:spacing w:after="0" w:line="240" w:lineRule="exact"/>
              <w:jc w:val="center"/>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FB9D54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14:paraId="5737B5B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567" w:type="dxa"/>
            <w:tcBorders>
              <w:top w:val="single" w:sz="2" w:space="0" w:color="auto"/>
              <w:left w:val="single" w:sz="2" w:space="0" w:color="auto"/>
              <w:bottom w:val="single" w:sz="2" w:space="0" w:color="auto"/>
              <w:right w:val="single" w:sz="2" w:space="0" w:color="auto"/>
            </w:tcBorders>
            <w:vAlign w:val="center"/>
          </w:tcPr>
          <w:p w14:paraId="0F434523" w14:textId="77777777" w:rsidR="006C011D" w:rsidRPr="005A284F" w:rsidRDefault="00000000" w:rsidP="00253F00">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不适用</w:t>
            </w:r>
          </w:p>
        </w:tc>
        <w:tc>
          <w:tcPr>
            <w:tcW w:w="567" w:type="dxa"/>
            <w:tcBorders>
              <w:top w:val="single" w:sz="2" w:space="0" w:color="auto"/>
              <w:left w:val="single" w:sz="2" w:space="0" w:color="auto"/>
              <w:bottom w:val="single" w:sz="2" w:space="0" w:color="auto"/>
              <w:right w:val="single" w:sz="2" w:space="0" w:color="auto"/>
            </w:tcBorders>
            <w:vAlign w:val="center"/>
          </w:tcPr>
          <w:p w14:paraId="22C01BC5" w14:textId="77777777" w:rsidR="006C011D" w:rsidRPr="005A284F" w:rsidRDefault="00000000" w:rsidP="00253F00">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253F00" w:rsidRPr="005A284F" w14:paraId="6A5F3789" w14:textId="77777777" w:rsidTr="00253F00">
        <w:trPr>
          <w:trHeight w:val="240"/>
        </w:trPr>
        <w:tc>
          <w:tcPr>
            <w:tcW w:w="851" w:type="dxa"/>
            <w:tcBorders>
              <w:top w:val="single" w:sz="2" w:space="0" w:color="auto"/>
              <w:left w:val="single" w:sz="2" w:space="0" w:color="auto"/>
              <w:bottom w:val="single" w:sz="2" w:space="0" w:color="auto"/>
              <w:right w:val="single" w:sz="2" w:space="0" w:color="auto"/>
            </w:tcBorders>
            <w:vAlign w:val="center"/>
          </w:tcPr>
          <w:p w14:paraId="01B8E77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2021</w:t>
            </w:r>
            <w:r w:rsidRPr="005A284F">
              <w:rPr>
                <w:rFonts w:ascii="Times New Roman" w:eastAsia="宋体" w:hAnsi="Times New Roman" w:cs="Times New Roman"/>
                <w:sz w:val="18"/>
                <w:szCs w:val="18"/>
              </w:rPr>
              <w:t>年非公开发行股票</w:t>
            </w:r>
          </w:p>
        </w:tc>
        <w:tc>
          <w:tcPr>
            <w:tcW w:w="709" w:type="dxa"/>
            <w:tcBorders>
              <w:top w:val="single" w:sz="2" w:space="0" w:color="auto"/>
              <w:left w:val="single" w:sz="2" w:space="0" w:color="auto"/>
              <w:bottom w:val="single" w:sz="2" w:space="0" w:color="auto"/>
              <w:right w:val="single" w:sz="2" w:space="0" w:color="auto"/>
            </w:tcBorders>
            <w:vAlign w:val="center"/>
          </w:tcPr>
          <w:p w14:paraId="2D95561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2021</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日</w:t>
            </w:r>
          </w:p>
        </w:tc>
        <w:tc>
          <w:tcPr>
            <w:tcW w:w="1038" w:type="dxa"/>
            <w:tcBorders>
              <w:top w:val="single" w:sz="2" w:space="0" w:color="auto"/>
              <w:left w:val="single" w:sz="2" w:space="0" w:color="auto"/>
              <w:bottom w:val="single" w:sz="2" w:space="0" w:color="auto"/>
              <w:right w:val="single" w:sz="2" w:space="0" w:color="auto"/>
            </w:tcBorders>
            <w:vAlign w:val="center"/>
          </w:tcPr>
          <w:p w14:paraId="551391B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、山东新建年出栏生猪</w:t>
            </w:r>
            <w:r w:rsidRPr="005A284F">
              <w:rPr>
                <w:rFonts w:ascii="Times New Roman" w:eastAsia="宋体" w:hAnsi="Times New Roman" w:cs="Times New Roman"/>
                <w:sz w:val="18"/>
                <w:szCs w:val="18"/>
              </w:rPr>
              <w:t>66</w:t>
            </w:r>
            <w:r w:rsidRPr="005A284F">
              <w:rPr>
                <w:rFonts w:ascii="Times New Roman" w:eastAsia="宋体" w:hAnsi="Times New Roman" w:cs="Times New Roman"/>
                <w:sz w:val="18"/>
                <w:szCs w:val="18"/>
              </w:rPr>
              <w:t>万头养殖项目（苟各庄猪场、马台石猪场）</w:t>
            </w:r>
          </w:p>
        </w:tc>
        <w:tc>
          <w:tcPr>
            <w:tcW w:w="521" w:type="dxa"/>
            <w:tcBorders>
              <w:top w:val="single" w:sz="2" w:space="0" w:color="auto"/>
              <w:left w:val="single" w:sz="2" w:space="0" w:color="auto"/>
              <w:bottom w:val="single" w:sz="2" w:space="0" w:color="auto"/>
              <w:right w:val="single" w:sz="2" w:space="0" w:color="auto"/>
            </w:tcBorders>
            <w:vAlign w:val="center"/>
          </w:tcPr>
          <w:p w14:paraId="6ACAB5AE" w14:textId="77777777" w:rsidR="006C011D" w:rsidRPr="005A284F" w:rsidRDefault="00000000" w:rsidP="00253F00">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生产建设</w:t>
            </w:r>
          </w:p>
        </w:tc>
        <w:tc>
          <w:tcPr>
            <w:tcW w:w="425" w:type="dxa"/>
            <w:tcBorders>
              <w:top w:val="single" w:sz="2" w:space="0" w:color="auto"/>
              <w:left w:val="single" w:sz="2" w:space="0" w:color="auto"/>
              <w:bottom w:val="single" w:sz="2" w:space="0" w:color="auto"/>
              <w:right w:val="single" w:sz="2" w:space="0" w:color="auto"/>
            </w:tcBorders>
            <w:vAlign w:val="center"/>
          </w:tcPr>
          <w:p w14:paraId="7DA8D2FC" w14:textId="77777777" w:rsidR="006C011D" w:rsidRPr="005A284F" w:rsidRDefault="00000000" w:rsidP="00253F00">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709" w:type="dxa"/>
            <w:tcBorders>
              <w:top w:val="single" w:sz="2" w:space="0" w:color="auto"/>
              <w:left w:val="single" w:sz="2" w:space="0" w:color="auto"/>
              <w:bottom w:val="single" w:sz="2" w:space="0" w:color="auto"/>
              <w:right w:val="single" w:sz="2" w:space="0" w:color="auto"/>
            </w:tcBorders>
            <w:vAlign w:val="center"/>
          </w:tcPr>
          <w:p w14:paraId="50B31AA3" w14:textId="77777777" w:rsidR="006C011D" w:rsidRPr="005A284F" w:rsidRDefault="00000000" w:rsidP="00253F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105,000</w:t>
            </w:r>
          </w:p>
        </w:tc>
        <w:tc>
          <w:tcPr>
            <w:tcW w:w="914" w:type="dxa"/>
            <w:tcBorders>
              <w:top w:val="single" w:sz="2" w:space="0" w:color="auto"/>
              <w:left w:val="single" w:sz="2" w:space="0" w:color="auto"/>
              <w:bottom w:val="single" w:sz="2" w:space="0" w:color="auto"/>
              <w:right w:val="single" w:sz="2" w:space="0" w:color="auto"/>
            </w:tcBorders>
            <w:vAlign w:val="center"/>
          </w:tcPr>
          <w:p w14:paraId="0211BA42" w14:textId="77777777" w:rsidR="006C011D" w:rsidRPr="005A284F" w:rsidRDefault="00000000" w:rsidP="00253F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42,466.64</w:t>
            </w:r>
          </w:p>
        </w:tc>
        <w:tc>
          <w:tcPr>
            <w:tcW w:w="643" w:type="dxa"/>
            <w:tcBorders>
              <w:top w:val="single" w:sz="2" w:space="0" w:color="auto"/>
              <w:left w:val="single" w:sz="2" w:space="0" w:color="auto"/>
              <w:bottom w:val="single" w:sz="2" w:space="0" w:color="auto"/>
              <w:right w:val="single" w:sz="2" w:space="0" w:color="auto"/>
            </w:tcBorders>
            <w:vAlign w:val="center"/>
          </w:tcPr>
          <w:p w14:paraId="7D231DAF" w14:textId="77777777" w:rsidR="006C011D" w:rsidRPr="005A284F" w:rsidRDefault="00000000" w:rsidP="00253F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1,806.86</w:t>
            </w:r>
          </w:p>
        </w:tc>
        <w:tc>
          <w:tcPr>
            <w:tcW w:w="853" w:type="dxa"/>
            <w:tcBorders>
              <w:top w:val="single" w:sz="2" w:space="0" w:color="auto"/>
              <w:left w:val="single" w:sz="2" w:space="0" w:color="auto"/>
              <w:bottom w:val="single" w:sz="2" w:space="0" w:color="auto"/>
              <w:right w:val="single" w:sz="2" w:space="0" w:color="auto"/>
            </w:tcBorders>
            <w:vAlign w:val="center"/>
          </w:tcPr>
          <w:p w14:paraId="4736CD1E" w14:textId="77777777" w:rsidR="006C011D" w:rsidRPr="005A284F" w:rsidRDefault="00000000" w:rsidP="00253F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35,011.96</w:t>
            </w:r>
          </w:p>
        </w:tc>
        <w:tc>
          <w:tcPr>
            <w:tcW w:w="708" w:type="dxa"/>
            <w:tcBorders>
              <w:top w:val="single" w:sz="2" w:space="0" w:color="auto"/>
              <w:left w:val="single" w:sz="2" w:space="0" w:color="auto"/>
              <w:bottom w:val="single" w:sz="2" w:space="0" w:color="auto"/>
              <w:right w:val="single" w:sz="2" w:space="0" w:color="auto"/>
            </w:tcBorders>
            <w:vAlign w:val="center"/>
          </w:tcPr>
          <w:p w14:paraId="1C67E32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82.45%</w:t>
            </w:r>
          </w:p>
        </w:tc>
        <w:tc>
          <w:tcPr>
            <w:tcW w:w="709" w:type="dxa"/>
            <w:tcBorders>
              <w:top w:val="single" w:sz="2" w:space="0" w:color="auto"/>
              <w:left w:val="single" w:sz="2" w:space="0" w:color="auto"/>
              <w:bottom w:val="single" w:sz="2" w:space="0" w:color="auto"/>
              <w:right w:val="single" w:sz="2" w:space="0" w:color="auto"/>
            </w:tcBorders>
            <w:vAlign w:val="center"/>
          </w:tcPr>
          <w:p w14:paraId="5880F354" w14:textId="1337F6AC" w:rsidR="006C011D" w:rsidRPr="005A284F" w:rsidRDefault="00032DC1" w:rsidP="0070121C">
            <w:pPr>
              <w:spacing w:after="0"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w:t>
            </w:r>
          </w:p>
        </w:tc>
        <w:tc>
          <w:tcPr>
            <w:tcW w:w="709" w:type="dxa"/>
            <w:tcBorders>
              <w:top w:val="single" w:sz="2" w:space="0" w:color="auto"/>
              <w:left w:val="single" w:sz="2" w:space="0" w:color="auto"/>
              <w:bottom w:val="single" w:sz="2" w:space="0" w:color="auto"/>
              <w:right w:val="single" w:sz="2" w:space="0" w:color="auto"/>
            </w:tcBorders>
            <w:vAlign w:val="center"/>
          </w:tcPr>
          <w:p w14:paraId="6603B9E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-1,651.45</w:t>
            </w:r>
          </w:p>
        </w:tc>
        <w:tc>
          <w:tcPr>
            <w:tcW w:w="850" w:type="dxa"/>
            <w:tcBorders>
              <w:top w:val="single" w:sz="2" w:space="0" w:color="auto"/>
              <w:left w:val="single" w:sz="2" w:space="0" w:color="auto"/>
              <w:bottom w:val="single" w:sz="2" w:space="0" w:color="auto"/>
              <w:right w:val="single" w:sz="2" w:space="0" w:color="auto"/>
            </w:tcBorders>
            <w:vAlign w:val="center"/>
          </w:tcPr>
          <w:p w14:paraId="37FFAB5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-6,922.51</w:t>
            </w:r>
          </w:p>
        </w:tc>
        <w:tc>
          <w:tcPr>
            <w:tcW w:w="567" w:type="dxa"/>
            <w:tcBorders>
              <w:top w:val="single" w:sz="2" w:space="0" w:color="auto"/>
              <w:left w:val="single" w:sz="2" w:space="0" w:color="auto"/>
              <w:bottom w:val="single" w:sz="2" w:space="0" w:color="auto"/>
              <w:right w:val="single" w:sz="2" w:space="0" w:color="auto"/>
            </w:tcBorders>
            <w:vAlign w:val="center"/>
          </w:tcPr>
          <w:p w14:paraId="665CC29B" w14:textId="77777777" w:rsidR="006C011D" w:rsidRPr="005A284F" w:rsidRDefault="00000000" w:rsidP="00253F00">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567" w:type="dxa"/>
            <w:tcBorders>
              <w:top w:val="single" w:sz="2" w:space="0" w:color="auto"/>
              <w:left w:val="single" w:sz="2" w:space="0" w:color="auto"/>
              <w:bottom w:val="single" w:sz="2" w:space="0" w:color="auto"/>
              <w:right w:val="single" w:sz="2" w:space="0" w:color="auto"/>
            </w:tcBorders>
            <w:vAlign w:val="center"/>
          </w:tcPr>
          <w:p w14:paraId="0FA28F46" w14:textId="77777777" w:rsidR="006C011D" w:rsidRPr="005A284F" w:rsidRDefault="00000000" w:rsidP="00253F00">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253F00" w:rsidRPr="005A284F" w14:paraId="74817C07" w14:textId="77777777" w:rsidTr="00253F00">
        <w:trPr>
          <w:trHeight w:val="240"/>
        </w:trPr>
        <w:tc>
          <w:tcPr>
            <w:tcW w:w="3119"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61E26B11"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承诺投资项目小计</w:t>
            </w:r>
          </w:p>
        </w:tc>
        <w:tc>
          <w:tcPr>
            <w:tcW w:w="425" w:type="dxa"/>
            <w:tcBorders>
              <w:top w:val="single" w:sz="2" w:space="0" w:color="auto"/>
              <w:left w:val="single" w:sz="2" w:space="0" w:color="auto"/>
              <w:bottom w:val="single" w:sz="2" w:space="0" w:color="auto"/>
              <w:right w:val="single" w:sz="2" w:space="0" w:color="auto"/>
            </w:tcBorders>
            <w:shd w:val="clear" w:color="auto" w:fill="D3D3D3"/>
            <w:vAlign w:val="center"/>
          </w:tcPr>
          <w:p w14:paraId="4632656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w:t>
            </w:r>
          </w:p>
        </w:tc>
        <w:tc>
          <w:tcPr>
            <w:tcW w:w="709" w:type="dxa"/>
            <w:tcBorders>
              <w:top w:val="single" w:sz="2" w:space="0" w:color="auto"/>
              <w:left w:val="single" w:sz="2" w:space="0" w:color="auto"/>
              <w:bottom w:val="single" w:sz="2" w:space="0" w:color="auto"/>
              <w:right w:val="single" w:sz="2" w:space="0" w:color="auto"/>
            </w:tcBorders>
            <w:vAlign w:val="center"/>
          </w:tcPr>
          <w:p w14:paraId="16684442" w14:textId="77777777" w:rsidR="006C011D" w:rsidRPr="005A284F" w:rsidRDefault="00000000" w:rsidP="00253F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245,000</w:t>
            </w:r>
          </w:p>
        </w:tc>
        <w:tc>
          <w:tcPr>
            <w:tcW w:w="914" w:type="dxa"/>
            <w:tcBorders>
              <w:top w:val="single" w:sz="2" w:space="0" w:color="auto"/>
              <w:left w:val="single" w:sz="2" w:space="0" w:color="auto"/>
              <w:bottom w:val="single" w:sz="2" w:space="0" w:color="auto"/>
              <w:right w:val="single" w:sz="2" w:space="0" w:color="auto"/>
            </w:tcBorders>
            <w:vAlign w:val="center"/>
          </w:tcPr>
          <w:p w14:paraId="390F61C8" w14:textId="77777777" w:rsidR="006C011D" w:rsidRPr="005A284F" w:rsidRDefault="00000000" w:rsidP="00253F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156,078.64</w:t>
            </w:r>
          </w:p>
        </w:tc>
        <w:tc>
          <w:tcPr>
            <w:tcW w:w="643" w:type="dxa"/>
            <w:tcBorders>
              <w:top w:val="single" w:sz="2" w:space="0" w:color="auto"/>
              <w:left w:val="single" w:sz="2" w:space="0" w:color="auto"/>
              <w:bottom w:val="single" w:sz="2" w:space="0" w:color="auto"/>
              <w:right w:val="single" w:sz="2" w:space="0" w:color="auto"/>
            </w:tcBorders>
            <w:vAlign w:val="center"/>
          </w:tcPr>
          <w:p w14:paraId="1E270C47" w14:textId="77777777" w:rsidR="006C011D" w:rsidRPr="005A284F" w:rsidRDefault="00000000" w:rsidP="00253F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2,356.38</w:t>
            </w:r>
          </w:p>
        </w:tc>
        <w:tc>
          <w:tcPr>
            <w:tcW w:w="853" w:type="dxa"/>
            <w:tcBorders>
              <w:top w:val="single" w:sz="2" w:space="0" w:color="auto"/>
              <w:left w:val="single" w:sz="2" w:space="0" w:color="auto"/>
              <w:bottom w:val="single" w:sz="2" w:space="0" w:color="auto"/>
              <w:right w:val="single" w:sz="2" w:space="0" w:color="auto"/>
            </w:tcBorders>
            <w:vAlign w:val="center"/>
          </w:tcPr>
          <w:p w14:paraId="5B0EB25E" w14:textId="77777777" w:rsidR="006C011D" w:rsidRPr="005A284F" w:rsidRDefault="00000000" w:rsidP="00253F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111,861.19</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14:paraId="5DDDB14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1CE7485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w:t>
            </w:r>
          </w:p>
        </w:tc>
        <w:tc>
          <w:tcPr>
            <w:tcW w:w="709" w:type="dxa"/>
            <w:tcBorders>
              <w:top w:val="single" w:sz="2" w:space="0" w:color="auto"/>
              <w:left w:val="single" w:sz="2" w:space="0" w:color="auto"/>
              <w:bottom w:val="single" w:sz="2" w:space="0" w:color="auto"/>
              <w:right w:val="single" w:sz="2" w:space="0" w:color="auto"/>
            </w:tcBorders>
            <w:vAlign w:val="center"/>
          </w:tcPr>
          <w:p w14:paraId="6FCFE18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-2,762.28</w:t>
            </w:r>
          </w:p>
        </w:tc>
        <w:tc>
          <w:tcPr>
            <w:tcW w:w="850" w:type="dxa"/>
            <w:tcBorders>
              <w:top w:val="single" w:sz="2" w:space="0" w:color="auto"/>
              <w:left w:val="single" w:sz="2" w:space="0" w:color="auto"/>
              <w:bottom w:val="single" w:sz="2" w:space="0" w:color="auto"/>
              <w:right w:val="single" w:sz="2" w:space="0" w:color="auto"/>
            </w:tcBorders>
            <w:vAlign w:val="center"/>
          </w:tcPr>
          <w:p w14:paraId="150B549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-15,035.66</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6EB9751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5BCD780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w:t>
            </w:r>
          </w:p>
        </w:tc>
      </w:tr>
      <w:tr w:rsidR="006C011D" w:rsidRPr="005A284F" w14:paraId="1853EAF7" w14:textId="77777777" w:rsidTr="00253F00">
        <w:trPr>
          <w:trHeight w:val="240"/>
        </w:trPr>
        <w:tc>
          <w:tcPr>
            <w:tcW w:w="10773"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14:paraId="26800531"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超募资金投向</w:t>
            </w:r>
          </w:p>
        </w:tc>
      </w:tr>
      <w:tr w:rsidR="00253F00" w:rsidRPr="005A284F" w14:paraId="0B7A4230" w14:textId="77777777" w:rsidTr="00253F00">
        <w:trPr>
          <w:trHeight w:val="240"/>
        </w:trPr>
        <w:tc>
          <w:tcPr>
            <w:tcW w:w="851" w:type="dxa"/>
            <w:tcBorders>
              <w:top w:val="single" w:sz="2" w:space="0" w:color="auto"/>
              <w:left w:val="single" w:sz="2" w:space="0" w:color="auto"/>
              <w:bottom w:val="single" w:sz="2" w:space="0" w:color="auto"/>
              <w:right w:val="single" w:sz="2" w:space="0" w:color="auto"/>
            </w:tcBorders>
            <w:vAlign w:val="center"/>
          </w:tcPr>
          <w:p w14:paraId="6669C81D" w14:textId="77777777" w:rsidR="006C011D" w:rsidRPr="005A284F" w:rsidRDefault="00000000" w:rsidP="001D1C5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不适用</w:t>
            </w:r>
          </w:p>
        </w:tc>
        <w:tc>
          <w:tcPr>
            <w:tcW w:w="709" w:type="dxa"/>
            <w:tcBorders>
              <w:top w:val="single" w:sz="2" w:space="0" w:color="auto"/>
              <w:left w:val="single" w:sz="2" w:space="0" w:color="auto"/>
              <w:bottom w:val="single" w:sz="2" w:space="0" w:color="auto"/>
              <w:right w:val="single" w:sz="2" w:space="0" w:color="auto"/>
            </w:tcBorders>
            <w:vAlign w:val="center"/>
          </w:tcPr>
          <w:p w14:paraId="032EFE32" w14:textId="337EC741" w:rsidR="006C011D" w:rsidRPr="005A284F" w:rsidRDefault="001D1C52" w:rsidP="001D1C52">
            <w:pPr>
              <w:spacing w:after="0"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w:t>
            </w:r>
          </w:p>
        </w:tc>
        <w:tc>
          <w:tcPr>
            <w:tcW w:w="1038" w:type="dxa"/>
            <w:tcBorders>
              <w:top w:val="single" w:sz="2" w:space="0" w:color="auto"/>
              <w:left w:val="single" w:sz="2" w:space="0" w:color="auto"/>
              <w:bottom w:val="single" w:sz="2" w:space="0" w:color="auto"/>
              <w:right w:val="single" w:sz="2" w:space="0" w:color="auto"/>
            </w:tcBorders>
            <w:vAlign w:val="center"/>
          </w:tcPr>
          <w:p w14:paraId="3CDA68BB" w14:textId="77777777" w:rsidR="006C011D" w:rsidRPr="005A284F" w:rsidRDefault="00000000" w:rsidP="001D1C5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不适用</w:t>
            </w:r>
          </w:p>
        </w:tc>
        <w:tc>
          <w:tcPr>
            <w:tcW w:w="521" w:type="dxa"/>
            <w:tcBorders>
              <w:top w:val="single" w:sz="2" w:space="0" w:color="auto"/>
              <w:left w:val="single" w:sz="2" w:space="0" w:color="auto"/>
              <w:bottom w:val="single" w:sz="2" w:space="0" w:color="auto"/>
              <w:right w:val="single" w:sz="2" w:space="0" w:color="auto"/>
            </w:tcBorders>
            <w:vAlign w:val="center"/>
          </w:tcPr>
          <w:p w14:paraId="21F099FE" w14:textId="77777777" w:rsidR="006C011D" w:rsidRPr="005A284F" w:rsidRDefault="00000000" w:rsidP="00253F00">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不适用</w:t>
            </w:r>
          </w:p>
        </w:tc>
        <w:tc>
          <w:tcPr>
            <w:tcW w:w="425" w:type="dxa"/>
            <w:tcBorders>
              <w:top w:val="single" w:sz="2" w:space="0" w:color="auto"/>
              <w:left w:val="single" w:sz="2" w:space="0" w:color="auto"/>
              <w:bottom w:val="single" w:sz="2" w:space="0" w:color="auto"/>
              <w:right w:val="single" w:sz="2" w:space="0" w:color="auto"/>
            </w:tcBorders>
            <w:vAlign w:val="center"/>
          </w:tcPr>
          <w:p w14:paraId="26505767" w14:textId="77777777" w:rsidR="006C011D" w:rsidRPr="005A284F" w:rsidRDefault="00000000" w:rsidP="00253F00">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709" w:type="dxa"/>
            <w:tcBorders>
              <w:top w:val="single" w:sz="2" w:space="0" w:color="auto"/>
              <w:left w:val="single" w:sz="2" w:space="0" w:color="auto"/>
              <w:bottom w:val="single" w:sz="2" w:space="0" w:color="auto"/>
              <w:right w:val="single" w:sz="2" w:space="0" w:color="auto"/>
            </w:tcBorders>
            <w:vAlign w:val="center"/>
          </w:tcPr>
          <w:p w14:paraId="7335D1B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914" w:type="dxa"/>
            <w:tcBorders>
              <w:top w:val="single" w:sz="2" w:space="0" w:color="auto"/>
              <w:left w:val="single" w:sz="2" w:space="0" w:color="auto"/>
              <w:bottom w:val="single" w:sz="2" w:space="0" w:color="auto"/>
              <w:right w:val="single" w:sz="2" w:space="0" w:color="auto"/>
            </w:tcBorders>
            <w:vAlign w:val="center"/>
          </w:tcPr>
          <w:p w14:paraId="72BC899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643" w:type="dxa"/>
            <w:tcBorders>
              <w:top w:val="single" w:sz="2" w:space="0" w:color="auto"/>
              <w:left w:val="single" w:sz="2" w:space="0" w:color="auto"/>
              <w:bottom w:val="single" w:sz="2" w:space="0" w:color="auto"/>
              <w:right w:val="single" w:sz="2" w:space="0" w:color="auto"/>
            </w:tcBorders>
            <w:vAlign w:val="center"/>
          </w:tcPr>
          <w:p w14:paraId="45F753C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853" w:type="dxa"/>
            <w:tcBorders>
              <w:top w:val="single" w:sz="2" w:space="0" w:color="auto"/>
              <w:left w:val="single" w:sz="2" w:space="0" w:color="auto"/>
              <w:bottom w:val="single" w:sz="2" w:space="0" w:color="auto"/>
              <w:right w:val="single" w:sz="2" w:space="0" w:color="auto"/>
            </w:tcBorders>
            <w:vAlign w:val="center"/>
          </w:tcPr>
          <w:p w14:paraId="3C55BEC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708" w:type="dxa"/>
            <w:tcBorders>
              <w:top w:val="single" w:sz="2" w:space="0" w:color="auto"/>
              <w:left w:val="single" w:sz="2" w:space="0" w:color="auto"/>
              <w:bottom w:val="single" w:sz="2" w:space="0" w:color="auto"/>
              <w:right w:val="single" w:sz="2" w:space="0" w:color="auto"/>
            </w:tcBorders>
            <w:vAlign w:val="center"/>
          </w:tcPr>
          <w:p w14:paraId="4083B43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709" w:type="dxa"/>
            <w:tcBorders>
              <w:top w:val="single" w:sz="2" w:space="0" w:color="auto"/>
              <w:left w:val="single" w:sz="2" w:space="0" w:color="auto"/>
              <w:bottom w:val="single" w:sz="2" w:space="0" w:color="auto"/>
              <w:right w:val="single" w:sz="2" w:space="0" w:color="auto"/>
            </w:tcBorders>
            <w:vAlign w:val="center"/>
          </w:tcPr>
          <w:p w14:paraId="17A4EA50" w14:textId="31DA41E3" w:rsidR="006C011D" w:rsidRPr="005A284F" w:rsidRDefault="001D1C52" w:rsidP="001D1C52">
            <w:pPr>
              <w:spacing w:after="0"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w:t>
            </w:r>
          </w:p>
        </w:tc>
        <w:tc>
          <w:tcPr>
            <w:tcW w:w="709" w:type="dxa"/>
            <w:tcBorders>
              <w:top w:val="single" w:sz="2" w:space="0" w:color="auto"/>
              <w:left w:val="single" w:sz="2" w:space="0" w:color="auto"/>
              <w:bottom w:val="single" w:sz="2" w:space="0" w:color="auto"/>
              <w:right w:val="single" w:sz="2" w:space="0" w:color="auto"/>
            </w:tcBorders>
            <w:vAlign w:val="center"/>
          </w:tcPr>
          <w:p w14:paraId="2CBDB41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14:paraId="04B3871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567" w:type="dxa"/>
            <w:tcBorders>
              <w:top w:val="single" w:sz="2" w:space="0" w:color="auto"/>
              <w:left w:val="single" w:sz="2" w:space="0" w:color="auto"/>
              <w:bottom w:val="single" w:sz="2" w:space="0" w:color="auto"/>
              <w:right w:val="single" w:sz="2" w:space="0" w:color="auto"/>
            </w:tcBorders>
            <w:vAlign w:val="center"/>
          </w:tcPr>
          <w:p w14:paraId="76524CED" w14:textId="77777777" w:rsidR="006C011D" w:rsidRPr="005A284F" w:rsidRDefault="00000000" w:rsidP="00253F00">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不适用</w:t>
            </w:r>
          </w:p>
        </w:tc>
        <w:tc>
          <w:tcPr>
            <w:tcW w:w="567" w:type="dxa"/>
            <w:tcBorders>
              <w:top w:val="single" w:sz="2" w:space="0" w:color="auto"/>
              <w:left w:val="single" w:sz="2" w:space="0" w:color="auto"/>
              <w:bottom w:val="single" w:sz="2" w:space="0" w:color="auto"/>
              <w:right w:val="single" w:sz="2" w:space="0" w:color="auto"/>
            </w:tcBorders>
            <w:vAlign w:val="center"/>
          </w:tcPr>
          <w:p w14:paraId="4E5E1C8E" w14:textId="77777777" w:rsidR="006C011D" w:rsidRPr="005A284F" w:rsidRDefault="00000000" w:rsidP="00253F00">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253F00" w:rsidRPr="005A284F" w14:paraId="4D1E9CBB" w14:textId="77777777" w:rsidTr="00253F00">
        <w:trPr>
          <w:trHeight w:val="240"/>
        </w:trPr>
        <w:tc>
          <w:tcPr>
            <w:tcW w:w="3119"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6C49F3A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归还银行贷款（如有）</w:t>
            </w:r>
          </w:p>
        </w:tc>
        <w:tc>
          <w:tcPr>
            <w:tcW w:w="425" w:type="dxa"/>
            <w:tcBorders>
              <w:top w:val="single" w:sz="2" w:space="0" w:color="auto"/>
              <w:left w:val="single" w:sz="2" w:space="0" w:color="auto"/>
              <w:bottom w:val="single" w:sz="2" w:space="0" w:color="auto"/>
              <w:right w:val="single" w:sz="2" w:space="0" w:color="auto"/>
            </w:tcBorders>
            <w:shd w:val="clear" w:color="auto" w:fill="D3D3D3"/>
            <w:vAlign w:val="center"/>
          </w:tcPr>
          <w:p w14:paraId="6C15C4D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w:t>
            </w:r>
          </w:p>
        </w:tc>
        <w:tc>
          <w:tcPr>
            <w:tcW w:w="709" w:type="dxa"/>
            <w:tcBorders>
              <w:top w:val="single" w:sz="2" w:space="0" w:color="auto"/>
              <w:left w:val="single" w:sz="2" w:space="0" w:color="auto"/>
              <w:bottom w:val="single" w:sz="2" w:space="0" w:color="auto"/>
              <w:right w:val="single" w:sz="2" w:space="0" w:color="auto"/>
            </w:tcBorders>
            <w:vAlign w:val="center"/>
          </w:tcPr>
          <w:p w14:paraId="1A2DE86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914" w:type="dxa"/>
            <w:tcBorders>
              <w:top w:val="single" w:sz="2" w:space="0" w:color="auto"/>
              <w:left w:val="single" w:sz="2" w:space="0" w:color="auto"/>
              <w:bottom w:val="single" w:sz="2" w:space="0" w:color="auto"/>
              <w:right w:val="single" w:sz="2" w:space="0" w:color="auto"/>
            </w:tcBorders>
            <w:vAlign w:val="center"/>
          </w:tcPr>
          <w:p w14:paraId="6E390E4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643" w:type="dxa"/>
            <w:tcBorders>
              <w:top w:val="single" w:sz="2" w:space="0" w:color="auto"/>
              <w:left w:val="single" w:sz="2" w:space="0" w:color="auto"/>
              <w:bottom w:val="single" w:sz="2" w:space="0" w:color="auto"/>
              <w:right w:val="single" w:sz="2" w:space="0" w:color="auto"/>
            </w:tcBorders>
            <w:vAlign w:val="center"/>
          </w:tcPr>
          <w:p w14:paraId="1DE5C4B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853" w:type="dxa"/>
            <w:tcBorders>
              <w:top w:val="single" w:sz="2" w:space="0" w:color="auto"/>
              <w:left w:val="single" w:sz="2" w:space="0" w:color="auto"/>
              <w:bottom w:val="single" w:sz="2" w:space="0" w:color="auto"/>
              <w:right w:val="single" w:sz="2" w:space="0" w:color="auto"/>
            </w:tcBorders>
            <w:vAlign w:val="center"/>
          </w:tcPr>
          <w:p w14:paraId="12B84AF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708" w:type="dxa"/>
            <w:tcBorders>
              <w:top w:val="single" w:sz="2" w:space="0" w:color="auto"/>
              <w:left w:val="single" w:sz="2" w:space="0" w:color="auto"/>
              <w:bottom w:val="single" w:sz="2" w:space="0" w:color="auto"/>
              <w:right w:val="single" w:sz="2" w:space="0" w:color="auto"/>
            </w:tcBorders>
            <w:vAlign w:val="center"/>
          </w:tcPr>
          <w:p w14:paraId="4320BF3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5A53B65B" w14:textId="77777777" w:rsidR="006C011D" w:rsidRPr="005A284F" w:rsidRDefault="00000000" w:rsidP="001D1C52">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5887AF0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6853787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65403E0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6C9938A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w:t>
            </w:r>
          </w:p>
        </w:tc>
      </w:tr>
      <w:tr w:rsidR="00253F00" w:rsidRPr="005A284F" w14:paraId="65A7679A" w14:textId="77777777" w:rsidTr="00253F00">
        <w:trPr>
          <w:trHeight w:val="240"/>
        </w:trPr>
        <w:tc>
          <w:tcPr>
            <w:tcW w:w="3119"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2A6F91C5"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补充流动资金（如有）</w:t>
            </w:r>
          </w:p>
        </w:tc>
        <w:tc>
          <w:tcPr>
            <w:tcW w:w="425" w:type="dxa"/>
            <w:tcBorders>
              <w:top w:val="single" w:sz="2" w:space="0" w:color="auto"/>
              <w:left w:val="single" w:sz="2" w:space="0" w:color="auto"/>
              <w:bottom w:val="single" w:sz="2" w:space="0" w:color="auto"/>
              <w:right w:val="single" w:sz="2" w:space="0" w:color="auto"/>
            </w:tcBorders>
            <w:shd w:val="clear" w:color="auto" w:fill="D3D3D3"/>
            <w:vAlign w:val="center"/>
          </w:tcPr>
          <w:p w14:paraId="1537F24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w:t>
            </w:r>
          </w:p>
        </w:tc>
        <w:tc>
          <w:tcPr>
            <w:tcW w:w="709" w:type="dxa"/>
            <w:tcBorders>
              <w:top w:val="single" w:sz="2" w:space="0" w:color="auto"/>
              <w:left w:val="single" w:sz="2" w:space="0" w:color="auto"/>
              <w:bottom w:val="single" w:sz="2" w:space="0" w:color="auto"/>
              <w:right w:val="single" w:sz="2" w:space="0" w:color="auto"/>
            </w:tcBorders>
            <w:vAlign w:val="center"/>
          </w:tcPr>
          <w:p w14:paraId="1E55909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914" w:type="dxa"/>
            <w:tcBorders>
              <w:top w:val="single" w:sz="2" w:space="0" w:color="auto"/>
              <w:left w:val="single" w:sz="2" w:space="0" w:color="auto"/>
              <w:bottom w:val="single" w:sz="2" w:space="0" w:color="auto"/>
              <w:right w:val="single" w:sz="2" w:space="0" w:color="auto"/>
            </w:tcBorders>
            <w:vAlign w:val="center"/>
          </w:tcPr>
          <w:p w14:paraId="5398B6B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643" w:type="dxa"/>
            <w:tcBorders>
              <w:top w:val="single" w:sz="2" w:space="0" w:color="auto"/>
              <w:left w:val="single" w:sz="2" w:space="0" w:color="auto"/>
              <w:bottom w:val="single" w:sz="2" w:space="0" w:color="auto"/>
              <w:right w:val="single" w:sz="2" w:space="0" w:color="auto"/>
            </w:tcBorders>
            <w:vAlign w:val="center"/>
          </w:tcPr>
          <w:p w14:paraId="24A562D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853" w:type="dxa"/>
            <w:tcBorders>
              <w:top w:val="single" w:sz="2" w:space="0" w:color="auto"/>
              <w:left w:val="single" w:sz="2" w:space="0" w:color="auto"/>
              <w:bottom w:val="single" w:sz="2" w:space="0" w:color="auto"/>
              <w:right w:val="single" w:sz="2" w:space="0" w:color="auto"/>
            </w:tcBorders>
            <w:vAlign w:val="center"/>
          </w:tcPr>
          <w:p w14:paraId="77CEABD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708" w:type="dxa"/>
            <w:tcBorders>
              <w:top w:val="single" w:sz="2" w:space="0" w:color="auto"/>
              <w:left w:val="single" w:sz="2" w:space="0" w:color="auto"/>
              <w:bottom w:val="single" w:sz="2" w:space="0" w:color="auto"/>
              <w:right w:val="single" w:sz="2" w:space="0" w:color="auto"/>
            </w:tcBorders>
            <w:vAlign w:val="center"/>
          </w:tcPr>
          <w:p w14:paraId="4EA29AF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4F1EC89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6B016BA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308B744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70F8B1D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0FCA799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w:t>
            </w:r>
          </w:p>
        </w:tc>
      </w:tr>
      <w:tr w:rsidR="00253F00" w:rsidRPr="005A284F" w14:paraId="227F0345" w14:textId="77777777" w:rsidTr="00253F00">
        <w:trPr>
          <w:trHeight w:val="240"/>
        </w:trPr>
        <w:tc>
          <w:tcPr>
            <w:tcW w:w="3119"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623E5F4D"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超募资金投向小计</w:t>
            </w:r>
          </w:p>
        </w:tc>
        <w:tc>
          <w:tcPr>
            <w:tcW w:w="425" w:type="dxa"/>
            <w:tcBorders>
              <w:top w:val="single" w:sz="2" w:space="0" w:color="auto"/>
              <w:left w:val="single" w:sz="2" w:space="0" w:color="auto"/>
              <w:bottom w:val="single" w:sz="2" w:space="0" w:color="auto"/>
              <w:right w:val="single" w:sz="2" w:space="0" w:color="auto"/>
            </w:tcBorders>
            <w:shd w:val="clear" w:color="auto" w:fill="D3D3D3"/>
            <w:vAlign w:val="center"/>
          </w:tcPr>
          <w:p w14:paraId="0DDAFD7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w:t>
            </w:r>
          </w:p>
        </w:tc>
        <w:tc>
          <w:tcPr>
            <w:tcW w:w="709" w:type="dxa"/>
            <w:tcBorders>
              <w:top w:val="single" w:sz="2" w:space="0" w:color="auto"/>
              <w:left w:val="single" w:sz="2" w:space="0" w:color="auto"/>
              <w:bottom w:val="single" w:sz="2" w:space="0" w:color="auto"/>
              <w:right w:val="single" w:sz="2" w:space="0" w:color="auto"/>
            </w:tcBorders>
            <w:vAlign w:val="center"/>
          </w:tcPr>
          <w:p w14:paraId="2539A42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914" w:type="dxa"/>
            <w:tcBorders>
              <w:top w:val="single" w:sz="2" w:space="0" w:color="auto"/>
              <w:left w:val="single" w:sz="2" w:space="0" w:color="auto"/>
              <w:bottom w:val="single" w:sz="2" w:space="0" w:color="auto"/>
              <w:right w:val="single" w:sz="2" w:space="0" w:color="auto"/>
            </w:tcBorders>
            <w:vAlign w:val="center"/>
          </w:tcPr>
          <w:p w14:paraId="2F5C412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643" w:type="dxa"/>
            <w:tcBorders>
              <w:top w:val="single" w:sz="2" w:space="0" w:color="auto"/>
              <w:left w:val="single" w:sz="2" w:space="0" w:color="auto"/>
              <w:bottom w:val="single" w:sz="2" w:space="0" w:color="auto"/>
              <w:right w:val="single" w:sz="2" w:space="0" w:color="auto"/>
            </w:tcBorders>
            <w:vAlign w:val="center"/>
          </w:tcPr>
          <w:p w14:paraId="013CDAE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853" w:type="dxa"/>
            <w:tcBorders>
              <w:top w:val="single" w:sz="2" w:space="0" w:color="auto"/>
              <w:left w:val="single" w:sz="2" w:space="0" w:color="auto"/>
              <w:bottom w:val="single" w:sz="2" w:space="0" w:color="auto"/>
              <w:right w:val="single" w:sz="2" w:space="0" w:color="auto"/>
            </w:tcBorders>
            <w:vAlign w:val="center"/>
          </w:tcPr>
          <w:p w14:paraId="16A67FF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14:paraId="0C87515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3E474CB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w:t>
            </w:r>
          </w:p>
        </w:tc>
        <w:tc>
          <w:tcPr>
            <w:tcW w:w="709" w:type="dxa"/>
            <w:tcBorders>
              <w:top w:val="single" w:sz="2" w:space="0" w:color="auto"/>
              <w:left w:val="single" w:sz="2" w:space="0" w:color="auto"/>
              <w:bottom w:val="single" w:sz="2" w:space="0" w:color="auto"/>
              <w:right w:val="single" w:sz="2" w:space="0" w:color="auto"/>
            </w:tcBorders>
            <w:vAlign w:val="center"/>
          </w:tcPr>
          <w:p w14:paraId="5056876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2295025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4988670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10E4543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w:t>
            </w:r>
          </w:p>
        </w:tc>
      </w:tr>
      <w:tr w:rsidR="00253F00" w:rsidRPr="005A284F" w14:paraId="56287781" w14:textId="77777777" w:rsidTr="00253F00">
        <w:trPr>
          <w:trHeight w:val="240"/>
        </w:trPr>
        <w:tc>
          <w:tcPr>
            <w:tcW w:w="3119"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7DAD2044"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425" w:type="dxa"/>
            <w:tcBorders>
              <w:top w:val="single" w:sz="2" w:space="0" w:color="auto"/>
              <w:left w:val="single" w:sz="2" w:space="0" w:color="auto"/>
              <w:bottom w:val="single" w:sz="2" w:space="0" w:color="auto"/>
              <w:right w:val="single" w:sz="2" w:space="0" w:color="auto"/>
            </w:tcBorders>
            <w:shd w:val="clear" w:color="auto" w:fill="D3D3D3"/>
            <w:vAlign w:val="center"/>
          </w:tcPr>
          <w:p w14:paraId="75BBC55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w:t>
            </w:r>
          </w:p>
        </w:tc>
        <w:tc>
          <w:tcPr>
            <w:tcW w:w="709" w:type="dxa"/>
            <w:tcBorders>
              <w:top w:val="single" w:sz="2" w:space="0" w:color="auto"/>
              <w:left w:val="single" w:sz="2" w:space="0" w:color="auto"/>
              <w:bottom w:val="single" w:sz="2" w:space="0" w:color="auto"/>
              <w:right w:val="single" w:sz="2" w:space="0" w:color="auto"/>
            </w:tcBorders>
            <w:vAlign w:val="center"/>
          </w:tcPr>
          <w:p w14:paraId="3F8F79F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245,000</w:t>
            </w:r>
          </w:p>
        </w:tc>
        <w:tc>
          <w:tcPr>
            <w:tcW w:w="914" w:type="dxa"/>
            <w:tcBorders>
              <w:top w:val="single" w:sz="2" w:space="0" w:color="auto"/>
              <w:left w:val="single" w:sz="2" w:space="0" w:color="auto"/>
              <w:bottom w:val="single" w:sz="2" w:space="0" w:color="auto"/>
              <w:right w:val="single" w:sz="2" w:space="0" w:color="auto"/>
            </w:tcBorders>
            <w:vAlign w:val="center"/>
          </w:tcPr>
          <w:p w14:paraId="7E4607C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156,078.64</w:t>
            </w:r>
          </w:p>
        </w:tc>
        <w:tc>
          <w:tcPr>
            <w:tcW w:w="643" w:type="dxa"/>
            <w:tcBorders>
              <w:top w:val="single" w:sz="2" w:space="0" w:color="auto"/>
              <w:left w:val="single" w:sz="2" w:space="0" w:color="auto"/>
              <w:bottom w:val="single" w:sz="2" w:space="0" w:color="auto"/>
              <w:right w:val="single" w:sz="2" w:space="0" w:color="auto"/>
            </w:tcBorders>
            <w:vAlign w:val="center"/>
          </w:tcPr>
          <w:p w14:paraId="5FA69AA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2,356.38</w:t>
            </w:r>
          </w:p>
        </w:tc>
        <w:tc>
          <w:tcPr>
            <w:tcW w:w="853" w:type="dxa"/>
            <w:tcBorders>
              <w:top w:val="single" w:sz="2" w:space="0" w:color="auto"/>
              <w:left w:val="single" w:sz="2" w:space="0" w:color="auto"/>
              <w:bottom w:val="single" w:sz="2" w:space="0" w:color="auto"/>
              <w:right w:val="single" w:sz="2" w:space="0" w:color="auto"/>
            </w:tcBorders>
            <w:vAlign w:val="center"/>
          </w:tcPr>
          <w:p w14:paraId="15885F6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111,861.19</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14:paraId="2BBFA3C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71FA716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w:t>
            </w:r>
          </w:p>
        </w:tc>
        <w:tc>
          <w:tcPr>
            <w:tcW w:w="709" w:type="dxa"/>
            <w:tcBorders>
              <w:top w:val="single" w:sz="2" w:space="0" w:color="auto"/>
              <w:left w:val="single" w:sz="2" w:space="0" w:color="auto"/>
              <w:bottom w:val="single" w:sz="2" w:space="0" w:color="auto"/>
              <w:right w:val="single" w:sz="2" w:space="0" w:color="auto"/>
            </w:tcBorders>
            <w:vAlign w:val="center"/>
          </w:tcPr>
          <w:p w14:paraId="2FDCE55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-2,762.28</w:t>
            </w:r>
          </w:p>
        </w:tc>
        <w:tc>
          <w:tcPr>
            <w:tcW w:w="850" w:type="dxa"/>
            <w:tcBorders>
              <w:top w:val="single" w:sz="2" w:space="0" w:color="auto"/>
              <w:left w:val="single" w:sz="2" w:space="0" w:color="auto"/>
              <w:bottom w:val="single" w:sz="2" w:space="0" w:color="auto"/>
              <w:right w:val="single" w:sz="2" w:space="0" w:color="auto"/>
            </w:tcBorders>
            <w:vAlign w:val="center"/>
          </w:tcPr>
          <w:p w14:paraId="4857168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-15,035.66</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5008A77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770D595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w:t>
            </w:r>
          </w:p>
        </w:tc>
      </w:tr>
      <w:tr w:rsidR="006C011D" w:rsidRPr="005A284F" w14:paraId="1A7EE656" w14:textId="77777777" w:rsidTr="00253F00">
        <w:trPr>
          <w:trHeight w:val="240"/>
        </w:trPr>
        <w:tc>
          <w:tcPr>
            <w:tcW w:w="156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97D6C19"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分项目说明未达到计划进度、预计收益的情况和原因（含</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是否达到预计效益</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选择</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不适用</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的原因）</w:t>
            </w:r>
          </w:p>
        </w:tc>
        <w:tc>
          <w:tcPr>
            <w:tcW w:w="9213" w:type="dxa"/>
            <w:gridSpan w:val="13"/>
            <w:tcBorders>
              <w:top w:val="single" w:sz="2" w:space="0" w:color="auto"/>
              <w:left w:val="single" w:sz="2" w:space="0" w:color="auto"/>
              <w:bottom w:val="single" w:sz="2" w:space="0" w:color="auto"/>
              <w:right w:val="single" w:sz="2" w:space="0" w:color="auto"/>
            </w:tcBorders>
            <w:vAlign w:val="center"/>
          </w:tcPr>
          <w:p w14:paraId="0BA8EBE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、公开发行可转换公司债券</w:t>
            </w:r>
          </w:p>
          <w:p w14:paraId="6A6FABB3" w14:textId="6435A7FE" w:rsidR="006C011D" w:rsidRPr="005A284F" w:rsidRDefault="00253F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）补充流动资金：</w:t>
            </w:r>
          </w:p>
          <w:p w14:paraId="591AF29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补充流动资金无法单独核算效益，但通过增加公司营运资金，提高公司资产运转能力和支付能力，提高公司经营抗风险能力，对公司经营业绩产生积极影响，从而间接提高公司效益。</w:t>
            </w:r>
          </w:p>
          <w:p w14:paraId="79D9F275" w14:textId="797AA84A"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）安丘市石埠子镇新建年出栏</w:t>
            </w:r>
            <w:r w:rsidRPr="005A284F">
              <w:rPr>
                <w:rFonts w:ascii="Times New Roman" w:eastAsia="宋体" w:hAnsi="Times New Roman" w:cs="Times New Roman"/>
                <w:sz w:val="18"/>
                <w:szCs w:val="18"/>
              </w:rPr>
              <w:t>50</w:t>
            </w:r>
            <w:r w:rsidRPr="005A284F">
              <w:rPr>
                <w:rFonts w:ascii="Times New Roman" w:eastAsia="宋体" w:hAnsi="Times New Roman" w:cs="Times New Roman"/>
                <w:sz w:val="18"/>
                <w:szCs w:val="18"/>
              </w:rPr>
              <w:t>万头商品猪项目：</w:t>
            </w:r>
          </w:p>
          <w:p w14:paraId="39375DA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截止目前，公司募投项目主体工程部分已部分完工，因公司募集资金投资项目主要为生猪养殖，且目前疫病对生猪养</w:t>
            </w:r>
            <w:r w:rsidRPr="005A284F">
              <w:rPr>
                <w:rFonts w:ascii="Times New Roman" w:eastAsia="宋体" w:hAnsi="Times New Roman" w:cs="Times New Roman"/>
                <w:sz w:val="18"/>
                <w:szCs w:val="18"/>
              </w:rPr>
              <w:lastRenderedPageBreak/>
              <w:t>殖影响也较为突出，生物安全风险较大，为保证募集资金安全、合理运用，严格把控风险，公司结合行业的整体发展状况，并按照谨慎性原则对本项目投入及投产进度进行一定的放缓；截止目前，项目尚未全部投入使用。因此该项目尚未达到预计收益。</w:t>
            </w:r>
          </w:p>
          <w:p w14:paraId="1C109FE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、非公开发行股票</w:t>
            </w:r>
          </w:p>
          <w:p w14:paraId="44D3C27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）补充流动资金：</w:t>
            </w:r>
          </w:p>
          <w:p w14:paraId="0AD7ABF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补充流动资金无法单独核算效益，但通过增加公司营运资金，提高公司资产运转能力和支付能力，提高公司经营抗风险能力，对公司经营业绩产生积极影响，从而间接提高公司效益。</w:t>
            </w:r>
          </w:p>
          <w:p w14:paraId="0EEC0130" w14:textId="31046DDA"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）山东新建年出栏生猪</w:t>
            </w:r>
            <w:r w:rsidRPr="005A284F">
              <w:rPr>
                <w:rFonts w:ascii="Times New Roman" w:eastAsia="宋体" w:hAnsi="Times New Roman" w:cs="Times New Roman"/>
                <w:sz w:val="18"/>
                <w:szCs w:val="18"/>
              </w:rPr>
              <w:t>66</w:t>
            </w:r>
            <w:r w:rsidRPr="005A284F">
              <w:rPr>
                <w:rFonts w:ascii="Times New Roman" w:eastAsia="宋体" w:hAnsi="Times New Roman" w:cs="Times New Roman"/>
                <w:sz w:val="18"/>
                <w:szCs w:val="18"/>
              </w:rPr>
              <w:t>万头养殖项目：</w:t>
            </w:r>
          </w:p>
          <w:p w14:paraId="0EF6509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截止目前，公司募投项目主体工程部分已全部完工，因公司募集资金投资项目主要为生猪养殖，且目前疫病对生猪养殖影响也较为突出，生物安全风险较大，为保证募集资金安全、合理运用，严格把控风险，公司结合行业的整体发展状况，并按照谨慎性原则对本项目投入及投产进度进行一定的放缓；截止目前，项目尚未全部投入使用。因此该项目尚未达到预计收益。</w:t>
            </w:r>
          </w:p>
        </w:tc>
      </w:tr>
      <w:tr w:rsidR="006C011D" w:rsidRPr="005A284F" w14:paraId="214A2910" w14:textId="77777777" w:rsidTr="00253F00">
        <w:trPr>
          <w:trHeight w:val="240"/>
        </w:trPr>
        <w:tc>
          <w:tcPr>
            <w:tcW w:w="156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157222C"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项目可行性发生重大变化的情况说明</w:t>
            </w:r>
          </w:p>
        </w:tc>
        <w:tc>
          <w:tcPr>
            <w:tcW w:w="9213" w:type="dxa"/>
            <w:gridSpan w:val="13"/>
            <w:tcBorders>
              <w:top w:val="single" w:sz="2" w:space="0" w:color="auto"/>
              <w:left w:val="single" w:sz="2" w:space="0" w:color="auto"/>
              <w:bottom w:val="single" w:sz="2" w:space="0" w:color="auto"/>
              <w:right w:val="single" w:sz="2" w:space="0" w:color="auto"/>
            </w:tcBorders>
            <w:vAlign w:val="center"/>
          </w:tcPr>
          <w:p w14:paraId="56C6BCE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不适用</w:t>
            </w:r>
          </w:p>
        </w:tc>
      </w:tr>
      <w:tr w:rsidR="006C011D" w:rsidRPr="005A284F" w14:paraId="797B3087" w14:textId="77777777" w:rsidTr="00253F00">
        <w:trPr>
          <w:trHeight w:val="240"/>
        </w:trPr>
        <w:tc>
          <w:tcPr>
            <w:tcW w:w="156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5160C4D"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超募资金的金额、用途及使用进展情况</w:t>
            </w:r>
          </w:p>
        </w:tc>
        <w:tc>
          <w:tcPr>
            <w:tcW w:w="9213" w:type="dxa"/>
            <w:gridSpan w:val="13"/>
            <w:tcBorders>
              <w:top w:val="single" w:sz="2" w:space="0" w:color="auto"/>
              <w:left w:val="single" w:sz="2" w:space="0" w:color="auto"/>
              <w:bottom w:val="single" w:sz="2" w:space="0" w:color="auto"/>
              <w:right w:val="single" w:sz="2" w:space="0" w:color="auto"/>
            </w:tcBorders>
            <w:vAlign w:val="center"/>
          </w:tcPr>
          <w:p w14:paraId="29E2B65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不适用</w:t>
            </w:r>
          </w:p>
        </w:tc>
      </w:tr>
      <w:tr w:rsidR="006C011D" w:rsidRPr="005A284F" w14:paraId="2C7876E4" w14:textId="77777777" w:rsidTr="00253F00">
        <w:trPr>
          <w:trHeight w:val="240"/>
        </w:trPr>
        <w:tc>
          <w:tcPr>
            <w:tcW w:w="156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60198F7"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存在擅自变更募集资金用途、违规占用募集资金的情形</w:t>
            </w:r>
          </w:p>
        </w:tc>
        <w:tc>
          <w:tcPr>
            <w:tcW w:w="9213" w:type="dxa"/>
            <w:gridSpan w:val="13"/>
            <w:tcBorders>
              <w:top w:val="single" w:sz="2" w:space="0" w:color="auto"/>
              <w:left w:val="single" w:sz="2" w:space="0" w:color="auto"/>
              <w:bottom w:val="single" w:sz="2" w:space="0" w:color="auto"/>
              <w:right w:val="single" w:sz="2" w:space="0" w:color="auto"/>
            </w:tcBorders>
            <w:vAlign w:val="center"/>
          </w:tcPr>
          <w:p w14:paraId="0656013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不适用</w:t>
            </w:r>
          </w:p>
        </w:tc>
      </w:tr>
      <w:tr w:rsidR="006C011D" w:rsidRPr="005A284F" w14:paraId="0FA4D488" w14:textId="77777777" w:rsidTr="00253F00">
        <w:trPr>
          <w:trHeight w:val="240"/>
        </w:trPr>
        <w:tc>
          <w:tcPr>
            <w:tcW w:w="156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475C440"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募集资金投资项目实施地点变更情况</w:t>
            </w:r>
          </w:p>
        </w:tc>
        <w:tc>
          <w:tcPr>
            <w:tcW w:w="9213" w:type="dxa"/>
            <w:gridSpan w:val="13"/>
            <w:tcBorders>
              <w:top w:val="single" w:sz="2" w:space="0" w:color="auto"/>
              <w:left w:val="single" w:sz="2" w:space="0" w:color="auto"/>
              <w:bottom w:val="single" w:sz="2" w:space="0" w:color="auto"/>
              <w:right w:val="single" w:sz="2" w:space="0" w:color="auto"/>
            </w:tcBorders>
            <w:vAlign w:val="center"/>
          </w:tcPr>
          <w:p w14:paraId="54F6804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不适用</w:t>
            </w:r>
          </w:p>
        </w:tc>
      </w:tr>
      <w:tr w:rsidR="006C011D" w:rsidRPr="005A284F" w14:paraId="5A00454C" w14:textId="77777777" w:rsidTr="00253F00">
        <w:trPr>
          <w:trHeight w:val="240"/>
        </w:trPr>
        <w:tc>
          <w:tcPr>
            <w:tcW w:w="156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17A0E9E"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募集资金投资项目实施方式调整情况</w:t>
            </w:r>
          </w:p>
        </w:tc>
        <w:tc>
          <w:tcPr>
            <w:tcW w:w="9213" w:type="dxa"/>
            <w:gridSpan w:val="13"/>
            <w:tcBorders>
              <w:top w:val="single" w:sz="2" w:space="0" w:color="auto"/>
              <w:left w:val="single" w:sz="2" w:space="0" w:color="auto"/>
              <w:bottom w:val="single" w:sz="2" w:space="0" w:color="auto"/>
              <w:right w:val="single" w:sz="2" w:space="0" w:color="auto"/>
            </w:tcBorders>
            <w:vAlign w:val="center"/>
          </w:tcPr>
          <w:p w14:paraId="028F997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不适用</w:t>
            </w:r>
          </w:p>
        </w:tc>
      </w:tr>
      <w:tr w:rsidR="006C011D" w:rsidRPr="005A284F" w14:paraId="35FFA059" w14:textId="77777777" w:rsidTr="00253F00">
        <w:trPr>
          <w:trHeight w:val="240"/>
        </w:trPr>
        <w:tc>
          <w:tcPr>
            <w:tcW w:w="1560"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76F5C3D"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募集资金投资项目先期投入及置换情况</w:t>
            </w:r>
          </w:p>
        </w:tc>
        <w:tc>
          <w:tcPr>
            <w:tcW w:w="9213" w:type="dxa"/>
            <w:gridSpan w:val="13"/>
            <w:tcBorders>
              <w:top w:val="single" w:sz="2" w:space="0" w:color="auto"/>
              <w:left w:val="single" w:sz="2" w:space="0" w:color="auto"/>
              <w:bottom w:val="single" w:sz="2" w:space="0" w:color="auto"/>
              <w:right w:val="single" w:sz="2" w:space="0" w:color="auto"/>
            </w:tcBorders>
            <w:vAlign w:val="center"/>
          </w:tcPr>
          <w:p w14:paraId="663262A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适用</w:t>
            </w:r>
          </w:p>
        </w:tc>
      </w:tr>
      <w:tr w:rsidR="006C011D" w:rsidRPr="005A284F" w14:paraId="10EDD31D" w14:textId="77777777" w:rsidTr="00253F00">
        <w:trPr>
          <w:trHeight w:val="240"/>
        </w:trPr>
        <w:tc>
          <w:tcPr>
            <w:tcW w:w="1560"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14:paraId="2AB73D97" w14:textId="77777777" w:rsidR="006C011D" w:rsidRPr="005A284F" w:rsidRDefault="006C011D">
            <w:pPr>
              <w:rPr>
                <w:rFonts w:ascii="Times New Roman" w:eastAsia="宋体" w:hAnsi="Times New Roman" w:cs="Times New Roman"/>
              </w:rPr>
            </w:pPr>
          </w:p>
        </w:tc>
        <w:tc>
          <w:tcPr>
            <w:tcW w:w="9213" w:type="dxa"/>
            <w:gridSpan w:val="13"/>
            <w:tcBorders>
              <w:top w:val="single" w:sz="2" w:space="0" w:color="auto"/>
              <w:left w:val="single" w:sz="2" w:space="0" w:color="auto"/>
              <w:bottom w:val="single" w:sz="2" w:space="0" w:color="auto"/>
              <w:right w:val="single" w:sz="2" w:space="0" w:color="auto"/>
            </w:tcBorders>
            <w:vAlign w:val="center"/>
          </w:tcPr>
          <w:p w14:paraId="52C299B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2020</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20</w:t>
            </w:r>
            <w:r w:rsidRPr="005A284F">
              <w:rPr>
                <w:rFonts w:ascii="Times New Roman" w:eastAsia="宋体" w:hAnsi="Times New Roman" w:cs="Times New Roman"/>
                <w:sz w:val="18"/>
                <w:szCs w:val="18"/>
              </w:rPr>
              <w:t>日，经公司董事会审议通过，公司以募集资金</w:t>
            </w:r>
            <w:r w:rsidRPr="005A284F">
              <w:rPr>
                <w:rFonts w:ascii="Times New Roman" w:eastAsia="宋体" w:hAnsi="Times New Roman" w:cs="Times New Roman"/>
                <w:sz w:val="18"/>
                <w:szCs w:val="18"/>
              </w:rPr>
              <w:t>3,581.42</w:t>
            </w:r>
            <w:r w:rsidRPr="005A284F">
              <w:rPr>
                <w:rFonts w:ascii="Times New Roman" w:eastAsia="宋体" w:hAnsi="Times New Roman" w:cs="Times New Roman"/>
                <w:sz w:val="18"/>
                <w:szCs w:val="18"/>
              </w:rPr>
              <w:t>万元对先期投入的</w:t>
            </w:r>
            <w:r w:rsidRPr="005A284F">
              <w:rPr>
                <w:rFonts w:ascii="Times New Roman" w:eastAsia="宋体" w:hAnsi="Times New Roman" w:cs="Times New Roman"/>
                <w:sz w:val="18"/>
                <w:szCs w:val="18"/>
              </w:rPr>
              <w:t>3,581.42</w:t>
            </w:r>
            <w:r w:rsidRPr="005A284F">
              <w:rPr>
                <w:rFonts w:ascii="Times New Roman" w:eastAsia="宋体" w:hAnsi="Times New Roman" w:cs="Times New Roman"/>
                <w:sz w:val="18"/>
                <w:szCs w:val="18"/>
              </w:rPr>
              <w:t>万元自筹资金进行了置换。该事项已经中审众环会计师事务所（特殊普通合伙）于</w:t>
            </w:r>
            <w:r w:rsidRPr="005A284F">
              <w:rPr>
                <w:rFonts w:ascii="Times New Roman" w:eastAsia="宋体" w:hAnsi="Times New Roman" w:cs="Times New Roman"/>
                <w:sz w:val="18"/>
                <w:szCs w:val="18"/>
              </w:rPr>
              <w:t>2020</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日出具众环专字</w:t>
            </w:r>
            <w:r w:rsidRPr="005A284F">
              <w:rPr>
                <w:rFonts w:ascii="Times New Roman" w:eastAsia="宋体" w:hAnsi="Times New Roman" w:cs="Times New Roman"/>
                <w:sz w:val="18"/>
                <w:szCs w:val="18"/>
              </w:rPr>
              <w:t>[2020]280025</w:t>
            </w:r>
            <w:r w:rsidRPr="005A284F">
              <w:rPr>
                <w:rFonts w:ascii="Times New Roman" w:eastAsia="宋体" w:hAnsi="Times New Roman" w:cs="Times New Roman"/>
                <w:sz w:val="18"/>
                <w:szCs w:val="18"/>
              </w:rPr>
              <w:t>号专项报告予以鉴证。</w:t>
            </w:r>
          </w:p>
          <w:p w14:paraId="0E90668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2021</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日，公司第四届董事会第三十四次会议审议通过了《关于使用非公开发行股票募集资金置换预先投入募投项目自筹资金的议案》，同意公司使用非公开发行股票募集资金置换已投入募集资金项目的自筹资金，合计金额为</w:t>
            </w:r>
            <w:r w:rsidRPr="005A284F">
              <w:rPr>
                <w:rFonts w:ascii="Times New Roman" w:eastAsia="宋体" w:hAnsi="Times New Roman" w:cs="Times New Roman"/>
                <w:sz w:val="18"/>
                <w:szCs w:val="18"/>
              </w:rPr>
              <w:t>12,210.29</w:t>
            </w:r>
            <w:r w:rsidRPr="005A284F">
              <w:rPr>
                <w:rFonts w:ascii="Times New Roman" w:eastAsia="宋体" w:hAnsi="Times New Roman" w:cs="Times New Roman"/>
                <w:sz w:val="18"/>
                <w:szCs w:val="18"/>
              </w:rPr>
              <w:t>万元。该事项已经中审众环会计师事务所（特殊普通合伙）出具《山东龙大肉食品股份有限公司以自筹资金预先投入募集资金投资项目情况报告的鉴证报告》（众环专字（</w:t>
            </w:r>
            <w:r w:rsidRPr="005A284F">
              <w:rPr>
                <w:rFonts w:ascii="Times New Roman" w:eastAsia="宋体" w:hAnsi="Times New Roman" w:cs="Times New Roman"/>
                <w:sz w:val="18"/>
                <w:szCs w:val="18"/>
              </w:rPr>
              <w:t>2021</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2800021</w:t>
            </w:r>
            <w:r w:rsidRPr="005A284F">
              <w:rPr>
                <w:rFonts w:ascii="Times New Roman" w:eastAsia="宋体" w:hAnsi="Times New Roman" w:cs="Times New Roman"/>
                <w:sz w:val="18"/>
                <w:szCs w:val="18"/>
              </w:rPr>
              <w:t>号）予以鉴证。</w:t>
            </w:r>
          </w:p>
          <w:p w14:paraId="54BA7A2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公司独立董事、监事会及保荐机构已分别对上述事项发表同意意见。</w:t>
            </w:r>
          </w:p>
        </w:tc>
      </w:tr>
      <w:tr w:rsidR="006C011D" w:rsidRPr="005A284F" w14:paraId="5787D016" w14:textId="77777777" w:rsidTr="00253F00">
        <w:trPr>
          <w:trHeight w:val="240"/>
        </w:trPr>
        <w:tc>
          <w:tcPr>
            <w:tcW w:w="1560"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EC8ACF2"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用闲置募集资金暂时补充流动资金情况</w:t>
            </w:r>
          </w:p>
        </w:tc>
        <w:tc>
          <w:tcPr>
            <w:tcW w:w="9213" w:type="dxa"/>
            <w:gridSpan w:val="13"/>
            <w:tcBorders>
              <w:top w:val="single" w:sz="2" w:space="0" w:color="auto"/>
              <w:left w:val="single" w:sz="2" w:space="0" w:color="auto"/>
              <w:bottom w:val="single" w:sz="2" w:space="0" w:color="auto"/>
              <w:right w:val="single" w:sz="2" w:space="0" w:color="auto"/>
            </w:tcBorders>
            <w:vAlign w:val="center"/>
          </w:tcPr>
          <w:p w14:paraId="439F763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适用</w:t>
            </w:r>
          </w:p>
        </w:tc>
      </w:tr>
      <w:tr w:rsidR="006C011D" w:rsidRPr="005A284F" w14:paraId="66DAB304" w14:textId="77777777" w:rsidTr="00253F00">
        <w:trPr>
          <w:trHeight w:val="240"/>
        </w:trPr>
        <w:tc>
          <w:tcPr>
            <w:tcW w:w="1560"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14:paraId="1046B23D" w14:textId="77777777" w:rsidR="006C011D" w:rsidRPr="005A284F" w:rsidRDefault="006C011D">
            <w:pPr>
              <w:rPr>
                <w:rFonts w:ascii="Times New Roman" w:eastAsia="宋体" w:hAnsi="Times New Roman" w:cs="Times New Roman"/>
              </w:rPr>
            </w:pPr>
          </w:p>
        </w:tc>
        <w:tc>
          <w:tcPr>
            <w:tcW w:w="9213" w:type="dxa"/>
            <w:gridSpan w:val="13"/>
            <w:tcBorders>
              <w:top w:val="single" w:sz="2" w:space="0" w:color="auto"/>
              <w:left w:val="single" w:sz="2" w:space="0" w:color="auto"/>
              <w:bottom w:val="single" w:sz="2" w:space="0" w:color="auto"/>
              <w:right w:val="single" w:sz="2" w:space="0" w:color="auto"/>
            </w:tcBorders>
            <w:vAlign w:val="center"/>
          </w:tcPr>
          <w:p w14:paraId="0330844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、公开发行可转换公司债券</w:t>
            </w:r>
          </w:p>
          <w:p w14:paraId="774EB75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2021</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日，公司第四届董事会第三十四次会议审议通过了《关于使用部分闲置募集资金暂时补充流动资金的议案》，公司决定使用可转换债券部分闲置募集资金</w:t>
            </w:r>
            <w:r w:rsidRPr="005A284F">
              <w:rPr>
                <w:rFonts w:ascii="Times New Roman" w:eastAsia="宋体" w:hAnsi="Times New Roman" w:cs="Times New Roman"/>
                <w:sz w:val="18"/>
                <w:szCs w:val="18"/>
              </w:rPr>
              <w:t>46,247.96</w:t>
            </w:r>
            <w:r w:rsidRPr="005A284F">
              <w:rPr>
                <w:rFonts w:ascii="Times New Roman" w:eastAsia="宋体" w:hAnsi="Times New Roman" w:cs="Times New Roman"/>
                <w:sz w:val="18"/>
                <w:szCs w:val="18"/>
              </w:rPr>
              <w:t>万元（含本数）暂时补充流动资金，该笔资金仅限于公司主营业务相关的生产经营使用，使用期限自董事会审议通过之日起十二个月内，在决议有效期内上述额度可以滚动使用，到期后将及时归还到公司募集资金专项存储账户。</w:t>
            </w:r>
          </w:p>
          <w:p w14:paraId="21DD270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截至</w:t>
            </w:r>
            <w:r w:rsidRPr="005A284F">
              <w:rPr>
                <w:rFonts w:ascii="Times New Roman" w:eastAsia="宋体" w:hAnsi="Times New Roman" w:cs="Times New Roman"/>
                <w:sz w:val="18"/>
                <w:szCs w:val="18"/>
              </w:rPr>
              <w:t>2022</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5</w:t>
            </w:r>
            <w:r w:rsidRPr="005A284F">
              <w:rPr>
                <w:rFonts w:ascii="Times New Roman" w:eastAsia="宋体" w:hAnsi="Times New Roman" w:cs="Times New Roman"/>
                <w:sz w:val="18"/>
                <w:szCs w:val="18"/>
              </w:rPr>
              <w:t>日，公司已按规定将上述用于暂时补充流动资金的募集资金全部归还至募集资金专项账户，使用期限均未超过</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个月。</w:t>
            </w:r>
          </w:p>
          <w:p w14:paraId="3C2F29F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2022</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日，公司第五届董事会第五次会议审议通过了《关于继续使用部分闲置募集资金暂时补充流动资金的议案》，公司决定使用可转换债券部分闲置募集资金</w:t>
            </w:r>
            <w:r w:rsidRPr="005A284F">
              <w:rPr>
                <w:rFonts w:ascii="Times New Roman" w:eastAsia="宋体" w:hAnsi="Times New Roman" w:cs="Times New Roman"/>
                <w:sz w:val="18"/>
                <w:szCs w:val="18"/>
              </w:rPr>
              <w:t>40,572.67</w:t>
            </w:r>
            <w:r w:rsidRPr="005A284F">
              <w:rPr>
                <w:rFonts w:ascii="Times New Roman" w:eastAsia="宋体" w:hAnsi="Times New Roman" w:cs="Times New Roman"/>
                <w:sz w:val="18"/>
                <w:szCs w:val="18"/>
              </w:rPr>
              <w:t>万元（含本数）暂时补充流动资金，该笔资金仅限于公司主营业务相关的生产经营使用，使用期限自董事会审议通过之日起十二个月内，到期前将及时归还到公司募集资金专项存储账户。在此期间如遇募集资金专户余额不能满足募集资金正常支付的情况，公司将根据实际需要将已暂时补充流动资金的募集资金归还至募集资金专户。</w:t>
            </w:r>
          </w:p>
          <w:p w14:paraId="786983DA" w14:textId="4F36EDCD"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截至</w:t>
            </w:r>
            <w:r w:rsidRPr="005A284F">
              <w:rPr>
                <w:rFonts w:ascii="Times New Roman" w:eastAsia="宋体" w:hAnsi="Times New Roman" w:cs="Times New Roman"/>
                <w:sz w:val="18"/>
                <w:szCs w:val="18"/>
              </w:rPr>
              <w:t>2023</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11</w:t>
            </w:r>
            <w:r w:rsidRPr="005A284F">
              <w:rPr>
                <w:rFonts w:ascii="Times New Roman" w:eastAsia="宋体" w:hAnsi="Times New Roman" w:cs="Times New Roman"/>
                <w:sz w:val="18"/>
                <w:szCs w:val="18"/>
              </w:rPr>
              <w:t>日，公司已按规定将上述用于暂时补充流动资金的募集资金全部归还至募集资金专项账户，使用期限均未超过</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个月。</w:t>
            </w:r>
          </w:p>
          <w:p w14:paraId="02F438F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2023</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14</w:t>
            </w:r>
            <w:r w:rsidRPr="005A284F">
              <w:rPr>
                <w:rFonts w:ascii="Times New Roman" w:eastAsia="宋体" w:hAnsi="Times New Roman" w:cs="Times New Roman"/>
                <w:sz w:val="18"/>
                <w:szCs w:val="18"/>
              </w:rPr>
              <w:t>日，公司第五届董事会第十五次会议审议通过了《关于继续使用部分闲置募集资金暂时补充流动资金的议案》，公司决定使用可转换债券部分闲置募集资金</w:t>
            </w:r>
            <w:r w:rsidRPr="005A284F">
              <w:rPr>
                <w:rFonts w:ascii="Times New Roman" w:eastAsia="宋体" w:hAnsi="Times New Roman" w:cs="Times New Roman"/>
                <w:sz w:val="18"/>
                <w:szCs w:val="18"/>
              </w:rPr>
              <w:t>39,900.00</w:t>
            </w:r>
            <w:r w:rsidRPr="005A284F">
              <w:rPr>
                <w:rFonts w:ascii="Times New Roman" w:eastAsia="宋体" w:hAnsi="Times New Roman" w:cs="Times New Roman"/>
                <w:sz w:val="18"/>
                <w:szCs w:val="18"/>
              </w:rPr>
              <w:t>万元（含本数）暂时补充流动资金，该笔资金仅限于公司主营业务相关的生产经营使用，使用期限自董事会审议通过之日起十二个月内，到期前将及时归还到公司募集资金专项存储账户。在此期间如遇募集资金专户余额不能满足募集资金正常支付的情况，公司将根据实际需要将已暂时补充流动资金的募集资金归还至募集资金专户。</w:t>
            </w:r>
          </w:p>
          <w:p w14:paraId="6E39E51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截至</w:t>
            </w: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13</w:t>
            </w:r>
            <w:r w:rsidRPr="005A284F">
              <w:rPr>
                <w:rFonts w:ascii="Times New Roman" w:eastAsia="宋体" w:hAnsi="Times New Roman" w:cs="Times New Roman"/>
                <w:sz w:val="18"/>
                <w:szCs w:val="18"/>
              </w:rPr>
              <w:t>日，公司已按规定将上述用于暂时补充流动资金的募集资金全部归还至募集资金专项账户，上述资金使用期限均未超过</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个月。</w:t>
            </w:r>
          </w:p>
          <w:p w14:paraId="3E16BE9C" w14:textId="094DC0E5"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15</w:t>
            </w:r>
            <w:r w:rsidRPr="005A284F">
              <w:rPr>
                <w:rFonts w:ascii="Times New Roman" w:eastAsia="宋体" w:hAnsi="Times New Roman" w:cs="Times New Roman"/>
                <w:sz w:val="18"/>
                <w:szCs w:val="18"/>
              </w:rPr>
              <w:t>日，公司第五届董事会第十五次会议审议通过了《关于继续使用部分闲置募集资金暂时补充流动资金</w:t>
            </w:r>
            <w:r w:rsidRPr="005A284F">
              <w:rPr>
                <w:rFonts w:ascii="Times New Roman" w:eastAsia="宋体" w:hAnsi="Times New Roman" w:cs="Times New Roman"/>
                <w:sz w:val="18"/>
                <w:szCs w:val="18"/>
              </w:rPr>
              <w:lastRenderedPageBreak/>
              <w:t>的议案》，公司决定使用可转换债券部分闲置募集资金</w:t>
            </w:r>
            <w:r w:rsidRPr="005A284F">
              <w:rPr>
                <w:rFonts w:ascii="Times New Roman" w:eastAsia="宋体" w:hAnsi="Times New Roman" w:cs="Times New Roman"/>
                <w:sz w:val="18"/>
                <w:szCs w:val="18"/>
              </w:rPr>
              <w:t>39,600.00</w:t>
            </w:r>
            <w:r w:rsidRPr="005A284F">
              <w:rPr>
                <w:rFonts w:ascii="Times New Roman" w:eastAsia="宋体" w:hAnsi="Times New Roman" w:cs="Times New Roman"/>
                <w:sz w:val="18"/>
                <w:szCs w:val="18"/>
              </w:rPr>
              <w:t>万元（含本数）暂时补充流动资金，该笔资金仅限于公司主营业务相关的生产经营使用，使用期限自董事会审议通过之日起十二个月内，到期前将及时归还到公司募集资金专项存储账户。在此期间如遇募集资金专户余额不能满足募集资金正常支付的情况，公司将根据实际需要将已暂时补充流动资金的募集资金归还至募集资金专户。</w:t>
            </w:r>
          </w:p>
          <w:p w14:paraId="099B3F0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截至</w:t>
            </w: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14</w:t>
            </w:r>
            <w:r w:rsidRPr="005A284F">
              <w:rPr>
                <w:rFonts w:ascii="Times New Roman" w:eastAsia="宋体" w:hAnsi="Times New Roman" w:cs="Times New Roman"/>
                <w:sz w:val="18"/>
                <w:szCs w:val="18"/>
              </w:rPr>
              <w:t>日，公司已按规定将上述用于暂时补充流动资金的募集资金全部归还至募集资金专项账户，上述资金使用期限均未超过</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个月</w:t>
            </w:r>
          </w:p>
          <w:p w14:paraId="23CD35DA" w14:textId="4DF22BD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15</w:t>
            </w:r>
            <w:r w:rsidRPr="005A284F">
              <w:rPr>
                <w:rFonts w:ascii="Times New Roman" w:eastAsia="宋体" w:hAnsi="Times New Roman" w:cs="Times New Roman"/>
                <w:sz w:val="18"/>
                <w:szCs w:val="18"/>
              </w:rPr>
              <w:t>日，公司召开了第六届董事会第三次会议审议通过了《关于继续使用部分闲置募集资金暂时补充流动资金的议案》，公司决定使用可转换债券闲置募集资金补充流动资金的金额不超过</w:t>
            </w:r>
            <w:r w:rsidRPr="005A284F">
              <w:rPr>
                <w:rFonts w:ascii="Times New Roman" w:eastAsia="宋体" w:hAnsi="Times New Roman" w:cs="Times New Roman"/>
                <w:sz w:val="18"/>
                <w:szCs w:val="18"/>
              </w:rPr>
              <w:t>38,000.00</w:t>
            </w:r>
            <w:r w:rsidRPr="005A284F">
              <w:rPr>
                <w:rFonts w:ascii="Times New Roman" w:eastAsia="宋体" w:hAnsi="Times New Roman" w:cs="Times New Roman"/>
                <w:sz w:val="18"/>
                <w:szCs w:val="18"/>
              </w:rPr>
              <w:t>万元（含本数）暂时补充流动资金。该笔资金仅限于公司及子公司河南龙大牧原肉食品有限公司、聊城龙大肉食品有限公司、潍坊振祥食品有限公司、烟台龙大养殖有限公司的主营业务相关的生产经营使用，使用期限自董事会审议通过之日起十二个月内，到期前将及时归还到公司募集资金专项存储账户。在此期间如遇募集资金专户余额不能满足募集资金正常支付的情况，公司将根据实际需要将已暂时补充流动资金的募集资金归还至募集资金专户。</w:t>
            </w:r>
          </w:p>
          <w:p w14:paraId="1297A4E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、非公开发行股票</w:t>
            </w:r>
          </w:p>
          <w:p w14:paraId="5E9E921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2021</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日，公司第四届董事会第三十四次会议审议通过了《关于使用部分闲置募集资金暂时补充流动资金的议案》，公司决定使用非公开发行股票部分闲置募集资金</w:t>
            </w:r>
            <w:r w:rsidRPr="005A284F">
              <w:rPr>
                <w:rFonts w:ascii="Times New Roman" w:eastAsia="宋体" w:hAnsi="Times New Roman" w:cs="Times New Roman"/>
                <w:sz w:val="18"/>
                <w:szCs w:val="18"/>
              </w:rPr>
              <w:t>28,256.35</w:t>
            </w:r>
            <w:r w:rsidRPr="005A284F">
              <w:rPr>
                <w:rFonts w:ascii="Times New Roman" w:eastAsia="宋体" w:hAnsi="Times New Roman" w:cs="Times New Roman"/>
                <w:sz w:val="18"/>
                <w:szCs w:val="18"/>
              </w:rPr>
              <w:t>万元（含本数）暂时补充流动资金，该笔资金仅限于公司主营业务相关的生产经营使用，使用期限自董事会审议通过之日起十二个月内，在决议有效期内上述额度可以滚动使用，到期后将及时归还到公司募集资金专项存储账户。</w:t>
            </w:r>
          </w:p>
          <w:p w14:paraId="0457DB4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截至</w:t>
            </w:r>
            <w:r w:rsidRPr="005A284F">
              <w:rPr>
                <w:rFonts w:ascii="Times New Roman" w:eastAsia="宋体" w:hAnsi="Times New Roman" w:cs="Times New Roman"/>
                <w:sz w:val="18"/>
                <w:szCs w:val="18"/>
              </w:rPr>
              <w:t>2022</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5</w:t>
            </w:r>
            <w:r w:rsidRPr="005A284F">
              <w:rPr>
                <w:rFonts w:ascii="Times New Roman" w:eastAsia="宋体" w:hAnsi="Times New Roman" w:cs="Times New Roman"/>
                <w:sz w:val="18"/>
                <w:szCs w:val="18"/>
              </w:rPr>
              <w:t>日，公司已按规定将上述用于暂时补充流动资金的募集资金全部归还至募集资金专项账户，使用期限均未超过</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个月。</w:t>
            </w:r>
          </w:p>
          <w:p w14:paraId="3983A827" w14:textId="259276E8"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2022</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日，公司第五届董事会第五次会议审议通过了《关于继续使用部分闲置募集资金暂时补充流动资金的议案》，公司决定使用非公开发行股票部分闲置募集资金补充流动资金的金额不超过</w:t>
            </w:r>
            <w:r w:rsidRPr="005A284F">
              <w:rPr>
                <w:rFonts w:ascii="Times New Roman" w:eastAsia="宋体" w:hAnsi="Times New Roman" w:cs="Times New Roman"/>
                <w:sz w:val="18"/>
                <w:szCs w:val="18"/>
              </w:rPr>
              <w:t>12,182.35</w:t>
            </w:r>
            <w:r w:rsidRPr="005A284F">
              <w:rPr>
                <w:rFonts w:ascii="Times New Roman" w:eastAsia="宋体" w:hAnsi="Times New Roman" w:cs="Times New Roman"/>
                <w:sz w:val="18"/>
                <w:szCs w:val="18"/>
              </w:rPr>
              <w:t>万元（含本数）暂时补充流动资金，该笔资金仅限于公司主营业务相关的生产经营使用，使用期限自董事会审议通过之日起十二个月内，到期前将及时归还到公司募集资金专项存储账户。在此期间如遇募集资金专户余额不能满足募集资金正常支付的情况，公司将根据实际需要将已暂时补充流动资金的募集资金归还至募集资金专户。</w:t>
            </w:r>
          </w:p>
          <w:p w14:paraId="0AD6C1F4" w14:textId="6B313F32"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截至</w:t>
            </w:r>
            <w:r w:rsidRPr="005A284F">
              <w:rPr>
                <w:rFonts w:ascii="Times New Roman" w:eastAsia="宋体" w:hAnsi="Times New Roman" w:cs="Times New Roman"/>
                <w:sz w:val="18"/>
                <w:szCs w:val="18"/>
              </w:rPr>
              <w:t>2023</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11</w:t>
            </w:r>
            <w:r w:rsidRPr="005A284F">
              <w:rPr>
                <w:rFonts w:ascii="Times New Roman" w:eastAsia="宋体" w:hAnsi="Times New Roman" w:cs="Times New Roman"/>
                <w:sz w:val="18"/>
                <w:szCs w:val="18"/>
              </w:rPr>
              <w:t>日，公司已按规定将上述用于暂时补充流动资金的募集资金全部归还至募集资金专项账户，使用期限均未超过</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个月。</w:t>
            </w:r>
          </w:p>
          <w:p w14:paraId="6BDB62B0" w14:textId="5E88BDAE"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2023</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14</w:t>
            </w:r>
            <w:r w:rsidRPr="005A284F">
              <w:rPr>
                <w:rFonts w:ascii="Times New Roman" w:eastAsia="宋体" w:hAnsi="Times New Roman" w:cs="Times New Roman"/>
                <w:sz w:val="18"/>
                <w:szCs w:val="18"/>
              </w:rPr>
              <w:t>日，公司第五届董事会第十五次会议审议通过了《关于继续使用部分闲置募集资金暂时补充流动资金的议案》，公司决定使用非公开发行股票部分闲置募集资金补充流动资金的金额不超过</w:t>
            </w:r>
            <w:r w:rsidRPr="005A284F">
              <w:rPr>
                <w:rFonts w:ascii="Times New Roman" w:eastAsia="宋体" w:hAnsi="Times New Roman" w:cs="Times New Roman"/>
                <w:sz w:val="18"/>
                <w:szCs w:val="18"/>
              </w:rPr>
              <w:t>10,100.00</w:t>
            </w:r>
            <w:r w:rsidRPr="005A284F">
              <w:rPr>
                <w:rFonts w:ascii="Times New Roman" w:eastAsia="宋体" w:hAnsi="Times New Roman" w:cs="Times New Roman"/>
                <w:sz w:val="18"/>
                <w:szCs w:val="18"/>
              </w:rPr>
              <w:t>万元（含本数）暂时补充流动资金，该笔资金仅限于公司主营业务相关的生产经营使用，使用期限自董事会审议通过之日起十二个月内，到期前将及时归还到公司募集资金专项存储账户。在此期间如遇募集资金专户余额不能满足募集资金正常支付的情况，公司将根据实际需要将已暂时补充流动资金的募集资金归还至募集资金专户。</w:t>
            </w:r>
          </w:p>
          <w:p w14:paraId="5A65EAD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截至</w:t>
            </w: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13</w:t>
            </w:r>
            <w:r w:rsidRPr="005A284F">
              <w:rPr>
                <w:rFonts w:ascii="Times New Roman" w:eastAsia="宋体" w:hAnsi="Times New Roman" w:cs="Times New Roman"/>
                <w:sz w:val="18"/>
                <w:szCs w:val="18"/>
              </w:rPr>
              <w:t>日，公司已按规定将上述用于暂时补充流动资金的募集资金全部归还至募集资金专项账户，上述资金使用期限均未超过</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个月。</w:t>
            </w:r>
          </w:p>
          <w:p w14:paraId="12EFA33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15</w:t>
            </w:r>
            <w:r w:rsidRPr="005A284F">
              <w:rPr>
                <w:rFonts w:ascii="Times New Roman" w:eastAsia="宋体" w:hAnsi="Times New Roman" w:cs="Times New Roman"/>
                <w:sz w:val="18"/>
                <w:szCs w:val="18"/>
              </w:rPr>
              <w:t>日，公司第五届董事会第十五次会议审议通过了《关于继续使用部分闲置募集资金暂时补充流动资金的议案》，公司决定使用非公开发行股票部分闲置募集资金补充流动资金的金额不超过</w:t>
            </w:r>
            <w:r w:rsidRPr="005A284F">
              <w:rPr>
                <w:rFonts w:ascii="Times New Roman" w:eastAsia="宋体" w:hAnsi="Times New Roman" w:cs="Times New Roman"/>
                <w:sz w:val="18"/>
                <w:szCs w:val="18"/>
              </w:rPr>
              <w:t>9,880.00</w:t>
            </w:r>
            <w:r w:rsidRPr="005A284F">
              <w:rPr>
                <w:rFonts w:ascii="Times New Roman" w:eastAsia="宋体" w:hAnsi="Times New Roman" w:cs="Times New Roman"/>
                <w:sz w:val="18"/>
                <w:szCs w:val="18"/>
              </w:rPr>
              <w:t>万元（含本数）暂时补充流动资金，该笔资金仅限于公司主营业务相关的生产经营使用，使用期限自董事会审议通过之日起十二个月内，到期前将及时归还到公司募集资金专项存储账户。在此期间如遇募集资金专户余额不能满足募集资金正常支付的情况，公司将根据实际需要将已暂时补充流动资金的募集资金归还至募集资金专户。</w:t>
            </w:r>
          </w:p>
          <w:p w14:paraId="0E55055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截至</w:t>
            </w: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14</w:t>
            </w:r>
            <w:r w:rsidRPr="005A284F">
              <w:rPr>
                <w:rFonts w:ascii="Times New Roman" w:eastAsia="宋体" w:hAnsi="Times New Roman" w:cs="Times New Roman"/>
                <w:sz w:val="18"/>
                <w:szCs w:val="18"/>
              </w:rPr>
              <w:t>日，公司已按规定将上述用于暂时补充流动资金的募集资金全部归还至募集资金专项账户，上述资金使用期限均未超过</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个月。</w:t>
            </w:r>
          </w:p>
          <w:p w14:paraId="6EB9BED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15</w:t>
            </w:r>
            <w:r w:rsidRPr="005A284F">
              <w:rPr>
                <w:rFonts w:ascii="Times New Roman" w:eastAsia="宋体" w:hAnsi="Times New Roman" w:cs="Times New Roman"/>
                <w:sz w:val="18"/>
                <w:szCs w:val="18"/>
              </w:rPr>
              <w:t>日，公司召开了第六届董事会第三次会议审议通过了《关于继续使用部分闲置募集资金暂时补充流动资金的议案》，公司决定使用非公开发行股票部分闲置募集资金补充流动资金的金额不超过</w:t>
            </w:r>
            <w:r w:rsidRPr="005A284F">
              <w:rPr>
                <w:rFonts w:ascii="Times New Roman" w:eastAsia="宋体" w:hAnsi="Times New Roman" w:cs="Times New Roman"/>
                <w:sz w:val="18"/>
                <w:szCs w:val="18"/>
              </w:rPr>
              <w:t>7,300.00</w:t>
            </w:r>
            <w:r w:rsidRPr="005A284F">
              <w:rPr>
                <w:rFonts w:ascii="Times New Roman" w:eastAsia="宋体" w:hAnsi="Times New Roman" w:cs="Times New Roman"/>
                <w:sz w:val="18"/>
                <w:szCs w:val="18"/>
              </w:rPr>
              <w:t>万元（含本数）暂时补充流动资金。该笔资金仅限于公司及子公司河南龙大牧原肉食品有限公司、聊城龙大肉食品有限公司、潍坊振祥食品有限公司、烟台龙大养殖有限公司的主营业务相关的生产经营使用，使用期限自董事会审议通过之日起十二个月内，到期前将及时归还到公司募集资金专项存储账户。在此期间如遇募集资金专户余额不能满足募集资金正常支付的情况，公司将根据实际需要将已暂时补充流动资金的募集资金归还至募集资金专户。</w:t>
            </w:r>
          </w:p>
        </w:tc>
      </w:tr>
      <w:tr w:rsidR="006C011D" w:rsidRPr="005A284F" w14:paraId="3D15C25A" w14:textId="77777777" w:rsidTr="00253F00">
        <w:trPr>
          <w:trHeight w:val="240"/>
        </w:trPr>
        <w:tc>
          <w:tcPr>
            <w:tcW w:w="156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F127EC9"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项目实施出现募集资金结余的金额及原因</w:t>
            </w:r>
          </w:p>
        </w:tc>
        <w:tc>
          <w:tcPr>
            <w:tcW w:w="9213" w:type="dxa"/>
            <w:gridSpan w:val="13"/>
            <w:tcBorders>
              <w:top w:val="single" w:sz="2" w:space="0" w:color="auto"/>
              <w:left w:val="single" w:sz="2" w:space="0" w:color="auto"/>
              <w:bottom w:val="single" w:sz="2" w:space="0" w:color="auto"/>
              <w:right w:val="single" w:sz="2" w:space="0" w:color="auto"/>
            </w:tcBorders>
            <w:vAlign w:val="center"/>
          </w:tcPr>
          <w:p w14:paraId="3396D92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不适用</w:t>
            </w:r>
          </w:p>
        </w:tc>
      </w:tr>
      <w:tr w:rsidR="006C011D" w:rsidRPr="005A284F" w14:paraId="12E95C82" w14:textId="77777777" w:rsidTr="00942F08">
        <w:trPr>
          <w:trHeight w:val="1655"/>
        </w:trPr>
        <w:tc>
          <w:tcPr>
            <w:tcW w:w="156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6CDC2F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尚未使用的募集资金用途及去向</w:t>
            </w:r>
          </w:p>
        </w:tc>
        <w:tc>
          <w:tcPr>
            <w:tcW w:w="9213" w:type="dxa"/>
            <w:gridSpan w:val="13"/>
            <w:tcBorders>
              <w:top w:val="single" w:sz="2" w:space="0" w:color="auto"/>
              <w:left w:val="single" w:sz="2" w:space="0" w:color="auto"/>
              <w:bottom w:val="single" w:sz="2" w:space="0" w:color="auto"/>
              <w:right w:val="single" w:sz="2" w:space="0" w:color="auto"/>
            </w:tcBorders>
            <w:vAlign w:val="center"/>
          </w:tcPr>
          <w:p w14:paraId="1EBDA0D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、公开发行可转换公司债券</w:t>
            </w:r>
          </w:p>
          <w:p w14:paraId="6BD08F3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）暂时补充流动资金</w:t>
            </w:r>
            <w:r w:rsidRPr="005A284F">
              <w:rPr>
                <w:rFonts w:ascii="Times New Roman" w:eastAsia="宋体" w:hAnsi="Times New Roman" w:cs="Times New Roman"/>
                <w:sz w:val="18"/>
                <w:szCs w:val="18"/>
              </w:rPr>
              <w:t>37,980.00</w:t>
            </w:r>
            <w:r w:rsidRPr="005A284F">
              <w:rPr>
                <w:rFonts w:ascii="Times New Roman" w:eastAsia="宋体" w:hAnsi="Times New Roman" w:cs="Times New Roman"/>
                <w:sz w:val="18"/>
                <w:szCs w:val="18"/>
              </w:rPr>
              <w:t>万元；</w:t>
            </w:r>
          </w:p>
          <w:p w14:paraId="3B13A19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）其余未使用的募集资金人民币</w:t>
            </w:r>
            <w:r w:rsidRPr="005A284F">
              <w:rPr>
                <w:rFonts w:ascii="Times New Roman" w:eastAsia="宋体" w:hAnsi="Times New Roman" w:cs="Times New Roman"/>
                <w:sz w:val="18"/>
                <w:szCs w:val="18"/>
              </w:rPr>
              <w:t>45.41</w:t>
            </w:r>
            <w:r w:rsidRPr="005A284F">
              <w:rPr>
                <w:rFonts w:ascii="Times New Roman" w:eastAsia="宋体" w:hAnsi="Times New Roman" w:cs="Times New Roman"/>
                <w:sz w:val="18"/>
                <w:szCs w:val="18"/>
              </w:rPr>
              <w:t>万元存放于募集资金专用账户。</w:t>
            </w:r>
          </w:p>
          <w:p w14:paraId="7B2A67D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、非公开发行股票</w:t>
            </w:r>
          </w:p>
          <w:p w14:paraId="24DE31A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）暂时补充流动资金</w:t>
            </w:r>
            <w:r w:rsidRPr="005A284F">
              <w:rPr>
                <w:rFonts w:ascii="Times New Roman" w:eastAsia="宋体" w:hAnsi="Times New Roman" w:cs="Times New Roman"/>
                <w:sz w:val="18"/>
                <w:szCs w:val="18"/>
              </w:rPr>
              <w:t>7,286.80</w:t>
            </w:r>
            <w:r w:rsidRPr="005A284F">
              <w:rPr>
                <w:rFonts w:ascii="Times New Roman" w:eastAsia="宋体" w:hAnsi="Times New Roman" w:cs="Times New Roman"/>
                <w:sz w:val="18"/>
                <w:szCs w:val="18"/>
              </w:rPr>
              <w:t>万元；</w:t>
            </w:r>
          </w:p>
          <w:p w14:paraId="7B2343B4" w14:textId="7EE86A22"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）其余未使用的募集资金人民币</w:t>
            </w:r>
            <w:r w:rsidRPr="005A284F">
              <w:rPr>
                <w:rFonts w:ascii="Times New Roman" w:eastAsia="宋体" w:hAnsi="Times New Roman" w:cs="Times New Roman"/>
                <w:sz w:val="18"/>
                <w:szCs w:val="18"/>
              </w:rPr>
              <w:t>182.32</w:t>
            </w:r>
            <w:r w:rsidRPr="005A284F">
              <w:rPr>
                <w:rFonts w:ascii="Times New Roman" w:eastAsia="宋体" w:hAnsi="Times New Roman" w:cs="Times New Roman"/>
                <w:sz w:val="18"/>
                <w:szCs w:val="18"/>
              </w:rPr>
              <w:t>万元存放于募集资金专用账户</w:t>
            </w:r>
            <w:r w:rsidR="00942F08">
              <w:rPr>
                <w:rFonts w:ascii="Times New Roman" w:eastAsia="宋体" w:hAnsi="Times New Roman" w:cs="Times New Roman" w:hint="eastAsia"/>
                <w:sz w:val="18"/>
                <w:szCs w:val="18"/>
              </w:rPr>
              <w:t>。</w:t>
            </w:r>
          </w:p>
        </w:tc>
      </w:tr>
      <w:tr w:rsidR="006C011D" w:rsidRPr="005A284F" w14:paraId="71ED3296" w14:textId="77777777" w:rsidTr="00253F00">
        <w:trPr>
          <w:trHeight w:val="240"/>
        </w:trPr>
        <w:tc>
          <w:tcPr>
            <w:tcW w:w="156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D8EB47B"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募集资金使用及披</w:t>
            </w:r>
            <w:r w:rsidRPr="005A284F">
              <w:rPr>
                <w:rFonts w:ascii="Times New Roman" w:eastAsia="宋体" w:hAnsi="Times New Roman" w:cs="Times New Roman"/>
                <w:sz w:val="18"/>
                <w:szCs w:val="18"/>
              </w:rPr>
              <w:lastRenderedPageBreak/>
              <w:t>露中存在的问题或其他情况</w:t>
            </w:r>
          </w:p>
        </w:tc>
        <w:tc>
          <w:tcPr>
            <w:tcW w:w="9213" w:type="dxa"/>
            <w:gridSpan w:val="13"/>
            <w:tcBorders>
              <w:top w:val="single" w:sz="2" w:space="0" w:color="auto"/>
              <w:left w:val="single" w:sz="2" w:space="0" w:color="auto"/>
              <w:bottom w:val="single" w:sz="2" w:space="0" w:color="auto"/>
              <w:right w:val="single" w:sz="2" w:space="0" w:color="auto"/>
            </w:tcBorders>
            <w:vAlign w:val="center"/>
          </w:tcPr>
          <w:p w14:paraId="06AE9094" w14:textId="12F0BE20" w:rsidR="006C011D" w:rsidRPr="005A284F" w:rsidRDefault="001F561C">
            <w:pPr>
              <w:spacing w:after="0"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lastRenderedPageBreak/>
              <w:t>无</w:t>
            </w:r>
          </w:p>
        </w:tc>
      </w:tr>
    </w:tbl>
    <w:p w14:paraId="33BAA6DE" w14:textId="77777777" w:rsidR="006C011D" w:rsidRPr="005A284F" w:rsidRDefault="00000000">
      <w:pPr>
        <w:keepNext/>
        <w:keepLines/>
        <w:spacing w:before="300" w:after="300" w:line="280" w:lineRule="exact"/>
        <w:outlineLvl w:val="3"/>
        <w:rPr>
          <w:rFonts w:ascii="Times New Roman" w:eastAsia="宋体" w:hAnsi="Times New Roman" w:cs="Times New Roman"/>
          <w:b/>
          <w:bCs/>
          <w:sz w:val="18"/>
          <w:szCs w:val="18"/>
        </w:rPr>
      </w:pPr>
      <w:bookmarkStart w:id="33" w:name="_Toc988922"/>
      <w:r w:rsidRPr="005A284F">
        <w:rPr>
          <w:rFonts w:ascii="Times New Roman" w:eastAsia="宋体" w:hAnsi="Times New Roman" w:cs="Times New Roman"/>
          <w:b/>
          <w:bCs/>
          <w:sz w:val="18"/>
          <w:szCs w:val="18"/>
        </w:rPr>
        <w:t>（</w:t>
      </w:r>
      <w:r w:rsidRPr="005A284F">
        <w:rPr>
          <w:rFonts w:ascii="Times New Roman" w:eastAsia="宋体" w:hAnsi="Times New Roman" w:cs="Times New Roman"/>
          <w:b/>
          <w:bCs/>
          <w:sz w:val="18"/>
          <w:szCs w:val="18"/>
        </w:rPr>
        <w:t>3</w:t>
      </w:r>
      <w:r w:rsidRPr="005A284F">
        <w:rPr>
          <w:rFonts w:ascii="Times New Roman" w:eastAsia="宋体" w:hAnsi="Times New Roman" w:cs="Times New Roman"/>
          <w:b/>
          <w:bCs/>
          <w:sz w:val="18"/>
          <w:szCs w:val="18"/>
        </w:rPr>
        <w:t>）</w:t>
      </w:r>
      <w:r w:rsidRPr="005A284F">
        <w:rPr>
          <w:rFonts w:ascii="Times New Roman" w:eastAsia="宋体" w:hAnsi="Times New Roman" w:cs="Times New Roman"/>
          <w:b/>
          <w:bCs/>
          <w:sz w:val="18"/>
          <w:szCs w:val="18"/>
        </w:rPr>
        <w:t xml:space="preserve"> </w:t>
      </w:r>
      <w:r w:rsidRPr="005A284F">
        <w:rPr>
          <w:rFonts w:ascii="Times New Roman" w:eastAsia="宋体" w:hAnsi="Times New Roman" w:cs="Times New Roman"/>
          <w:b/>
          <w:bCs/>
          <w:sz w:val="18"/>
          <w:szCs w:val="18"/>
        </w:rPr>
        <w:t>募集资金变更项目情况</w:t>
      </w:r>
      <w:bookmarkEnd w:id="33"/>
    </w:p>
    <w:p w14:paraId="1AA06E97" w14:textId="77777777" w:rsidR="006C011D" w:rsidRPr="00253F00" w:rsidRDefault="00000000">
      <w:pPr>
        <w:spacing w:before="40" w:after="40" w:line="240" w:lineRule="exact"/>
        <w:rPr>
          <w:rFonts w:ascii="宋体" w:eastAsia="宋体" w:hAnsi="宋体" w:cs="Times New Roman" w:hint="eastAsia"/>
          <w:sz w:val="18"/>
          <w:szCs w:val="18"/>
        </w:rPr>
      </w:pPr>
      <w:r w:rsidRPr="00253F00">
        <w:rPr>
          <w:rFonts w:ascii="宋体" w:eastAsia="宋体" w:hAnsi="宋体" w:cs="Times New Roman"/>
          <w:sz w:val="18"/>
          <w:szCs w:val="18"/>
        </w:rPr>
        <w:t xml:space="preserve">□适用 </w:t>
      </w:r>
      <w:r w:rsidRPr="00253F00">
        <w:rPr>
          <w:rFonts w:ascii="宋体" w:eastAsia="宋体" w:hAnsi="宋体" w:cs="Times New Roman"/>
          <w:sz w:val="18"/>
          <w:szCs w:val="18"/>
        </w:rPr>
        <w:sym w:font="Wingdings 2" w:char="F052"/>
      </w:r>
      <w:r w:rsidRPr="00253F00">
        <w:rPr>
          <w:rFonts w:ascii="宋体" w:eastAsia="宋体" w:hAnsi="宋体" w:cs="Times New Roman"/>
          <w:sz w:val="18"/>
          <w:szCs w:val="18"/>
        </w:rPr>
        <w:t>不适用</w:t>
      </w:r>
    </w:p>
    <w:p w14:paraId="17BF4577"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公司报告期不存在募集资金变更项目情况。</w:t>
      </w:r>
    </w:p>
    <w:p w14:paraId="1FD898F6"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34" w:name="_Toc988923"/>
      <w:r w:rsidRPr="005A284F">
        <w:rPr>
          <w:rFonts w:ascii="Times New Roman" w:eastAsia="宋体" w:hAnsi="Times New Roman" w:cs="Times New Roman"/>
          <w:b/>
          <w:bCs/>
          <w:sz w:val="24"/>
          <w:szCs w:val="24"/>
        </w:rPr>
        <w:t>七、重大资产和股权出售</w:t>
      </w:r>
      <w:bookmarkEnd w:id="34"/>
    </w:p>
    <w:p w14:paraId="5370C7B8" w14:textId="77777777" w:rsidR="006C011D" w:rsidRPr="005A284F" w:rsidRDefault="00000000">
      <w:pPr>
        <w:pStyle w:val="3"/>
        <w:spacing w:line="280" w:lineRule="exact"/>
        <w:jc w:val="left"/>
        <w:rPr>
          <w:rFonts w:ascii="Times New Roman" w:hAnsi="Times New Roman" w:cs="Times New Roman"/>
          <w:b/>
          <w:bCs/>
        </w:rPr>
      </w:pPr>
      <w:bookmarkStart w:id="35" w:name="_Toc988924"/>
      <w:r w:rsidRPr="005A284F">
        <w:rPr>
          <w:rFonts w:ascii="Times New Roman" w:hAnsi="Times New Roman" w:cs="Times New Roman"/>
          <w:b/>
          <w:bCs/>
        </w:rPr>
        <w:t>1</w:t>
      </w:r>
      <w:r w:rsidRPr="005A284F">
        <w:rPr>
          <w:rFonts w:ascii="Times New Roman" w:hAnsi="Times New Roman" w:cs="Times New Roman"/>
          <w:b/>
          <w:bCs/>
        </w:rPr>
        <w:t>、出售重大资产情况</w:t>
      </w:r>
      <w:bookmarkEnd w:id="35"/>
    </w:p>
    <w:p w14:paraId="28AABA15" w14:textId="77777777" w:rsidR="006C011D" w:rsidRPr="00253F00" w:rsidRDefault="00000000">
      <w:pPr>
        <w:spacing w:before="40" w:after="40" w:line="240" w:lineRule="exact"/>
        <w:rPr>
          <w:rFonts w:ascii="宋体" w:eastAsia="宋体" w:hAnsi="宋体" w:cs="Times New Roman" w:hint="eastAsia"/>
          <w:sz w:val="18"/>
          <w:szCs w:val="18"/>
        </w:rPr>
      </w:pPr>
      <w:r w:rsidRPr="00253F00">
        <w:rPr>
          <w:rFonts w:ascii="宋体" w:eastAsia="宋体" w:hAnsi="宋体" w:cs="Times New Roman"/>
          <w:sz w:val="18"/>
          <w:szCs w:val="18"/>
        </w:rPr>
        <w:t xml:space="preserve">□适用 </w:t>
      </w:r>
      <w:r w:rsidRPr="00253F00">
        <w:rPr>
          <w:rFonts w:ascii="宋体" w:eastAsia="宋体" w:hAnsi="宋体" w:cs="Times New Roman"/>
          <w:sz w:val="18"/>
          <w:szCs w:val="18"/>
        </w:rPr>
        <w:sym w:font="Wingdings 2" w:char="F052"/>
      </w:r>
      <w:r w:rsidRPr="00253F00">
        <w:rPr>
          <w:rFonts w:ascii="宋体" w:eastAsia="宋体" w:hAnsi="宋体" w:cs="Times New Roman"/>
          <w:sz w:val="18"/>
          <w:szCs w:val="18"/>
        </w:rPr>
        <w:t>不适用</w:t>
      </w:r>
    </w:p>
    <w:p w14:paraId="38B1821C"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公司报告期未出售重大资产。</w:t>
      </w:r>
    </w:p>
    <w:p w14:paraId="0CD934C8" w14:textId="77777777" w:rsidR="006C011D" w:rsidRPr="005A284F" w:rsidRDefault="00000000">
      <w:pPr>
        <w:pStyle w:val="3"/>
        <w:spacing w:line="280" w:lineRule="exact"/>
        <w:jc w:val="left"/>
        <w:rPr>
          <w:rFonts w:ascii="Times New Roman" w:hAnsi="Times New Roman" w:cs="Times New Roman"/>
          <w:b/>
          <w:bCs/>
        </w:rPr>
      </w:pPr>
      <w:bookmarkStart w:id="36" w:name="_Toc988925"/>
      <w:r w:rsidRPr="005A284F">
        <w:rPr>
          <w:rFonts w:ascii="Times New Roman" w:hAnsi="Times New Roman" w:cs="Times New Roman"/>
          <w:b/>
          <w:bCs/>
        </w:rPr>
        <w:t>2</w:t>
      </w:r>
      <w:r w:rsidRPr="005A284F">
        <w:rPr>
          <w:rFonts w:ascii="Times New Roman" w:hAnsi="Times New Roman" w:cs="Times New Roman"/>
          <w:b/>
          <w:bCs/>
        </w:rPr>
        <w:t>、出售重大股权情况</w:t>
      </w:r>
      <w:bookmarkEnd w:id="36"/>
    </w:p>
    <w:p w14:paraId="03CA9083" w14:textId="77777777" w:rsidR="006C011D" w:rsidRPr="00253F00" w:rsidRDefault="00000000">
      <w:pPr>
        <w:spacing w:before="40" w:after="40" w:line="240" w:lineRule="exact"/>
        <w:rPr>
          <w:rFonts w:ascii="宋体" w:eastAsia="宋体" w:hAnsi="宋体" w:cs="Times New Roman" w:hint="eastAsia"/>
          <w:sz w:val="18"/>
          <w:szCs w:val="18"/>
        </w:rPr>
      </w:pPr>
      <w:r w:rsidRPr="00253F00">
        <w:rPr>
          <w:rFonts w:ascii="宋体" w:eastAsia="宋体" w:hAnsi="宋体" w:cs="Times New Roman"/>
          <w:sz w:val="18"/>
          <w:szCs w:val="18"/>
        </w:rPr>
        <w:t xml:space="preserve">□适用 </w:t>
      </w:r>
      <w:r w:rsidRPr="00253F00">
        <w:rPr>
          <w:rFonts w:ascii="宋体" w:eastAsia="宋体" w:hAnsi="宋体" w:cs="Times New Roman"/>
          <w:sz w:val="18"/>
          <w:szCs w:val="18"/>
        </w:rPr>
        <w:sym w:font="Wingdings 2" w:char="F052"/>
      </w:r>
      <w:r w:rsidRPr="00253F00">
        <w:rPr>
          <w:rFonts w:ascii="宋体" w:eastAsia="宋体" w:hAnsi="宋体" w:cs="Times New Roman"/>
          <w:sz w:val="18"/>
          <w:szCs w:val="18"/>
        </w:rPr>
        <w:t>不适用</w:t>
      </w:r>
    </w:p>
    <w:p w14:paraId="0D169961"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37" w:name="_Toc988926"/>
      <w:r w:rsidRPr="005A284F">
        <w:rPr>
          <w:rFonts w:ascii="Times New Roman" w:eastAsia="宋体" w:hAnsi="Times New Roman" w:cs="Times New Roman"/>
          <w:b/>
          <w:bCs/>
          <w:sz w:val="24"/>
          <w:szCs w:val="24"/>
        </w:rPr>
        <w:t>八、主要控股参股公司分析</w:t>
      </w:r>
      <w:bookmarkEnd w:id="37"/>
    </w:p>
    <w:p w14:paraId="3706E306" w14:textId="77777777" w:rsidR="006C011D" w:rsidRPr="00253F00" w:rsidRDefault="00000000">
      <w:pPr>
        <w:spacing w:before="40" w:after="40" w:line="240" w:lineRule="exact"/>
        <w:rPr>
          <w:rFonts w:ascii="宋体" w:eastAsia="宋体" w:hAnsi="宋体" w:cs="Times New Roman" w:hint="eastAsia"/>
          <w:sz w:val="18"/>
          <w:szCs w:val="18"/>
        </w:rPr>
      </w:pPr>
      <w:r w:rsidRPr="00253F00">
        <w:rPr>
          <w:rFonts w:ascii="宋体" w:eastAsia="宋体" w:hAnsi="宋体" w:cs="Times New Roman"/>
          <w:sz w:val="18"/>
          <w:szCs w:val="18"/>
        </w:rPr>
        <w:sym w:font="Wingdings 2" w:char="F052"/>
      </w:r>
      <w:r w:rsidRPr="00253F00">
        <w:rPr>
          <w:rFonts w:ascii="宋体" w:eastAsia="宋体" w:hAnsi="宋体" w:cs="Times New Roman"/>
          <w:sz w:val="18"/>
          <w:szCs w:val="18"/>
        </w:rPr>
        <w:t>适用 □不适用</w:t>
      </w:r>
    </w:p>
    <w:p w14:paraId="1E402D48"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主要子公司及对公司净利润影响达</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以上的参股公司情况</w:t>
      </w:r>
    </w:p>
    <w:p w14:paraId="1F15DD4E" w14:textId="77777777" w:rsidR="006C011D" w:rsidRPr="005A284F" w:rsidRDefault="00000000">
      <w:pPr>
        <w:spacing w:before="120" w:after="12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单位：万元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71"/>
        <w:gridCol w:w="1071"/>
        <w:gridCol w:w="1071"/>
        <w:gridCol w:w="1071"/>
        <w:gridCol w:w="1071"/>
        <w:gridCol w:w="1071"/>
        <w:gridCol w:w="1071"/>
        <w:gridCol w:w="1071"/>
        <w:gridCol w:w="1071"/>
      </w:tblGrid>
      <w:tr w:rsidR="006C011D" w:rsidRPr="005A284F" w14:paraId="29A06C06"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4D7AB0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公司名称</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0C87C5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公司类型</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656DED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主要业务</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DAE96C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注册资本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DDBEF2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总资产</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972A81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净资产</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EA6B2E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C290A4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营业利润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D7C038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净利润</w:t>
            </w:r>
          </w:p>
        </w:tc>
      </w:tr>
      <w:tr w:rsidR="006C011D" w:rsidRPr="005A284F" w14:paraId="28DE6DCA"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0A5CE01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龙大牧原</w:t>
            </w:r>
          </w:p>
        </w:tc>
        <w:tc>
          <w:tcPr>
            <w:tcW w:w="1071" w:type="dxa"/>
            <w:tcBorders>
              <w:top w:val="single" w:sz="2" w:space="0" w:color="auto"/>
              <w:left w:val="single" w:sz="2" w:space="0" w:color="auto"/>
              <w:bottom w:val="single" w:sz="2" w:space="0" w:color="auto"/>
              <w:right w:val="single" w:sz="2" w:space="0" w:color="auto"/>
            </w:tcBorders>
            <w:vAlign w:val="center"/>
          </w:tcPr>
          <w:p w14:paraId="280CEDB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子公司</w:t>
            </w:r>
          </w:p>
        </w:tc>
        <w:tc>
          <w:tcPr>
            <w:tcW w:w="1071" w:type="dxa"/>
            <w:tcBorders>
              <w:top w:val="single" w:sz="2" w:space="0" w:color="auto"/>
              <w:left w:val="single" w:sz="2" w:space="0" w:color="auto"/>
              <w:bottom w:val="single" w:sz="2" w:space="0" w:color="auto"/>
              <w:right w:val="single" w:sz="2" w:space="0" w:color="auto"/>
            </w:tcBorders>
            <w:vAlign w:val="center"/>
          </w:tcPr>
          <w:p w14:paraId="1308D49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生猪屠宰</w:t>
            </w:r>
          </w:p>
        </w:tc>
        <w:tc>
          <w:tcPr>
            <w:tcW w:w="1071" w:type="dxa"/>
            <w:tcBorders>
              <w:top w:val="single" w:sz="2" w:space="0" w:color="auto"/>
              <w:left w:val="single" w:sz="2" w:space="0" w:color="auto"/>
              <w:bottom w:val="single" w:sz="2" w:space="0" w:color="auto"/>
              <w:right w:val="single" w:sz="2" w:space="0" w:color="auto"/>
            </w:tcBorders>
            <w:vAlign w:val="center"/>
          </w:tcPr>
          <w:p w14:paraId="54D0341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15,000.00</w:t>
            </w:r>
          </w:p>
        </w:tc>
        <w:tc>
          <w:tcPr>
            <w:tcW w:w="1071" w:type="dxa"/>
            <w:tcBorders>
              <w:top w:val="single" w:sz="2" w:space="0" w:color="auto"/>
              <w:left w:val="single" w:sz="2" w:space="0" w:color="auto"/>
              <w:bottom w:val="single" w:sz="2" w:space="0" w:color="auto"/>
              <w:right w:val="single" w:sz="2" w:space="0" w:color="auto"/>
            </w:tcBorders>
            <w:vAlign w:val="center"/>
          </w:tcPr>
          <w:p w14:paraId="526A452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62,538.93</w:t>
            </w:r>
          </w:p>
        </w:tc>
        <w:tc>
          <w:tcPr>
            <w:tcW w:w="1071" w:type="dxa"/>
            <w:tcBorders>
              <w:top w:val="single" w:sz="2" w:space="0" w:color="auto"/>
              <w:left w:val="single" w:sz="2" w:space="0" w:color="auto"/>
              <w:bottom w:val="single" w:sz="2" w:space="0" w:color="auto"/>
              <w:right w:val="single" w:sz="2" w:space="0" w:color="auto"/>
            </w:tcBorders>
            <w:vAlign w:val="center"/>
          </w:tcPr>
          <w:p w14:paraId="51EB758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31,198.48</w:t>
            </w:r>
          </w:p>
        </w:tc>
        <w:tc>
          <w:tcPr>
            <w:tcW w:w="1071" w:type="dxa"/>
            <w:tcBorders>
              <w:top w:val="single" w:sz="2" w:space="0" w:color="auto"/>
              <w:left w:val="single" w:sz="2" w:space="0" w:color="auto"/>
              <w:bottom w:val="single" w:sz="2" w:space="0" w:color="auto"/>
              <w:right w:val="single" w:sz="2" w:space="0" w:color="auto"/>
            </w:tcBorders>
            <w:vAlign w:val="center"/>
          </w:tcPr>
          <w:p w14:paraId="5108BB1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111,748.85</w:t>
            </w:r>
          </w:p>
        </w:tc>
        <w:tc>
          <w:tcPr>
            <w:tcW w:w="1071" w:type="dxa"/>
            <w:tcBorders>
              <w:top w:val="single" w:sz="2" w:space="0" w:color="auto"/>
              <w:left w:val="single" w:sz="2" w:space="0" w:color="auto"/>
              <w:bottom w:val="single" w:sz="2" w:space="0" w:color="auto"/>
              <w:right w:val="single" w:sz="2" w:space="0" w:color="auto"/>
            </w:tcBorders>
            <w:vAlign w:val="center"/>
          </w:tcPr>
          <w:p w14:paraId="56FF707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484.46</w:t>
            </w:r>
          </w:p>
        </w:tc>
        <w:tc>
          <w:tcPr>
            <w:tcW w:w="1071" w:type="dxa"/>
            <w:tcBorders>
              <w:top w:val="single" w:sz="2" w:space="0" w:color="auto"/>
              <w:left w:val="single" w:sz="2" w:space="0" w:color="auto"/>
              <w:bottom w:val="single" w:sz="2" w:space="0" w:color="auto"/>
              <w:right w:val="single" w:sz="2" w:space="0" w:color="auto"/>
            </w:tcBorders>
            <w:vAlign w:val="center"/>
          </w:tcPr>
          <w:p w14:paraId="208BA8F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484.49</w:t>
            </w:r>
          </w:p>
        </w:tc>
      </w:tr>
      <w:tr w:rsidR="006C011D" w:rsidRPr="005A284F" w14:paraId="1CFE39A7"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7826B89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潍坊振祥</w:t>
            </w:r>
          </w:p>
        </w:tc>
        <w:tc>
          <w:tcPr>
            <w:tcW w:w="1071" w:type="dxa"/>
            <w:tcBorders>
              <w:top w:val="single" w:sz="2" w:space="0" w:color="auto"/>
              <w:left w:val="single" w:sz="2" w:space="0" w:color="auto"/>
              <w:bottom w:val="single" w:sz="2" w:space="0" w:color="auto"/>
              <w:right w:val="single" w:sz="2" w:space="0" w:color="auto"/>
            </w:tcBorders>
            <w:vAlign w:val="center"/>
          </w:tcPr>
          <w:p w14:paraId="008493B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子公司</w:t>
            </w:r>
          </w:p>
        </w:tc>
        <w:tc>
          <w:tcPr>
            <w:tcW w:w="1071" w:type="dxa"/>
            <w:tcBorders>
              <w:top w:val="single" w:sz="2" w:space="0" w:color="auto"/>
              <w:left w:val="single" w:sz="2" w:space="0" w:color="auto"/>
              <w:bottom w:val="single" w:sz="2" w:space="0" w:color="auto"/>
              <w:right w:val="single" w:sz="2" w:space="0" w:color="auto"/>
            </w:tcBorders>
            <w:vAlign w:val="center"/>
          </w:tcPr>
          <w:p w14:paraId="7924582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生猪屠宰</w:t>
            </w:r>
          </w:p>
        </w:tc>
        <w:tc>
          <w:tcPr>
            <w:tcW w:w="1071" w:type="dxa"/>
            <w:tcBorders>
              <w:top w:val="single" w:sz="2" w:space="0" w:color="auto"/>
              <w:left w:val="single" w:sz="2" w:space="0" w:color="auto"/>
              <w:bottom w:val="single" w:sz="2" w:space="0" w:color="auto"/>
              <w:right w:val="single" w:sz="2" w:space="0" w:color="auto"/>
            </w:tcBorders>
            <w:vAlign w:val="center"/>
          </w:tcPr>
          <w:p w14:paraId="0256CD9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7,000.00</w:t>
            </w:r>
          </w:p>
        </w:tc>
        <w:tc>
          <w:tcPr>
            <w:tcW w:w="1071" w:type="dxa"/>
            <w:tcBorders>
              <w:top w:val="single" w:sz="2" w:space="0" w:color="auto"/>
              <w:left w:val="single" w:sz="2" w:space="0" w:color="auto"/>
              <w:bottom w:val="single" w:sz="2" w:space="0" w:color="auto"/>
              <w:right w:val="single" w:sz="2" w:space="0" w:color="auto"/>
            </w:tcBorders>
            <w:vAlign w:val="center"/>
          </w:tcPr>
          <w:p w14:paraId="571A4E8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60,351.84</w:t>
            </w:r>
          </w:p>
        </w:tc>
        <w:tc>
          <w:tcPr>
            <w:tcW w:w="1071" w:type="dxa"/>
            <w:tcBorders>
              <w:top w:val="single" w:sz="2" w:space="0" w:color="auto"/>
              <w:left w:val="single" w:sz="2" w:space="0" w:color="auto"/>
              <w:bottom w:val="single" w:sz="2" w:space="0" w:color="auto"/>
              <w:right w:val="single" w:sz="2" w:space="0" w:color="auto"/>
            </w:tcBorders>
            <w:vAlign w:val="center"/>
          </w:tcPr>
          <w:p w14:paraId="2742A89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5,345.04</w:t>
            </w:r>
          </w:p>
        </w:tc>
        <w:tc>
          <w:tcPr>
            <w:tcW w:w="1071" w:type="dxa"/>
            <w:tcBorders>
              <w:top w:val="single" w:sz="2" w:space="0" w:color="auto"/>
              <w:left w:val="single" w:sz="2" w:space="0" w:color="auto"/>
              <w:bottom w:val="single" w:sz="2" w:space="0" w:color="auto"/>
              <w:right w:val="single" w:sz="2" w:space="0" w:color="auto"/>
            </w:tcBorders>
            <w:vAlign w:val="center"/>
          </w:tcPr>
          <w:p w14:paraId="434AB81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85,935.41</w:t>
            </w:r>
          </w:p>
        </w:tc>
        <w:tc>
          <w:tcPr>
            <w:tcW w:w="1071" w:type="dxa"/>
            <w:tcBorders>
              <w:top w:val="single" w:sz="2" w:space="0" w:color="auto"/>
              <w:left w:val="single" w:sz="2" w:space="0" w:color="auto"/>
              <w:bottom w:val="single" w:sz="2" w:space="0" w:color="auto"/>
              <w:right w:val="single" w:sz="2" w:space="0" w:color="auto"/>
            </w:tcBorders>
            <w:vAlign w:val="center"/>
          </w:tcPr>
          <w:p w14:paraId="24863C2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-4,700.44</w:t>
            </w:r>
          </w:p>
        </w:tc>
        <w:tc>
          <w:tcPr>
            <w:tcW w:w="1071" w:type="dxa"/>
            <w:tcBorders>
              <w:top w:val="single" w:sz="2" w:space="0" w:color="auto"/>
              <w:left w:val="single" w:sz="2" w:space="0" w:color="auto"/>
              <w:bottom w:val="single" w:sz="2" w:space="0" w:color="auto"/>
              <w:right w:val="single" w:sz="2" w:space="0" w:color="auto"/>
            </w:tcBorders>
            <w:vAlign w:val="center"/>
          </w:tcPr>
          <w:p w14:paraId="4CBD80A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-4,703.50</w:t>
            </w:r>
          </w:p>
        </w:tc>
      </w:tr>
    </w:tbl>
    <w:p w14:paraId="5FF6761C"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报告期内取得和处置子公司的情况</w:t>
      </w:r>
    </w:p>
    <w:p w14:paraId="0D1E0417" w14:textId="77777777" w:rsidR="006C011D" w:rsidRPr="00253F00" w:rsidRDefault="00000000">
      <w:pPr>
        <w:spacing w:before="40" w:after="40" w:line="240" w:lineRule="exact"/>
        <w:rPr>
          <w:rFonts w:ascii="宋体" w:eastAsia="宋体" w:hAnsi="宋体" w:cs="Times New Roman" w:hint="eastAsia"/>
          <w:sz w:val="18"/>
          <w:szCs w:val="18"/>
        </w:rPr>
      </w:pPr>
      <w:r w:rsidRPr="00253F00">
        <w:rPr>
          <w:rFonts w:ascii="宋体" w:eastAsia="宋体" w:hAnsi="宋体" w:cs="Times New Roman"/>
          <w:sz w:val="18"/>
          <w:szCs w:val="18"/>
        </w:rPr>
        <w:sym w:font="Wingdings 2" w:char="F052"/>
      </w:r>
      <w:r w:rsidRPr="00253F00">
        <w:rPr>
          <w:rFonts w:ascii="宋体" w:eastAsia="宋体" w:hAnsi="宋体" w:cs="Times New Roman"/>
          <w:sz w:val="18"/>
          <w:szCs w:val="18"/>
        </w:rPr>
        <w:t>适用 □不适用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6B6C548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8F99C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公司名称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0A722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报告期内取得和处置子公司方式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CB2C3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对整体生产经营和业绩的影响</w:t>
            </w:r>
          </w:p>
        </w:tc>
      </w:tr>
      <w:tr w:rsidR="006C011D" w:rsidRPr="005A284F" w14:paraId="3333940D"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5F4C14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巴中龙大美食食品有限公司</w:t>
            </w:r>
          </w:p>
        </w:tc>
        <w:tc>
          <w:tcPr>
            <w:tcW w:w="3213" w:type="dxa"/>
            <w:tcBorders>
              <w:top w:val="single" w:sz="2" w:space="0" w:color="auto"/>
              <w:left w:val="single" w:sz="2" w:space="0" w:color="auto"/>
              <w:bottom w:val="single" w:sz="2" w:space="0" w:color="auto"/>
              <w:right w:val="single" w:sz="2" w:space="0" w:color="auto"/>
            </w:tcBorders>
            <w:vAlign w:val="center"/>
          </w:tcPr>
          <w:p w14:paraId="09A8683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新设</w:t>
            </w:r>
          </w:p>
        </w:tc>
        <w:tc>
          <w:tcPr>
            <w:tcW w:w="3213" w:type="dxa"/>
            <w:tcBorders>
              <w:top w:val="single" w:sz="2" w:space="0" w:color="auto"/>
              <w:left w:val="single" w:sz="2" w:space="0" w:color="auto"/>
              <w:bottom w:val="single" w:sz="2" w:space="0" w:color="auto"/>
              <w:right w:val="single" w:sz="2" w:space="0" w:color="auto"/>
            </w:tcBorders>
            <w:vAlign w:val="center"/>
          </w:tcPr>
          <w:p w14:paraId="1CB3A7A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于</w:t>
            </w: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21</w:t>
            </w:r>
            <w:r w:rsidRPr="005A284F">
              <w:rPr>
                <w:rFonts w:ascii="Times New Roman" w:eastAsia="宋体" w:hAnsi="Times New Roman" w:cs="Times New Roman"/>
                <w:sz w:val="18"/>
                <w:szCs w:val="18"/>
              </w:rPr>
              <w:t>日纳入合并范围</w:t>
            </w:r>
          </w:p>
        </w:tc>
      </w:tr>
      <w:tr w:rsidR="006C011D" w:rsidRPr="005A284F" w14:paraId="7F6A69E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CC37D2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四川龙炸餐饮管理有限公司</w:t>
            </w:r>
          </w:p>
        </w:tc>
        <w:tc>
          <w:tcPr>
            <w:tcW w:w="3213" w:type="dxa"/>
            <w:tcBorders>
              <w:top w:val="single" w:sz="2" w:space="0" w:color="auto"/>
              <w:left w:val="single" w:sz="2" w:space="0" w:color="auto"/>
              <w:bottom w:val="single" w:sz="2" w:space="0" w:color="auto"/>
              <w:right w:val="single" w:sz="2" w:space="0" w:color="auto"/>
            </w:tcBorders>
            <w:vAlign w:val="center"/>
          </w:tcPr>
          <w:p w14:paraId="52A5377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注销</w:t>
            </w:r>
          </w:p>
        </w:tc>
        <w:tc>
          <w:tcPr>
            <w:tcW w:w="3213" w:type="dxa"/>
            <w:tcBorders>
              <w:top w:val="single" w:sz="2" w:space="0" w:color="auto"/>
              <w:left w:val="single" w:sz="2" w:space="0" w:color="auto"/>
              <w:bottom w:val="single" w:sz="2" w:space="0" w:color="auto"/>
              <w:right w:val="single" w:sz="2" w:space="0" w:color="auto"/>
            </w:tcBorders>
            <w:vAlign w:val="center"/>
          </w:tcPr>
          <w:p w14:paraId="274E3C4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于</w:t>
            </w: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5</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23</w:t>
            </w:r>
            <w:r w:rsidRPr="005A284F">
              <w:rPr>
                <w:rFonts w:ascii="Times New Roman" w:eastAsia="宋体" w:hAnsi="Times New Roman" w:cs="Times New Roman"/>
                <w:sz w:val="18"/>
                <w:szCs w:val="18"/>
              </w:rPr>
              <w:t>日注销</w:t>
            </w:r>
          </w:p>
        </w:tc>
      </w:tr>
    </w:tbl>
    <w:p w14:paraId="306D5FB1"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主要控股参股公司情况说明</w:t>
      </w:r>
    </w:p>
    <w:p w14:paraId="6EFCD98C" w14:textId="77777777" w:rsidR="000309B5" w:rsidRPr="005A284F" w:rsidRDefault="00000000">
      <w:pPr>
        <w:pStyle w:val="a3"/>
        <w:divId w:val="1943565076"/>
        <w:rPr>
          <w:rFonts w:ascii="Times New Roman" w:hAnsi="Times New Roman" w:cs="Times New Roman"/>
          <w:sz w:val="18"/>
          <w:szCs w:val="18"/>
        </w:rPr>
      </w:pPr>
      <w:r w:rsidRPr="005A284F">
        <w:rPr>
          <w:rFonts w:ascii="Times New Roman" w:hAnsi="Times New Roman" w:cs="Times New Roman"/>
          <w:sz w:val="18"/>
          <w:szCs w:val="18"/>
        </w:rPr>
        <w:t>无</w:t>
      </w:r>
    </w:p>
    <w:p w14:paraId="7532BE4D"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38" w:name="_Toc988927"/>
      <w:r w:rsidRPr="005A284F">
        <w:rPr>
          <w:rFonts w:ascii="Times New Roman" w:eastAsia="宋体" w:hAnsi="Times New Roman" w:cs="Times New Roman"/>
          <w:b/>
          <w:bCs/>
          <w:sz w:val="24"/>
          <w:szCs w:val="24"/>
        </w:rPr>
        <w:t>九、公司控制的结构化主体情况</w:t>
      </w:r>
      <w:bookmarkEnd w:id="38"/>
    </w:p>
    <w:p w14:paraId="36BB8649" w14:textId="77777777" w:rsidR="006C011D" w:rsidRPr="00253F00" w:rsidRDefault="00000000">
      <w:pPr>
        <w:spacing w:before="40" w:after="40" w:line="240" w:lineRule="exact"/>
        <w:rPr>
          <w:rFonts w:ascii="宋体" w:eastAsia="宋体" w:hAnsi="宋体" w:cs="Times New Roman" w:hint="eastAsia"/>
          <w:sz w:val="18"/>
          <w:szCs w:val="18"/>
        </w:rPr>
      </w:pPr>
      <w:r w:rsidRPr="00253F00">
        <w:rPr>
          <w:rFonts w:ascii="宋体" w:eastAsia="宋体" w:hAnsi="宋体" w:cs="Times New Roman"/>
          <w:sz w:val="18"/>
          <w:szCs w:val="18"/>
        </w:rPr>
        <w:t xml:space="preserve">□适用 </w:t>
      </w:r>
      <w:r w:rsidRPr="00253F00">
        <w:rPr>
          <w:rFonts w:ascii="宋体" w:eastAsia="宋体" w:hAnsi="宋体" w:cs="Times New Roman"/>
          <w:sz w:val="18"/>
          <w:szCs w:val="18"/>
        </w:rPr>
        <w:sym w:font="Wingdings 2" w:char="F052"/>
      </w:r>
      <w:r w:rsidRPr="00253F00">
        <w:rPr>
          <w:rFonts w:ascii="宋体" w:eastAsia="宋体" w:hAnsi="宋体" w:cs="Times New Roman"/>
          <w:sz w:val="18"/>
          <w:szCs w:val="18"/>
        </w:rPr>
        <w:t>不适用</w:t>
      </w:r>
    </w:p>
    <w:p w14:paraId="531B712A"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39" w:name="_Toc988928"/>
      <w:r w:rsidRPr="005A284F">
        <w:rPr>
          <w:rFonts w:ascii="Times New Roman" w:eastAsia="宋体" w:hAnsi="Times New Roman" w:cs="Times New Roman"/>
          <w:b/>
          <w:bCs/>
          <w:sz w:val="24"/>
          <w:szCs w:val="24"/>
        </w:rPr>
        <w:t>十、公司面临的风险和应对措施</w:t>
      </w:r>
      <w:bookmarkEnd w:id="39"/>
    </w:p>
    <w:p w14:paraId="6CE0285E" w14:textId="20BBF23F" w:rsidR="00253F00" w:rsidRDefault="00253F00" w:rsidP="00253F00">
      <w:pPr>
        <w:pStyle w:val="a3"/>
        <w:spacing w:before="0" w:beforeAutospacing="0" w:after="0" w:afterAutospacing="0" w:line="276" w:lineRule="auto"/>
        <w:ind w:firstLineChars="200" w:firstLine="360"/>
        <w:divId w:val="99496640"/>
        <w:rPr>
          <w:rStyle w:val="a4"/>
          <w:rFonts w:ascii="Times New Roman" w:hAnsi="Times New Roman" w:cs="Times New Roman"/>
          <w:b w:val="0"/>
          <w:bCs w:val="0"/>
          <w:sz w:val="18"/>
          <w:szCs w:val="18"/>
        </w:rPr>
      </w:pPr>
      <w:r>
        <w:rPr>
          <w:rStyle w:val="a4"/>
          <w:rFonts w:ascii="Times New Roman" w:hAnsi="Times New Roman" w:cs="Times New Roman" w:hint="eastAsia"/>
          <w:b w:val="0"/>
          <w:bCs w:val="0"/>
          <w:sz w:val="18"/>
          <w:szCs w:val="18"/>
        </w:rPr>
        <w:t>（一）面临的风险</w:t>
      </w:r>
    </w:p>
    <w:p w14:paraId="5ED13F82" w14:textId="06044538" w:rsidR="000309B5" w:rsidRPr="00253F00" w:rsidRDefault="00000000" w:rsidP="00253F00">
      <w:pPr>
        <w:pStyle w:val="a3"/>
        <w:spacing w:before="0" w:beforeAutospacing="0" w:after="0" w:afterAutospacing="0" w:line="276" w:lineRule="auto"/>
        <w:ind w:firstLineChars="200" w:firstLine="360"/>
        <w:divId w:val="99496640"/>
        <w:rPr>
          <w:rFonts w:ascii="Times New Roman" w:hAnsi="Times New Roman" w:cs="Times New Roman"/>
        </w:rPr>
      </w:pPr>
      <w:r w:rsidRPr="00253F00">
        <w:rPr>
          <w:rStyle w:val="a4"/>
          <w:rFonts w:ascii="Times New Roman" w:hAnsi="Times New Roman" w:cs="Times New Roman"/>
          <w:b w:val="0"/>
          <w:bCs w:val="0"/>
          <w:sz w:val="18"/>
          <w:szCs w:val="18"/>
        </w:rPr>
        <w:t>1</w:t>
      </w:r>
      <w:r w:rsidRPr="00253F00">
        <w:rPr>
          <w:rStyle w:val="a4"/>
          <w:rFonts w:ascii="Times New Roman" w:hAnsi="Times New Roman" w:cs="Times New Roman"/>
          <w:b w:val="0"/>
          <w:bCs w:val="0"/>
          <w:sz w:val="18"/>
          <w:szCs w:val="18"/>
        </w:rPr>
        <w:t>、发生疫病的风险</w:t>
      </w:r>
    </w:p>
    <w:p w14:paraId="1C7E439B" w14:textId="77777777" w:rsidR="000309B5" w:rsidRPr="00253F00" w:rsidRDefault="00000000" w:rsidP="00253F00">
      <w:pPr>
        <w:pStyle w:val="a3"/>
        <w:spacing w:before="0" w:beforeAutospacing="0" w:after="0" w:afterAutospacing="0" w:line="276" w:lineRule="auto"/>
        <w:ind w:firstLineChars="200" w:firstLine="360"/>
        <w:jc w:val="both"/>
        <w:divId w:val="99496640"/>
        <w:rPr>
          <w:rFonts w:ascii="Times New Roman" w:hAnsi="Times New Roman" w:cs="Times New Roman"/>
        </w:rPr>
      </w:pPr>
      <w:r w:rsidRPr="00253F00">
        <w:rPr>
          <w:rFonts w:ascii="Times New Roman" w:hAnsi="Times New Roman" w:cs="Times New Roman"/>
          <w:sz w:val="18"/>
          <w:szCs w:val="18"/>
        </w:rPr>
        <w:lastRenderedPageBreak/>
        <w:t>公司业务为食品、屠宰、养殖等，主要原料为生猪，生猪存在动物疫病风险。</w:t>
      </w:r>
      <w:r w:rsidRPr="00253F00">
        <w:rPr>
          <w:rFonts w:ascii="Times New Roman" w:hAnsi="Times New Roman" w:cs="Times New Roman"/>
          <w:sz w:val="18"/>
          <w:szCs w:val="18"/>
        </w:rPr>
        <w:t>2018</w:t>
      </w:r>
      <w:r w:rsidRPr="00253F00">
        <w:rPr>
          <w:rFonts w:ascii="Times New Roman" w:hAnsi="Times New Roman" w:cs="Times New Roman"/>
          <w:sz w:val="18"/>
          <w:szCs w:val="18"/>
        </w:rPr>
        <w:t>年爆发的非洲猪瘟，由于高传染性和高致死率，对生猪养殖行业产生了重大的影响，对生猪养殖场的生物防护体系和管理措施提出了更高的要求。一旦发生非洲猪瘟，由于非洲猪瘟的高传染性和高致死率，将对公司生猪养殖业务产生很大的不利影响。</w:t>
      </w:r>
    </w:p>
    <w:p w14:paraId="32F461EF" w14:textId="77777777" w:rsidR="000309B5" w:rsidRPr="00253F00" w:rsidRDefault="00000000" w:rsidP="00253F00">
      <w:pPr>
        <w:pStyle w:val="a3"/>
        <w:spacing w:before="0" w:beforeAutospacing="0" w:after="0" w:afterAutospacing="0" w:line="276" w:lineRule="auto"/>
        <w:ind w:firstLineChars="200" w:firstLine="360"/>
        <w:divId w:val="99496640"/>
        <w:rPr>
          <w:rFonts w:ascii="Times New Roman" w:hAnsi="Times New Roman" w:cs="Times New Roman"/>
        </w:rPr>
      </w:pPr>
      <w:r w:rsidRPr="00253F00">
        <w:rPr>
          <w:rStyle w:val="a4"/>
          <w:rFonts w:ascii="Times New Roman" w:hAnsi="Times New Roman" w:cs="Times New Roman"/>
          <w:b w:val="0"/>
          <w:bCs w:val="0"/>
          <w:sz w:val="18"/>
          <w:szCs w:val="18"/>
        </w:rPr>
        <w:t>2</w:t>
      </w:r>
      <w:r w:rsidRPr="00253F00">
        <w:rPr>
          <w:rStyle w:val="a4"/>
          <w:rFonts w:ascii="Times New Roman" w:hAnsi="Times New Roman" w:cs="Times New Roman"/>
          <w:b w:val="0"/>
          <w:bCs w:val="0"/>
          <w:sz w:val="18"/>
          <w:szCs w:val="18"/>
        </w:rPr>
        <w:t>、食品安全风险</w:t>
      </w:r>
    </w:p>
    <w:p w14:paraId="645DD262" w14:textId="77777777" w:rsidR="000309B5" w:rsidRPr="00253F00" w:rsidRDefault="00000000" w:rsidP="00253F00">
      <w:pPr>
        <w:pStyle w:val="a3"/>
        <w:spacing w:before="0" w:beforeAutospacing="0" w:after="0" w:afterAutospacing="0" w:line="276" w:lineRule="auto"/>
        <w:ind w:firstLineChars="200" w:firstLine="360"/>
        <w:jc w:val="both"/>
        <w:divId w:val="99496640"/>
        <w:rPr>
          <w:rFonts w:ascii="Times New Roman" w:hAnsi="Times New Roman" w:cs="Times New Roman"/>
        </w:rPr>
      </w:pPr>
      <w:r w:rsidRPr="00253F00">
        <w:rPr>
          <w:rFonts w:ascii="Times New Roman" w:hAnsi="Times New Roman" w:cs="Times New Roman"/>
          <w:sz w:val="18"/>
          <w:szCs w:val="18"/>
        </w:rPr>
        <w:t>近年来，消费者对食品安全的要求与日俱增，食品安全问题也日益受到监管部门和社会舆论的高度关注。虽然公司建立了严格的食品安全控制体系，但食品安全的风险仍然是公司关注的重中之重，一旦出现食品安全问题，将对公司的品牌形象以及相关产品的销售造成不良影响。</w:t>
      </w:r>
    </w:p>
    <w:p w14:paraId="7E5CDB28" w14:textId="77777777" w:rsidR="000309B5" w:rsidRPr="00253F00" w:rsidRDefault="00000000" w:rsidP="00253F00">
      <w:pPr>
        <w:pStyle w:val="a3"/>
        <w:spacing w:before="0" w:beforeAutospacing="0" w:after="0" w:afterAutospacing="0" w:line="276" w:lineRule="auto"/>
        <w:ind w:firstLineChars="200" w:firstLine="360"/>
        <w:jc w:val="both"/>
        <w:divId w:val="99496640"/>
        <w:rPr>
          <w:rFonts w:ascii="Times New Roman" w:hAnsi="Times New Roman" w:cs="Times New Roman"/>
        </w:rPr>
      </w:pPr>
      <w:r w:rsidRPr="00253F00">
        <w:rPr>
          <w:rFonts w:ascii="Times New Roman" w:hAnsi="Times New Roman" w:cs="Times New Roman"/>
          <w:sz w:val="18"/>
          <w:szCs w:val="18"/>
        </w:rPr>
        <w:t>虽然国家不断强化食品安全方面的监管，但食品行业分支众多，企业数量庞大，难免存在部分企业不规范运作的情况，若某个食品子行业的个别企业发生严重食品安全事故，也将可能给整个食品行业经营发展造成负面影响。</w:t>
      </w:r>
    </w:p>
    <w:p w14:paraId="4B507A67" w14:textId="77777777" w:rsidR="000309B5" w:rsidRPr="00253F00" w:rsidRDefault="00000000" w:rsidP="00253F00">
      <w:pPr>
        <w:pStyle w:val="a3"/>
        <w:spacing w:before="0" w:beforeAutospacing="0" w:after="0" w:afterAutospacing="0" w:line="276" w:lineRule="auto"/>
        <w:ind w:firstLineChars="200" w:firstLine="360"/>
        <w:divId w:val="99496640"/>
        <w:rPr>
          <w:rFonts w:ascii="Times New Roman" w:hAnsi="Times New Roman" w:cs="Times New Roman"/>
        </w:rPr>
      </w:pPr>
      <w:r w:rsidRPr="00253F00">
        <w:rPr>
          <w:rStyle w:val="a4"/>
          <w:rFonts w:ascii="Times New Roman" w:hAnsi="Times New Roman" w:cs="Times New Roman"/>
          <w:b w:val="0"/>
          <w:bCs w:val="0"/>
          <w:sz w:val="18"/>
          <w:szCs w:val="18"/>
        </w:rPr>
        <w:t>3</w:t>
      </w:r>
      <w:r w:rsidRPr="00253F00">
        <w:rPr>
          <w:rStyle w:val="a4"/>
          <w:rFonts w:ascii="Times New Roman" w:hAnsi="Times New Roman" w:cs="Times New Roman"/>
          <w:b w:val="0"/>
          <w:bCs w:val="0"/>
          <w:sz w:val="18"/>
          <w:szCs w:val="18"/>
        </w:rPr>
        <w:t>、市场开拓风险</w:t>
      </w:r>
    </w:p>
    <w:p w14:paraId="69749868" w14:textId="77777777" w:rsidR="000309B5" w:rsidRPr="00253F00" w:rsidRDefault="00000000" w:rsidP="00253F00">
      <w:pPr>
        <w:pStyle w:val="a3"/>
        <w:spacing w:before="0" w:beforeAutospacing="0" w:after="0" w:afterAutospacing="0" w:line="276" w:lineRule="auto"/>
        <w:ind w:firstLineChars="200" w:firstLine="360"/>
        <w:jc w:val="both"/>
        <w:divId w:val="99496640"/>
        <w:rPr>
          <w:rFonts w:ascii="Times New Roman" w:hAnsi="Times New Roman" w:cs="Times New Roman"/>
        </w:rPr>
      </w:pPr>
      <w:r w:rsidRPr="00253F00">
        <w:rPr>
          <w:rFonts w:ascii="Times New Roman" w:hAnsi="Times New Roman" w:cs="Times New Roman"/>
          <w:sz w:val="18"/>
          <w:szCs w:val="18"/>
        </w:rPr>
        <w:t>在战略的指导下，公司加速推进食品业务的发展，并在全国范围内进行了一系列产能布局，拓展市场，如果公司的市场开拓未取得预期效果，将对公司生产经营产生不利影响。</w:t>
      </w:r>
    </w:p>
    <w:p w14:paraId="3907C990" w14:textId="77777777" w:rsidR="000309B5" w:rsidRPr="00253F00" w:rsidRDefault="00000000" w:rsidP="00253F00">
      <w:pPr>
        <w:pStyle w:val="a3"/>
        <w:spacing w:before="0" w:beforeAutospacing="0" w:after="0" w:afterAutospacing="0" w:line="276" w:lineRule="auto"/>
        <w:ind w:firstLineChars="200" w:firstLine="360"/>
        <w:divId w:val="99496640"/>
        <w:rPr>
          <w:rFonts w:ascii="Times New Roman" w:hAnsi="Times New Roman" w:cs="Times New Roman"/>
        </w:rPr>
      </w:pPr>
      <w:r w:rsidRPr="00253F00">
        <w:rPr>
          <w:rStyle w:val="a4"/>
          <w:rFonts w:ascii="Times New Roman" w:hAnsi="Times New Roman" w:cs="Times New Roman"/>
          <w:b w:val="0"/>
          <w:bCs w:val="0"/>
          <w:sz w:val="18"/>
          <w:szCs w:val="18"/>
        </w:rPr>
        <w:t>4</w:t>
      </w:r>
      <w:r w:rsidRPr="00253F00">
        <w:rPr>
          <w:rStyle w:val="a4"/>
          <w:rFonts w:ascii="Times New Roman" w:hAnsi="Times New Roman" w:cs="Times New Roman"/>
          <w:b w:val="0"/>
          <w:bCs w:val="0"/>
          <w:sz w:val="18"/>
          <w:szCs w:val="18"/>
        </w:rPr>
        <w:t>、生猪价格波动风险</w:t>
      </w:r>
    </w:p>
    <w:p w14:paraId="7ACC75D8" w14:textId="77777777" w:rsidR="000309B5" w:rsidRPr="00253F00" w:rsidRDefault="00000000" w:rsidP="00253F00">
      <w:pPr>
        <w:pStyle w:val="a3"/>
        <w:spacing w:before="0" w:beforeAutospacing="0" w:after="0" w:afterAutospacing="0" w:line="276" w:lineRule="auto"/>
        <w:ind w:firstLineChars="200" w:firstLine="360"/>
        <w:jc w:val="both"/>
        <w:divId w:val="99496640"/>
        <w:rPr>
          <w:rFonts w:ascii="Times New Roman" w:hAnsi="Times New Roman" w:cs="Times New Roman"/>
        </w:rPr>
      </w:pPr>
      <w:r w:rsidRPr="00253F00">
        <w:rPr>
          <w:rFonts w:ascii="Times New Roman" w:hAnsi="Times New Roman" w:cs="Times New Roman"/>
          <w:sz w:val="18"/>
          <w:szCs w:val="18"/>
        </w:rPr>
        <w:t>生猪价格受市场供求关系、养殖成本、疫病及自然灾害等因素的影响而呈现周期性波动态势，对公司主要业务板块均有较大影响。如生猪价格进入下行或处于周期底部时，将对公司经营带来不利影响。</w:t>
      </w:r>
    </w:p>
    <w:p w14:paraId="10D1EC30" w14:textId="77777777" w:rsidR="000309B5" w:rsidRPr="00253F00" w:rsidRDefault="00000000" w:rsidP="00253F00">
      <w:pPr>
        <w:pStyle w:val="a3"/>
        <w:spacing w:before="0" w:beforeAutospacing="0" w:after="0" w:afterAutospacing="0" w:line="276" w:lineRule="auto"/>
        <w:ind w:firstLineChars="200" w:firstLine="360"/>
        <w:divId w:val="99496640"/>
        <w:rPr>
          <w:rFonts w:ascii="Times New Roman" w:hAnsi="Times New Roman" w:cs="Times New Roman"/>
        </w:rPr>
      </w:pPr>
      <w:r w:rsidRPr="00253F00">
        <w:rPr>
          <w:rStyle w:val="a4"/>
          <w:rFonts w:ascii="Times New Roman" w:hAnsi="Times New Roman" w:cs="Times New Roman"/>
          <w:b w:val="0"/>
          <w:bCs w:val="0"/>
          <w:sz w:val="18"/>
          <w:szCs w:val="18"/>
        </w:rPr>
        <w:t>5</w:t>
      </w:r>
      <w:r w:rsidRPr="00253F00">
        <w:rPr>
          <w:rStyle w:val="a4"/>
          <w:rFonts w:ascii="Times New Roman" w:hAnsi="Times New Roman" w:cs="Times New Roman"/>
          <w:b w:val="0"/>
          <w:bCs w:val="0"/>
          <w:sz w:val="18"/>
          <w:szCs w:val="18"/>
        </w:rPr>
        <w:t>、不可抗力风险</w:t>
      </w:r>
    </w:p>
    <w:p w14:paraId="605EA5B5" w14:textId="77777777" w:rsidR="000309B5" w:rsidRPr="00253F00" w:rsidRDefault="00000000" w:rsidP="00253F00">
      <w:pPr>
        <w:pStyle w:val="a3"/>
        <w:spacing w:before="0" w:beforeAutospacing="0" w:after="0" w:afterAutospacing="0" w:line="276" w:lineRule="auto"/>
        <w:ind w:firstLineChars="200" w:firstLine="360"/>
        <w:jc w:val="both"/>
        <w:divId w:val="99496640"/>
        <w:rPr>
          <w:rFonts w:ascii="Times New Roman" w:hAnsi="Times New Roman" w:cs="Times New Roman"/>
        </w:rPr>
      </w:pPr>
      <w:r w:rsidRPr="00253F00">
        <w:rPr>
          <w:rFonts w:ascii="Times New Roman" w:hAnsi="Times New Roman" w:cs="Times New Roman"/>
          <w:sz w:val="18"/>
          <w:szCs w:val="18"/>
        </w:rPr>
        <w:t>自然灾害、突发性公共卫生事件可能会对公司的财产、人员造成损害，并有可能影响公司的正常生产经营，此类不可抗力的发生可能还会给公司增加额外成本，从而影响公司的盈利水平。</w:t>
      </w:r>
    </w:p>
    <w:p w14:paraId="2A07FA68" w14:textId="1BBB9307" w:rsidR="000309B5" w:rsidRPr="00253F00" w:rsidRDefault="00000000" w:rsidP="00253F00">
      <w:pPr>
        <w:pStyle w:val="a3"/>
        <w:spacing w:before="0" w:beforeAutospacing="0" w:after="0" w:afterAutospacing="0" w:line="276" w:lineRule="auto"/>
        <w:ind w:firstLineChars="200" w:firstLine="360"/>
        <w:divId w:val="99496640"/>
        <w:rPr>
          <w:rFonts w:ascii="Times New Roman" w:hAnsi="Times New Roman" w:cs="Times New Roman"/>
        </w:rPr>
      </w:pPr>
      <w:r w:rsidRPr="00253F00">
        <w:rPr>
          <w:rStyle w:val="a4"/>
          <w:rFonts w:ascii="Times New Roman" w:hAnsi="Times New Roman" w:cs="Times New Roman"/>
          <w:b w:val="0"/>
          <w:bCs w:val="0"/>
          <w:sz w:val="18"/>
          <w:szCs w:val="18"/>
        </w:rPr>
        <w:t>（</w:t>
      </w:r>
      <w:r w:rsidR="00253F00">
        <w:rPr>
          <w:rStyle w:val="a4"/>
          <w:rFonts w:ascii="Times New Roman" w:hAnsi="Times New Roman" w:cs="Times New Roman" w:hint="eastAsia"/>
          <w:b w:val="0"/>
          <w:bCs w:val="0"/>
          <w:sz w:val="18"/>
          <w:szCs w:val="18"/>
        </w:rPr>
        <w:t>二</w:t>
      </w:r>
      <w:r w:rsidRPr="00253F00">
        <w:rPr>
          <w:rStyle w:val="a4"/>
          <w:rFonts w:ascii="Times New Roman" w:hAnsi="Times New Roman" w:cs="Times New Roman"/>
          <w:b w:val="0"/>
          <w:bCs w:val="0"/>
          <w:sz w:val="18"/>
          <w:szCs w:val="18"/>
        </w:rPr>
        <w:t>）应对措施</w:t>
      </w:r>
    </w:p>
    <w:p w14:paraId="0F1E1F9B" w14:textId="56B747AD" w:rsidR="000309B5" w:rsidRPr="00253F00" w:rsidRDefault="00000000" w:rsidP="00253F00">
      <w:pPr>
        <w:pStyle w:val="a3"/>
        <w:spacing w:before="0" w:beforeAutospacing="0" w:after="0" w:afterAutospacing="0" w:line="276" w:lineRule="auto"/>
        <w:ind w:firstLineChars="200" w:firstLine="360"/>
        <w:jc w:val="both"/>
        <w:divId w:val="99496640"/>
        <w:rPr>
          <w:rFonts w:ascii="Times New Roman" w:hAnsi="Times New Roman" w:cs="Times New Roman"/>
        </w:rPr>
      </w:pPr>
      <w:r w:rsidRPr="00253F00">
        <w:rPr>
          <w:rFonts w:ascii="Times New Roman" w:hAnsi="Times New Roman" w:cs="Times New Roman"/>
          <w:sz w:val="18"/>
          <w:szCs w:val="18"/>
        </w:rPr>
        <w:t>1</w:t>
      </w:r>
      <w:r w:rsidRPr="00253F00">
        <w:rPr>
          <w:rFonts w:ascii="Times New Roman" w:hAnsi="Times New Roman" w:cs="Times New Roman"/>
          <w:sz w:val="18"/>
          <w:szCs w:val="18"/>
        </w:rPr>
        <w:t>、公司将持续做好疫病防疫防控工作，并在各个生产环节疫病防疫体系进行季节性系统化升级，同时一如既往的严格执行防疫防控措施，确保公司所有单位生产经营有序进行。</w:t>
      </w:r>
    </w:p>
    <w:p w14:paraId="11AF3D27" w14:textId="77777777" w:rsidR="000309B5" w:rsidRPr="00253F00" w:rsidRDefault="00000000" w:rsidP="00253F00">
      <w:pPr>
        <w:pStyle w:val="a3"/>
        <w:spacing w:before="0" w:beforeAutospacing="0" w:after="0" w:afterAutospacing="0" w:line="276" w:lineRule="auto"/>
        <w:ind w:firstLineChars="200" w:firstLine="360"/>
        <w:jc w:val="both"/>
        <w:divId w:val="99496640"/>
        <w:rPr>
          <w:rFonts w:ascii="Times New Roman" w:hAnsi="Times New Roman" w:cs="Times New Roman"/>
        </w:rPr>
      </w:pPr>
      <w:r w:rsidRPr="00253F00">
        <w:rPr>
          <w:rFonts w:ascii="Times New Roman" w:hAnsi="Times New Roman" w:cs="Times New Roman"/>
          <w:sz w:val="18"/>
          <w:szCs w:val="18"/>
        </w:rPr>
        <w:t>2</w:t>
      </w:r>
      <w:r w:rsidRPr="00253F00">
        <w:rPr>
          <w:rFonts w:ascii="Times New Roman" w:hAnsi="Times New Roman" w:cs="Times New Roman"/>
          <w:sz w:val="18"/>
          <w:szCs w:val="18"/>
        </w:rPr>
        <w:t>、公司长期高度重视食品安全，严格要求把食品安全落实到生产经营的每个环节。公司在生产经营中根据国家法律法规及市场监督管理部门的规章制度要求，建立了完善的食品安全控制体系，通过了</w:t>
      </w:r>
      <w:r w:rsidRPr="00253F00">
        <w:rPr>
          <w:rFonts w:ascii="Times New Roman" w:hAnsi="Times New Roman" w:cs="Times New Roman"/>
          <w:sz w:val="18"/>
          <w:szCs w:val="18"/>
        </w:rPr>
        <w:t>ISO9001</w:t>
      </w:r>
      <w:r w:rsidRPr="00253F00">
        <w:rPr>
          <w:rFonts w:ascii="Times New Roman" w:hAnsi="Times New Roman" w:cs="Times New Roman"/>
          <w:sz w:val="18"/>
          <w:szCs w:val="18"/>
        </w:rPr>
        <w:t>国际质量管理体系和</w:t>
      </w:r>
      <w:r w:rsidRPr="00253F00">
        <w:rPr>
          <w:rFonts w:ascii="Times New Roman" w:hAnsi="Times New Roman" w:cs="Times New Roman"/>
          <w:sz w:val="18"/>
          <w:szCs w:val="18"/>
        </w:rPr>
        <w:t>ISO22000</w:t>
      </w:r>
      <w:r w:rsidRPr="00253F00">
        <w:rPr>
          <w:rFonts w:ascii="Times New Roman" w:hAnsi="Times New Roman" w:cs="Times New Roman"/>
          <w:sz w:val="18"/>
          <w:szCs w:val="18"/>
        </w:rPr>
        <w:t>食品安全管理体系的认证，并对关键环节在国家标准的基础上制定了更为严格的多个企业标准，进一步细化食品安全控制工作。在每个生产基地配备专职质量控制人员、每个市场安排专职质量监督人员，从而达到对采购、生产、储存、运输、销售等环节实施有效的食品安全质量控制的目标；通过执行《标识和可追溯性管理制度》等相关产品质量控制制度，使产品质量和食品安全控制具有可追溯性，尽可能降低食品安全事件发生的可能性。</w:t>
      </w:r>
    </w:p>
    <w:p w14:paraId="0AC9AB5B" w14:textId="77777777" w:rsidR="000309B5" w:rsidRPr="00253F00" w:rsidRDefault="00000000" w:rsidP="00253F00">
      <w:pPr>
        <w:pStyle w:val="a3"/>
        <w:spacing w:before="0" w:beforeAutospacing="0" w:after="0" w:afterAutospacing="0" w:line="276" w:lineRule="auto"/>
        <w:ind w:firstLineChars="200" w:firstLine="360"/>
        <w:jc w:val="both"/>
        <w:divId w:val="99496640"/>
        <w:rPr>
          <w:rFonts w:ascii="Times New Roman" w:hAnsi="Times New Roman" w:cs="Times New Roman"/>
        </w:rPr>
      </w:pPr>
      <w:r w:rsidRPr="00253F00">
        <w:rPr>
          <w:rFonts w:ascii="Times New Roman" w:hAnsi="Times New Roman" w:cs="Times New Roman"/>
          <w:sz w:val="18"/>
          <w:szCs w:val="18"/>
        </w:rPr>
        <w:t>3</w:t>
      </w:r>
      <w:r w:rsidRPr="00253F00">
        <w:rPr>
          <w:rFonts w:ascii="Times New Roman" w:hAnsi="Times New Roman" w:cs="Times New Roman"/>
          <w:sz w:val="18"/>
          <w:szCs w:val="18"/>
        </w:rPr>
        <w:t>、公司将一方面加强管理、提高效率进行成本控制，一方面充分发挥公司全产业链布局的优势，通过调节产品结构、生产高附加值产品、加快食品业务发展等方式，尽可能化解生猪价格波动对公司盈利能力带来的风险。</w:t>
      </w:r>
    </w:p>
    <w:p w14:paraId="4E90E8FB" w14:textId="4D2BE7FF" w:rsidR="000309B5" w:rsidRPr="00CB7CD9" w:rsidRDefault="00000000" w:rsidP="00CB7CD9">
      <w:pPr>
        <w:pStyle w:val="a3"/>
        <w:spacing w:before="0" w:beforeAutospacing="0" w:after="0" w:afterAutospacing="0" w:line="276" w:lineRule="auto"/>
        <w:ind w:firstLineChars="200" w:firstLine="360"/>
        <w:jc w:val="both"/>
        <w:divId w:val="99496640"/>
        <w:rPr>
          <w:rFonts w:ascii="Times New Roman" w:hAnsi="Times New Roman" w:cs="Times New Roman"/>
        </w:rPr>
      </w:pPr>
      <w:r w:rsidRPr="00253F00">
        <w:rPr>
          <w:rFonts w:ascii="Times New Roman" w:hAnsi="Times New Roman" w:cs="Times New Roman"/>
          <w:sz w:val="18"/>
          <w:szCs w:val="18"/>
        </w:rPr>
        <w:t>4</w:t>
      </w:r>
      <w:r w:rsidRPr="00253F00">
        <w:rPr>
          <w:rFonts w:ascii="Times New Roman" w:hAnsi="Times New Roman" w:cs="Times New Roman"/>
          <w:sz w:val="18"/>
          <w:szCs w:val="18"/>
        </w:rPr>
        <w:t>、公司着力构建消费市场洞察体系，服务广大食品加工和餐饮企业，协同进行市场推广，创新营销模式，积极应用市场思维打造爆款明星单品，以大单品策略快速服务市场。此外，公司加快开拓专业销售渠道，加强定制化服务；聚焦核心区域，打造样板市场，实现优势区域全覆盖；构建流通经销商网络，实现全国范围渠道拓展。</w:t>
      </w:r>
    </w:p>
    <w:p w14:paraId="2846D1C2"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40" w:name="_Toc988929"/>
      <w:r w:rsidRPr="005A284F">
        <w:rPr>
          <w:rFonts w:ascii="Times New Roman" w:eastAsia="宋体" w:hAnsi="Times New Roman" w:cs="Times New Roman"/>
          <w:b/>
          <w:bCs/>
          <w:sz w:val="24"/>
          <w:szCs w:val="24"/>
        </w:rPr>
        <w:t>十一、市值管理制度和估值提升计划的制定落实情况</w:t>
      </w:r>
      <w:bookmarkEnd w:id="40"/>
    </w:p>
    <w:p w14:paraId="3FE9BA85"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公司是否制定了市值管理制度。</w:t>
      </w:r>
    </w:p>
    <w:p w14:paraId="04A55F41" w14:textId="77777777" w:rsidR="006C011D" w:rsidRPr="00CB7CD9" w:rsidRDefault="00000000">
      <w:pPr>
        <w:spacing w:before="100" w:after="100" w:line="240" w:lineRule="exact"/>
        <w:rPr>
          <w:rFonts w:ascii="宋体" w:eastAsia="宋体" w:hAnsi="宋体" w:cs="Times New Roman" w:hint="eastAsia"/>
          <w:sz w:val="18"/>
          <w:szCs w:val="18"/>
        </w:rPr>
      </w:pPr>
      <w:r w:rsidRPr="00CB7CD9">
        <w:rPr>
          <w:rFonts w:ascii="宋体" w:eastAsia="宋体" w:hAnsi="宋体" w:cs="Times New Roman"/>
          <w:sz w:val="18"/>
          <w:szCs w:val="18"/>
        </w:rPr>
        <w:t xml:space="preserve">□是 </w:t>
      </w:r>
      <w:r w:rsidRPr="00CB7CD9">
        <w:rPr>
          <w:rFonts w:ascii="宋体" w:eastAsia="宋体" w:hAnsi="宋体" w:cs="Times New Roman"/>
          <w:sz w:val="18"/>
          <w:szCs w:val="18"/>
        </w:rPr>
        <w:sym w:font="Wingdings 2" w:char="F052"/>
      </w:r>
      <w:r w:rsidRPr="00CB7CD9">
        <w:rPr>
          <w:rFonts w:ascii="宋体" w:eastAsia="宋体" w:hAnsi="宋体" w:cs="Times New Roman"/>
          <w:sz w:val="18"/>
          <w:szCs w:val="18"/>
        </w:rPr>
        <w:t>否</w:t>
      </w:r>
    </w:p>
    <w:p w14:paraId="5743F968"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公司是否披露了估值提升计划。</w:t>
      </w:r>
    </w:p>
    <w:p w14:paraId="65C3FED8" w14:textId="77777777" w:rsidR="006C011D" w:rsidRPr="00CB7CD9" w:rsidRDefault="00000000">
      <w:pPr>
        <w:spacing w:before="100" w:after="100" w:line="240" w:lineRule="exact"/>
        <w:rPr>
          <w:rFonts w:ascii="宋体" w:eastAsia="宋体" w:hAnsi="宋体" w:cs="Times New Roman" w:hint="eastAsia"/>
          <w:sz w:val="18"/>
          <w:szCs w:val="18"/>
        </w:rPr>
      </w:pPr>
      <w:r w:rsidRPr="00CB7CD9">
        <w:rPr>
          <w:rFonts w:ascii="宋体" w:eastAsia="宋体" w:hAnsi="宋体" w:cs="Times New Roman"/>
          <w:sz w:val="18"/>
          <w:szCs w:val="18"/>
        </w:rPr>
        <w:t xml:space="preserve">□是 </w:t>
      </w:r>
      <w:r w:rsidRPr="00CB7CD9">
        <w:rPr>
          <w:rFonts w:ascii="宋体" w:eastAsia="宋体" w:hAnsi="宋体" w:cs="Times New Roman"/>
          <w:sz w:val="18"/>
          <w:szCs w:val="18"/>
        </w:rPr>
        <w:sym w:font="Wingdings 2" w:char="F052"/>
      </w:r>
      <w:r w:rsidRPr="00CB7CD9">
        <w:rPr>
          <w:rFonts w:ascii="宋体" w:eastAsia="宋体" w:hAnsi="宋体" w:cs="Times New Roman"/>
          <w:sz w:val="18"/>
          <w:szCs w:val="18"/>
        </w:rPr>
        <w:t>否</w:t>
      </w:r>
    </w:p>
    <w:p w14:paraId="2B148C2C"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41" w:name="_Toc988930"/>
      <w:r w:rsidRPr="005A284F">
        <w:rPr>
          <w:rFonts w:ascii="Times New Roman" w:eastAsia="宋体" w:hAnsi="Times New Roman" w:cs="Times New Roman"/>
          <w:b/>
          <w:bCs/>
          <w:sz w:val="24"/>
          <w:szCs w:val="24"/>
        </w:rPr>
        <w:lastRenderedPageBreak/>
        <w:t>十二、</w:t>
      </w:r>
      <w:r w:rsidRPr="005A284F">
        <w:rPr>
          <w:rFonts w:ascii="Times New Roman" w:eastAsia="宋体" w:hAnsi="Times New Roman" w:cs="Times New Roman"/>
          <w:b/>
          <w:bCs/>
          <w:sz w:val="24"/>
          <w:szCs w:val="24"/>
        </w:rPr>
        <w:t>“</w:t>
      </w:r>
      <w:r w:rsidRPr="005A284F">
        <w:rPr>
          <w:rFonts w:ascii="Times New Roman" w:eastAsia="宋体" w:hAnsi="Times New Roman" w:cs="Times New Roman"/>
          <w:b/>
          <w:bCs/>
          <w:sz w:val="24"/>
          <w:szCs w:val="24"/>
        </w:rPr>
        <w:t>质量回报双提升</w:t>
      </w:r>
      <w:r w:rsidRPr="005A284F">
        <w:rPr>
          <w:rFonts w:ascii="Times New Roman" w:eastAsia="宋体" w:hAnsi="Times New Roman" w:cs="Times New Roman"/>
          <w:b/>
          <w:bCs/>
          <w:sz w:val="24"/>
          <w:szCs w:val="24"/>
        </w:rPr>
        <w:t>”</w:t>
      </w:r>
      <w:r w:rsidRPr="005A284F">
        <w:rPr>
          <w:rFonts w:ascii="Times New Roman" w:eastAsia="宋体" w:hAnsi="Times New Roman" w:cs="Times New Roman"/>
          <w:b/>
          <w:bCs/>
          <w:sz w:val="24"/>
          <w:szCs w:val="24"/>
        </w:rPr>
        <w:t>行动方案贯彻落实情况</w:t>
      </w:r>
      <w:bookmarkEnd w:id="41"/>
    </w:p>
    <w:p w14:paraId="4E523672"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公司是否披露了</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质量回报双提升</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行动方案公告。</w:t>
      </w:r>
    </w:p>
    <w:p w14:paraId="42FF91AD" w14:textId="77777777" w:rsidR="006C011D" w:rsidRPr="00CB7CD9" w:rsidRDefault="00000000">
      <w:pPr>
        <w:spacing w:before="100" w:after="100" w:line="240" w:lineRule="exact"/>
        <w:rPr>
          <w:rFonts w:ascii="宋体" w:eastAsia="宋体" w:hAnsi="宋体" w:cs="Times New Roman" w:hint="eastAsia"/>
          <w:sz w:val="18"/>
          <w:szCs w:val="18"/>
        </w:rPr>
      </w:pPr>
      <w:r w:rsidRPr="00CB7CD9">
        <w:rPr>
          <w:rFonts w:ascii="宋体" w:eastAsia="宋体" w:hAnsi="宋体" w:cs="Times New Roman"/>
          <w:sz w:val="18"/>
          <w:szCs w:val="18"/>
        </w:rPr>
        <w:t xml:space="preserve">□是 </w:t>
      </w:r>
      <w:r w:rsidRPr="00CB7CD9">
        <w:rPr>
          <w:rFonts w:ascii="宋体" w:eastAsia="宋体" w:hAnsi="宋体" w:cs="Times New Roman"/>
          <w:sz w:val="18"/>
          <w:szCs w:val="18"/>
        </w:rPr>
        <w:sym w:font="Wingdings 2" w:char="F052"/>
      </w:r>
      <w:r w:rsidRPr="00CB7CD9">
        <w:rPr>
          <w:rFonts w:ascii="宋体" w:eastAsia="宋体" w:hAnsi="宋体" w:cs="Times New Roman"/>
          <w:sz w:val="18"/>
          <w:szCs w:val="18"/>
        </w:rPr>
        <w:t>否</w:t>
      </w:r>
    </w:p>
    <w:p w14:paraId="618460A7" w14:textId="77777777" w:rsidR="006C011D" w:rsidRPr="005A284F" w:rsidRDefault="00000000">
      <w:pPr>
        <w:pStyle w:val="headingh1"/>
        <w:spacing w:before="340" w:after="330" w:line="773" w:lineRule="exact"/>
        <w:jc w:val="center"/>
        <w:rPr>
          <w:rFonts w:ascii="Times New Roman" w:eastAsia="宋体" w:hAnsi="Times New Roman" w:cs="Times New Roman"/>
          <w:b/>
          <w:bCs/>
          <w:sz w:val="32"/>
          <w:szCs w:val="32"/>
        </w:rPr>
      </w:pPr>
      <w:bookmarkStart w:id="42" w:name="_Toc988931"/>
      <w:r w:rsidRPr="005A284F">
        <w:rPr>
          <w:rFonts w:ascii="Times New Roman" w:eastAsia="宋体" w:hAnsi="Times New Roman" w:cs="Times New Roman"/>
          <w:b/>
          <w:bCs/>
          <w:sz w:val="32"/>
          <w:szCs w:val="32"/>
        </w:rPr>
        <w:t>第四节</w:t>
      </w:r>
      <w:r w:rsidRPr="005A284F">
        <w:rPr>
          <w:rFonts w:ascii="Times New Roman" w:eastAsia="宋体" w:hAnsi="Times New Roman" w:cs="Times New Roman"/>
          <w:b/>
          <w:bCs/>
          <w:sz w:val="32"/>
          <w:szCs w:val="32"/>
        </w:rPr>
        <w:t xml:space="preserve"> </w:t>
      </w:r>
      <w:r w:rsidRPr="005A284F">
        <w:rPr>
          <w:rFonts w:ascii="Times New Roman" w:eastAsia="宋体" w:hAnsi="Times New Roman" w:cs="Times New Roman"/>
          <w:b/>
          <w:bCs/>
          <w:sz w:val="32"/>
          <w:szCs w:val="32"/>
        </w:rPr>
        <w:t>公司治理、环境和社会</w:t>
      </w:r>
      <w:bookmarkEnd w:id="42"/>
    </w:p>
    <w:p w14:paraId="2E7CD976"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43" w:name="_Toc988932"/>
      <w:r w:rsidRPr="005A284F">
        <w:rPr>
          <w:rFonts w:ascii="Times New Roman" w:eastAsia="宋体" w:hAnsi="Times New Roman" w:cs="Times New Roman"/>
          <w:b/>
          <w:bCs/>
          <w:sz w:val="24"/>
          <w:szCs w:val="24"/>
        </w:rPr>
        <w:t>一、公司董事、监事、高级管理人员变动情况</w:t>
      </w:r>
      <w:bookmarkEnd w:id="43"/>
    </w:p>
    <w:p w14:paraId="06AF41D6" w14:textId="77777777" w:rsidR="006C011D" w:rsidRPr="00CB7CD9" w:rsidRDefault="00000000" w:rsidP="00CB7CD9">
      <w:pPr>
        <w:spacing w:before="100" w:after="100" w:line="240" w:lineRule="exact"/>
        <w:rPr>
          <w:rFonts w:ascii="宋体" w:eastAsia="宋体" w:hAnsi="宋体" w:cs="Times New Roman" w:hint="eastAsia"/>
          <w:sz w:val="18"/>
          <w:szCs w:val="18"/>
        </w:rPr>
      </w:pPr>
      <w:r w:rsidRPr="00CB7CD9">
        <w:rPr>
          <w:rFonts w:ascii="宋体" w:eastAsia="宋体" w:hAnsi="宋体" w:cs="Times New Roman"/>
          <w:sz w:val="18"/>
          <w:szCs w:val="18"/>
        </w:rPr>
        <w:sym w:font="Wingdings 2" w:char="F052"/>
      </w:r>
      <w:r w:rsidRPr="00CB7CD9">
        <w:rPr>
          <w:rFonts w:ascii="宋体" w:eastAsia="宋体" w:hAnsi="宋体" w:cs="Times New Roman"/>
          <w:sz w:val="18"/>
          <w:szCs w:val="18"/>
        </w:rPr>
        <w:t>适用 □不适用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C011D" w:rsidRPr="005A284F" w14:paraId="5FF80576"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C7D6A8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姓名</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26CE1A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担任的职务</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619ECB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类型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B9AAD3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日期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7F3686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原因</w:t>
            </w:r>
          </w:p>
        </w:tc>
      </w:tr>
      <w:tr w:rsidR="006C011D" w:rsidRPr="005A284F" w14:paraId="24C2AFAA"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8F670D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王豪杰</w:t>
            </w:r>
          </w:p>
        </w:tc>
        <w:tc>
          <w:tcPr>
            <w:tcW w:w="1928" w:type="dxa"/>
            <w:tcBorders>
              <w:top w:val="single" w:sz="2" w:space="0" w:color="auto"/>
              <w:left w:val="single" w:sz="2" w:space="0" w:color="auto"/>
              <w:bottom w:val="single" w:sz="2" w:space="0" w:color="auto"/>
              <w:right w:val="single" w:sz="2" w:space="0" w:color="auto"/>
            </w:tcBorders>
            <w:vAlign w:val="center"/>
          </w:tcPr>
          <w:p w14:paraId="31547E7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董事</w:t>
            </w:r>
          </w:p>
        </w:tc>
        <w:tc>
          <w:tcPr>
            <w:tcW w:w="1928" w:type="dxa"/>
            <w:tcBorders>
              <w:top w:val="single" w:sz="2" w:space="0" w:color="auto"/>
              <w:left w:val="single" w:sz="2" w:space="0" w:color="auto"/>
              <w:bottom w:val="single" w:sz="2" w:space="0" w:color="auto"/>
              <w:right w:val="single" w:sz="2" w:space="0" w:color="auto"/>
            </w:tcBorders>
            <w:vAlign w:val="center"/>
          </w:tcPr>
          <w:p w14:paraId="11846D3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任期满离任</w:t>
            </w:r>
          </w:p>
        </w:tc>
        <w:tc>
          <w:tcPr>
            <w:tcW w:w="1928" w:type="dxa"/>
            <w:tcBorders>
              <w:top w:val="single" w:sz="2" w:space="0" w:color="auto"/>
              <w:left w:val="single" w:sz="2" w:space="0" w:color="auto"/>
              <w:bottom w:val="single" w:sz="2" w:space="0" w:color="auto"/>
              <w:right w:val="single" w:sz="2" w:space="0" w:color="auto"/>
            </w:tcBorders>
            <w:vAlign w:val="center"/>
          </w:tcPr>
          <w:p w14:paraId="205E32C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05</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19</w:t>
            </w:r>
            <w:r w:rsidRPr="005A284F">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58CF537C" w14:textId="77777777" w:rsidR="006C011D" w:rsidRPr="005A284F" w:rsidRDefault="00000000" w:rsidP="00CB7CD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换届</w:t>
            </w:r>
          </w:p>
        </w:tc>
      </w:tr>
      <w:tr w:rsidR="006C011D" w:rsidRPr="005A284F" w14:paraId="036D508D"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5BD9CAA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张凌</w:t>
            </w:r>
          </w:p>
        </w:tc>
        <w:tc>
          <w:tcPr>
            <w:tcW w:w="1928" w:type="dxa"/>
            <w:tcBorders>
              <w:top w:val="single" w:sz="2" w:space="0" w:color="auto"/>
              <w:left w:val="single" w:sz="2" w:space="0" w:color="auto"/>
              <w:bottom w:val="single" w:sz="2" w:space="0" w:color="auto"/>
              <w:right w:val="single" w:sz="2" w:space="0" w:color="auto"/>
            </w:tcBorders>
            <w:vAlign w:val="center"/>
          </w:tcPr>
          <w:p w14:paraId="4D401D7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财务总监</w:t>
            </w:r>
          </w:p>
        </w:tc>
        <w:tc>
          <w:tcPr>
            <w:tcW w:w="1928" w:type="dxa"/>
            <w:tcBorders>
              <w:top w:val="single" w:sz="2" w:space="0" w:color="auto"/>
              <w:left w:val="single" w:sz="2" w:space="0" w:color="auto"/>
              <w:bottom w:val="single" w:sz="2" w:space="0" w:color="auto"/>
              <w:right w:val="single" w:sz="2" w:space="0" w:color="auto"/>
            </w:tcBorders>
            <w:vAlign w:val="center"/>
          </w:tcPr>
          <w:p w14:paraId="2FB846C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任期满离任</w:t>
            </w:r>
          </w:p>
        </w:tc>
        <w:tc>
          <w:tcPr>
            <w:tcW w:w="1928" w:type="dxa"/>
            <w:tcBorders>
              <w:top w:val="single" w:sz="2" w:space="0" w:color="auto"/>
              <w:left w:val="single" w:sz="2" w:space="0" w:color="auto"/>
              <w:bottom w:val="single" w:sz="2" w:space="0" w:color="auto"/>
              <w:right w:val="single" w:sz="2" w:space="0" w:color="auto"/>
            </w:tcBorders>
            <w:vAlign w:val="center"/>
          </w:tcPr>
          <w:p w14:paraId="4B8068F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05</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19</w:t>
            </w:r>
            <w:r w:rsidRPr="005A284F">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84753FA" w14:textId="77777777" w:rsidR="006C011D" w:rsidRPr="005A284F" w:rsidRDefault="00000000" w:rsidP="00CB7CD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换届</w:t>
            </w:r>
          </w:p>
        </w:tc>
      </w:tr>
      <w:tr w:rsidR="006C011D" w:rsidRPr="005A284F" w14:paraId="513A371F"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13B7E39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周雪琴</w:t>
            </w:r>
          </w:p>
        </w:tc>
        <w:tc>
          <w:tcPr>
            <w:tcW w:w="1928" w:type="dxa"/>
            <w:tcBorders>
              <w:top w:val="single" w:sz="2" w:space="0" w:color="auto"/>
              <w:left w:val="single" w:sz="2" w:space="0" w:color="auto"/>
              <w:bottom w:val="single" w:sz="2" w:space="0" w:color="auto"/>
              <w:right w:val="single" w:sz="2" w:space="0" w:color="auto"/>
            </w:tcBorders>
            <w:vAlign w:val="center"/>
          </w:tcPr>
          <w:p w14:paraId="10A25AA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监事会主席</w:t>
            </w:r>
          </w:p>
        </w:tc>
        <w:tc>
          <w:tcPr>
            <w:tcW w:w="1928" w:type="dxa"/>
            <w:tcBorders>
              <w:top w:val="single" w:sz="2" w:space="0" w:color="auto"/>
              <w:left w:val="single" w:sz="2" w:space="0" w:color="auto"/>
              <w:bottom w:val="single" w:sz="2" w:space="0" w:color="auto"/>
              <w:right w:val="single" w:sz="2" w:space="0" w:color="auto"/>
            </w:tcBorders>
            <w:vAlign w:val="center"/>
          </w:tcPr>
          <w:p w14:paraId="3F7C100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任期满离任</w:t>
            </w:r>
          </w:p>
        </w:tc>
        <w:tc>
          <w:tcPr>
            <w:tcW w:w="1928" w:type="dxa"/>
            <w:tcBorders>
              <w:top w:val="single" w:sz="2" w:space="0" w:color="auto"/>
              <w:left w:val="single" w:sz="2" w:space="0" w:color="auto"/>
              <w:bottom w:val="single" w:sz="2" w:space="0" w:color="auto"/>
              <w:right w:val="single" w:sz="2" w:space="0" w:color="auto"/>
            </w:tcBorders>
            <w:vAlign w:val="center"/>
          </w:tcPr>
          <w:p w14:paraId="1580D80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05</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19</w:t>
            </w:r>
            <w:r w:rsidRPr="005A284F">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0AED6B4E" w14:textId="77777777" w:rsidR="006C011D" w:rsidRPr="005A284F" w:rsidRDefault="00000000" w:rsidP="00CB7CD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换届</w:t>
            </w:r>
          </w:p>
        </w:tc>
      </w:tr>
      <w:tr w:rsidR="006C011D" w:rsidRPr="005A284F" w14:paraId="66377676"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1618B6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张楠</w:t>
            </w:r>
          </w:p>
        </w:tc>
        <w:tc>
          <w:tcPr>
            <w:tcW w:w="1928" w:type="dxa"/>
            <w:tcBorders>
              <w:top w:val="single" w:sz="2" w:space="0" w:color="auto"/>
              <w:left w:val="single" w:sz="2" w:space="0" w:color="auto"/>
              <w:bottom w:val="single" w:sz="2" w:space="0" w:color="auto"/>
              <w:right w:val="single" w:sz="2" w:space="0" w:color="auto"/>
            </w:tcBorders>
            <w:vAlign w:val="center"/>
          </w:tcPr>
          <w:p w14:paraId="562E0B3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监事</w:t>
            </w:r>
          </w:p>
        </w:tc>
        <w:tc>
          <w:tcPr>
            <w:tcW w:w="1928" w:type="dxa"/>
            <w:tcBorders>
              <w:top w:val="single" w:sz="2" w:space="0" w:color="auto"/>
              <w:left w:val="single" w:sz="2" w:space="0" w:color="auto"/>
              <w:bottom w:val="single" w:sz="2" w:space="0" w:color="auto"/>
              <w:right w:val="single" w:sz="2" w:space="0" w:color="auto"/>
            </w:tcBorders>
            <w:vAlign w:val="center"/>
          </w:tcPr>
          <w:p w14:paraId="3F722A0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任期满离任</w:t>
            </w:r>
          </w:p>
        </w:tc>
        <w:tc>
          <w:tcPr>
            <w:tcW w:w="1928" w:type="dxa"/>
            <w:tcBorders>
              <w:top w:val="single" w:sz="2" w:space="0" w:color="auto"/>
              <w:left w:val="single" w:sz="2" w:space="0" w:color="auto"/>
              <w:bottom w:val="single" w:sz="2" w:space="0" w:color="auto"/>
              <w:right w:val="single" w:sz="2" w:space="0" w:color="auto"/>
            </w:tcBorders>
            <w:vAlign w:val="center"/>
          </w:tcPr>
          <w:p w14:paraId="19C34CF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05</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19</w:t>
            </w:r>
            <w:r w:rsidRPr="005A284F">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46BCA29" w14:textId="77777777" w:rsidR="006C011D" w:rsidRPr="005A284F" w:rsidRDefault="00000000" w:rsidP="00CB7CD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换届</w:t>
            </w:r>
          </w:p>
        </w:tc>
      </w:tr>
      <w:tr w:rsidR="006C011D" w:rsidRPr="005A284F" w14:paraId="6D682A60"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78C8788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吴战宗</w:t>
            </w:r>
          </w:p>
        </w:tc>
        <w:tc>
          <w:tcPr>
            <w:tcW w:w="1928" w:type="dxa"/>
            <w:tcBorders>
              <w:top w:val="single" w:sz="2" w:space="0" w:color="auto"/>
              <w:left w:val="single" w:sz="2" w:space="0" w:color="auto"/>
              <w:bottom w:val="single" w:sz="2" w:space="0" w:color="auto"/>
              <w:right w:val="single" w:sz="2" w:space="0" w:color="auto"/>
            </w:tcBorders>
            <w:vAlign w:val="center"/>
          </w:tcPr>
          <w:p w14:paraId="3DC520A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职工代表监事</w:t>
            </w:r>
          </w:p>
        </w:tc>
        <w:tc>
          <w:tcPr>
            <w:tcW w:w="1928" w:type="dxa"/>
            <w:tcBorders>
              <w:top w:val="single" w:sz="2" w:space="0" w:color="auto"/>
              <w:left w:val="single" w:sz="2" w:space="0" w:color="auto"/>
              <w:bottom w:val="single" w:sz="2" w:space="0" w:color="auto"/>
              <w:right w:val="single" w:sz="2" w:space="0" w:color="auto"/>
            </w:tcBorders>
            <w:vAlign w:val="center"/>
          </w:tcPr>
          <w:p w14:paraId="4E8243F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任期满离任</w:t>
            </w:r>
          </w:p>
        </w:tc>
        <w:tc>
          <w:tcPr>
            <w:tcW w:w="1928" w:type="dxa"/>
            <w:tcBorders>
              <w:top w:val="single" w:sz="2" w:space="0" w:color="auto"/>
              <w:left w:val="single" w:sz="2" w:space="0" w:color="auto"/>
              <w:bottom w:val="single" w:sz="2" w:space="0" w:color="auto"/>
              <w:right w:val="single" w:sz="2" w:space="0" w:color="auto"/>
            </w:tcBorders>
            <w:vAlign w:val="center"/>
          </w:tcPr>
          <w:p w14:paraId="7676356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05</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19</w:t>
            </w:r>
            <w:r w:rsidRPr="005A284F">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2FEB354A" w14:textId="77777777" w:rsidR="006C011D" w:rsidRPr="005A284F" w:rsidRDefault="00000000" w:rsidP="00CB7CD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换届</w:t>
            </w:r>
          </w:p>
        </w:tc>
      </w:tr>
      <w:tr w:rsidR="006C011D" w:rsidRPr="005A284F" w14:paraId="2691A42D"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502EA48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刘婧</w:t>
            </w:r>
          </w:p>
        </w:tc>
        <w:tc>
          <w:tcPr>
            <w:tcW w:w="1928" w:type="dxa"/>
            <w:tcBorders>
              <w:top w:val="single" w:sz="2" w:space="0" w:color="auto"/>
              <w:left w:val="single" w:sz="2" w:space="0" w:color="auto"/>
              <w:bottom w:val="single" w:sz="2" w:space="0" w:color="auto"/>
              <w:right w:val="single" w:sz="2" w:space="0" w:color="auto"/>
            </w:tcBorders>
            <w:vAlign w:val="center"/>
          </w:tcPr>
          <w:p w14:paraId="286BA2D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董事</w:t>
            </w:r>
          </w:p>
        </w:tc>
        <w:tc>
          <w:tcPr>
            <w:tcW w:w="1928" w:type="dxa"/>
            <w:tcBorders>
              <w:top w:val="single" w:sz="2" w:space="0" w:color="auto"/>
              <w:left w:val="single" w:sz="2" w:space="0" w:color="auto"/>
              <w:bottom w:val="single" w:sz="2" w:space="0" w:color="auto"/>
              <w:right w:val="single" w:sz="2" w:space="0" w:color="auto"/>
            </w:tcBorders>
            <w:vAlign w:val="center"/>
          </w:tcPr>
          <w:p w14:paraId="4453085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被选举</w:t>
            </w:r>
          </w:p>
        </w:tc>
        <w:tc>
          <w:tcPr>
            <w:tcW w:w="1928" w:type="dxa"/>
            <w:tcBorders>
              <w:top w:val="single" w:sz="2" w:space="0" w:color="auto"/>
              <w:left w:val="single" w:sz="2" w:space="0" w:color="auto"/>
              <w:bottom w:val="single" w:sz="2" w:space="0" w:color="auto"/>
              <w:right w:val="single" w:sz="2" w:space="0" w:color="auto"/>
            </w:tcBorders>
            <w:vAlign w:val="center"/>
          </w:tcPr>
          <w:p w14:paraId="4073E39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05</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19</w:t>
            </w:r>
            <w:r w:rsidRPr="005A284F">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38EE3C72" w14:textId="77777777" w:rsidR="006C011D" w:rsidRPr="005A284F" w:rsidRDefault="00000000" w:rsidP="00CB7CD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换届</w:t>
            </w:r>
          </w:p>
        </w:tc>
      </w:tr>
      <w:tr w:rsidR="006C011D" w:rsidRPr="005A284F" w14:paraId="5B736A51"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C54261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罗云燕</w:t>
            </w:r>
          </w:p>
        </w:tc>
        <w:tc>
          <w:tcPr>
            <w:tcW w:w="1928" w:type="dxa"/>
            <w:tcBorders>
              <w:top w:val="single" w:sz="2" w:space="0" w:color="auto"/>
              <w:left w:val="single" w:sz="2" w:space="0" w:color="auto"/>
              <w:bottom w:val="single" w:sz="2" w:space="0" w:color="auto"/>
              <w:right w:val="single" w:sz="2" w:space="0" w:color="auto"/>
            </w:tcBorders>
            <w:vAlign w:val="center"/>
          </w:tcPr>
          <w:p w14:paraId="0347299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董事</w:t>
            </w:r>
          </w:p>
        </w:tc>
        <w:tc>
          <w:tcPr>
            <w:tcW w:w="1928" w:type="dxa"/>
            <w:tcBorders>
              <w:top w:val="single" w:sz="2" w:space="0" w:color="auto"/>
              <w:left w:val="single" w:sz="2" w:space="0" w:color="auto"/>
              <w:bottom w:val="single" w:sz="2" w:space="0" w:color="auto"/>
              <w:right w:val="single" w:sz="2" w:space="0" w:color="auto"/>
            </w:tcBorders>
            <w:vAlign w:val="center"/>
          </w:tcPr>
          <w:p w14:paraId="5C132D6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被选举</w:t>
            </w:r>
          </w:p>
        </w:tc>
        <w:tc>
          <w:tcPr>
            <w:tcW w:w="1928" w:type="dxa"/>
            <w:tcBorders>
              <w:top w:val="single" w:sz="2" w:space="0" w:color="auto"/>
              <w:left w:val="single" w:sz="2" w:space="0" w:color="auto"/>
              <w:bottom w:val="single" w:sz="2" w:space="0" w:color="auto"/>
              <w:right w:val="single" w:sz="2" w:space="0" w:color="auto"/>
            </w:tcBorders>
            <w:vAlign w:val="center"/>
          </w:tcPr>
          <w:p w14:paraId="66C2381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05</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19</w:t>
            </w:r>
            <w:r w:rsidRPr="005A284F">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43EFA400" w14:textId="77777777" w:rsidR="006C011D" w:rsidRPr="005A284F" w:rsidRDefault="00000000" w:rsidP="00CB7CD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换届</w:t>
            </w:r>
          </w:p>
        </w:tc>
      </w:tr>
      <w:tr w:rsidR="006C011D" w:rsidRPr="005A284F" w14:paraId="35D3CB63"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75C288D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吴战宗</w:t>
            </w:r>
          </w:p>
        </w:tc>
        <w:tc>
          <w:tcPr>
            <w:tcW w:w="1928" w:type="dxa"/>
            <w:tcBorders>
              <w:top w:val="single" w:sz="2" w:space="0" w:color="auto"/>
              <w:left w:val="single" w:sz="2" w:space="0" w:color="auto"/>
              <w:bottom w:val="single" w:sz="2" w:space="0" w:color="auto"/>
              <w:right w:val="single" w:sz="2" w:space="0" w:color="auto"/>
            </w:tcBorders>
            <w:vAlign w:val="center"/>
          </w:tcPr>
          <w:p w14:paraId="430914D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职工代表董事</w:t>
            </w:r>
          </w:p>
        </w:tc>
        <w:tc>
          <w:tcPr>
            <w:tcW w:w="1928" w:type="dxa"/>
            <w:tcBorders>
              <w:top w:val="single" w:sz="2" w:space="0" w:color="auto"/>
              <w:left w:val="single" w:sz="2" w:space="0" w:color="auto"/>
              <w:bottom w:val="single" w:sz="2" w:space="0" w:color="auto"/>
              <w:right w:val="single" w:sz="2" w:space="0" w:color="auto"/>
            </w:tcBorders>
            <w:vAlign w:val="center"/>
          </w:tcPr>
          <w:p w14:paraId="4E709F6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被选举</w:t>
            </w:r>
          </w:p>
        </w:tc>
        <w:tc>
          <w:tcPr>
            <w:tcW w:w="1928" w:type="dxa"/>
            <w:tcBorders>
              <w:top w:val="single" w:sz="2" w:space="0" w:color="auto"/>
              <w:left w:val="single" w:sz="2" w:space="0" w:color="auto"/>
              <w:bottom w:val="single" w:sz="2" w:space="0" w:color="auto"/>
              <w:right w:val="single" w:sz="2" w:space="0" w:color="auto"/>
            </w:tcBorders>
            <w:vAlign w:val="center"/>
          </w:tcPr>
          <w:p w14:paraId="51A0B19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05</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19</w:t>
            </w:r>
            <w:r w:rsidRPr="005A284F">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CCB143B" w14:textId="77777777" w:rsidR="006C011D" w:rsidRPr="005A284F" w:rsidRDefault="00000000" w:rsidP="00CB7CD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换届</w:t>
            </w:r>
          </w:p>
        </w:tc>
      </w:tr>
      <w:tr w:rsidR="006C011D" w:rsidRPr="005A284F" w14:paraId="17DD45BE"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192E786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郭锐</w:t>
            </w:r>
          </w:p>
        </w:tc>
        <w:tc>
          <w:tcPr>
            <w:tcW w:w="1928" w:type="dxa"/>
            <w:tcBorders>
              <w:top w:val="single" w:sz="2" w:space="0" w:color="auto"/>
              <w:left w:val="single" w:sz="2" w:space="0" w:color="auto"/>
              <w:bottom w:val="single" w:sz="2" w:space="0" w:color="auto"/>
              <w:right w:val="single" w:sz="2" w:space="0" w:color="auto"/>
            </w:tcBorders>
            <w:vAlign w:val="center"/>
          </w:tcPr>
          <w:p w14:paraId="26CD95F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财务总监</w:t>
            </w:r>
          </w:p>
        </w:tc>
        <w:tc>
          <w:tcPr>
            <w:tcW w:w="1928" w:type="dxa"/>
            <w:tcBorders>
              <w:top w:val="single" w:sz="2" w:space="0" w:color="auto"/>
              <w:left w:val="single" w:sz="2" w:space="0" w:color="auto"/>
              <w:bottom w:val="single" w:sz="2" w:space="0" w:color="auto"/>
              <w:right w:val="single" w:sz="2" w:space="0" w:color="auto"/>
            </w:tcBorders>
            <w:vAlign w:val="center"/>
          </w:tcPr>
          <w:p w14:paraId="37FE949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被选举</w:t>
            </w:r>
          </w:p>
        </w:tc>
        <w:tc>
          <w:tcPr>
            <w:tcW w:w="1928" w:type="dxa"/>
            <w:tcBorders>
              <w:top w:val="single" w:sz="2" w:space="0" w:color="auto"/>
              <w:left w:val="single" w:sz="2" w:space="0" w:color="auto"/>
              <w:bottom w:val="single" w:sz="2" w:space="0" w:color="auto"/>
              <w:right w:val="single" w:sz="2" w:space="0" w:color="auto"/>
            </w:tcBorders>
            <w:vAlign w:val="center"/>
          </w:tcPr>
          <w:p w14:paraId="3C986F9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05</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19</w:t>
            </w:r>
            <w:r w:rsidRPr="005A284F">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3EFD561C" w14:textId="77777777" w:rsidR="006C011D" w:rsidRPr="005A284F" w:rsidRDefault="00000000" w:rsidP="00CB7CD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换届</w:t>
            </w:r>
          </w:p>
        </w:tc>
      </w:tr>
    </w:tbl>
    <w:p w14:paraId="1EC94E23"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44" w:name="_Toc988933"/>
      <w:r w:rsidRPr="005A284F">
        <w:rPr>
          <w:rFonts w:ascii="Times New Roman" w:eastAsia="宋体" w:hAnsi="Times New Roman" w:cs="Times New Roman"/>
          <w:b/>
          <w:bCs/>
          <w:sz w:val="24"/>
          <w:szCs w:val="24"/>
        </w:rPr>
        <w:t>二、本报告期利润分配及资本公积金转增股本情况</w:t>
      </w:r>
      <w:bookmarkEnd w:id="44"/>
    </w:p>
    <w:p w14:paraId="2BC74C77" w14:textId="77777777" w:rsidR="006C011D" w:rsidRPr="00CB7CD9" w:rsidRDefault="00000000" w:rsidP="00CB7CD9">
      <w:pPr>
        <w:spacing w:before="100" w:after="100" w:line="240" w:lineRule="exact"/>
        <w:rPr>
          <w:rFonts w:ascii="宋体" w:eastAsia="宋体" w:hAnsi="宋体" w:cs="Times New Roman" w:hint="eastAsia"/>
          <w:sz w:val="18"/>
          <w:szCs w:val="18"/>
        </w:rPr>
      </w:pPr>
      <w:r w:rsidRPr="00CB7CD9">
        <w:rPr>
          <w:rFonts w:ascii="宋体" w:eastAsia="宋体" w:hAnsi="宋体" w:cs="Times New Roman"/>
          <w:sz w:val="18"/>
          <w:szCs w:val="18"/>
        </w:rPr>
        <w:t xml:space="preserve">□适用 </w:t>
      </w:r>
      <w:r w:rsidRPr="00CB7CD9">
        <w:rPr>
          <w:rFonts w:ascii="宋体" w:eastAsia="宋体" w:hAnsi="宋体" w:cs="Times New Roman"/>
          <w:sz w:val="18"/>
          <w:szCs w:val="18"/>
        </w:rPr>
        <w:sym w:font="Wingdings 2" w:char="F052"/>
      </w:r>
      <w:r w:rsidRPr="00CB7CD9">
        <w:rPr>
          <w:rFonts w:ascii="宋体" w:eastAsia="宋体" w:hAnsi="宋体" w:cs="Times New Roman"/>
          <w:sz w:val="18"/>
          <w:szCs w:val="18"/>
        </w:rPr>
        <w:t>不适用</w:t>
      </w:r>
    </w:p>
    <w:p w14:paraId="17CD2A1B"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公司计划半年度不派发现金红利，不送红股，不以公积金转增股本。</w:t>
      </w:r>
    </w:p>
    <w:p w14:paraId="34D4FC1E"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45" w:name="_Toc988934"/>
      <w:r w:rsidRPr="005A284F">
        <w:rPr>
          <w:rFonts w:ascii="Times New Roman" w:eastAsia="宋体" w:hAnsi="Times New Roman" w:cs="Times New Roman"/>
          <w:b/>
          <w:bCs/>
          <w:sz w:val="24"/>
          <w:szCs w:val="24"/>
        </w:rPr>
        <w:t>三、公司股权激励计划、员工持股计划或其他员工激励措施的实施情况</w:t>
      </w:r>
      <w:bookmarkEnd w:id="45"/>
    </w:p>
    <w:p w14:paraId="69D8C81D" w14:textId="77777777" w:rsidR="006C011D" w:rsidRPr="00CB7CD9" w:rsidRDefault="00000000" w:rsidP="00CB7CD9">
      <w:pPr>
        <w:spacing w:before="100" w:after="100" w:line="240" w:lineRule="exact"/>
        <w:rPr>
          <w:rFonts w:ascii="宋体" w:eastAsia="宋体" w:hAnsi="宋体" w:cs="Times New Roman" w:hint="eastAsia"/>
          <w:sz w:val="18"/>
          <w:szCs w:val="18"/>
        </w:rPr>
      </w:pPr>
      <w:r w:rsidRPr="00CB7CD9">
        <w:rPr>
          <w:rFonts w:ascii="宋体" w:eastAsia="宋体" w:hAnsi="宋体" w:cs="Times New Roman"/>
          <w:sz w:val="18"/>
          <w:szCs w:val="18"/>
        </w:rPr>
        <w:t xml:space="preserve">□适用 </w:t>
      </w:r>
      <w:r w:rsidRPr="00CB7CD9">
        <w:rPr>
          <w:rFonts w:ascii="宋体" w:eastAsia="宋体" w:hAnsi="宋体" w:cs="Times New Roman"/>
          <w:sz w:val="18"/>
          <w:szCs w:val="18"/>
        </w:rPr>
        <w:sym w:font="Wingdings 2" w:char="F052"/>
      </w:r>
      <w:r w:rsidRPr="00CB7CD9">
        <w:rPr>
          <w:rFonts w:ascii="宋体" w:eastAsia="宋体" w:hAnsi="宋体" w:cs="Times New Roman"/>
          <w:sz w:val="18"/>
          <w:szCs w:val="18"/>
        </w:rPr>
        <w:t>不适用</w:t>
      </w:r>
    </w:p>
    <w:p w14:paraId="3C81E9BC"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公司报告期无股权激励计划、员工持股计划或其他员工激励措施及其实施情况。</w:t>
      </w:r>
    </w:p>
    <w:p w14:paraId="5EF0AC09"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46" w:name="_Toc988935"/>
      <w:r w:rsidRPr="005A284F">
        <w:rPr>
          <w:rFonts w:ascii="Times New Roman" w:eastAsia="宋体" w:hAnsi="Times New Roman" w:cs="Times New Roman"/>
          <w:b/>
          <w:bCs/>
          <w:sz w:val="24"/>
          <w:szCs w:val="24"/>
        </w:rPr>
        <w:t>四、环境信息披露情况</w:t>
      </w:r>
      <w:bookmarkEnd w:id="46"/>
    </w:p>
    <w:p w14:paraId="5204ADD6"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上市公司及其主要子公司是否纳入环境信息依法披露企业名单</w:t>
      </w:r>
    </w:p>
    <w:p w14:paraId="188DB90C" w14:textId="77777777" w:rsidR="006C011D" w:rsidRPr="00CB7CD9" w:rsidRDefault="00000000" w:rsidP="00CB7CD9">
      <w:pPr>
        <w:spacing w:before="100" w:after="100" w:line="240" w:lineRule="exact"/>
        <w:rPr>
          <w:rFonts w:ascii="宋体" w:eastAsia="宋体" w:hAnsi="宋体" w:cs="Times New Roman" w:hint="eastAsia"/>
          <w:sz w:val="18"/>
          <w:szCs w:val="18"/>
        </w:rPr>
      </w:pPr>
      <w:r w:rsidRPr="00CB7CD9">
        <w:rPr>
          <w:rFonts w:ascii="宋体" w:eastAsia="宋体" w:hAnsi="宋体" w:cs="Times New Roman"/>
          <w:sz w:val="18"/>
          <w:szCs w:val="18"/>
        </w:rPr>
        <w:sym w:font="Wingdings 2" w:char="F052"/>
      </w:r>
      <w:r w:rsidRPr="00CB7CD9">
        <w:rPr>
          <w:rFonts w:ascii="宋体" w:eastAsia="宋体" w:hAnsi="宋体" w:cs="Times New Roman"/>
          <w:sz w:val="18"/>
          <w:szCs w:val="18"/>
        </w:rPr>
        <w:t>是 □否</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1"/>
        <w:gridCol w:w="2835"/>
        <w:gridCol w:w="5953"/>
      </w:tblGrid>
      <w:tr w:rsidR="006C011D" w:rsidRPr="005A284F" w14:paraId="196D3B49" w14:textId="77777777" w:rsidTr="00CB7CD9">
        <w:trPr>
          <w:trHeight w:val="240"/>
        </w:trPr>
        <w:tc>
          <w:tcPr>
            <w:tcW w:w="368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000ADB8"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纳入环境信息依法披露企业名单中的企业数量（家）</w:t>
            </w:r>
          </w:p>
        </w:tc>
        <w:tc>
          <w:tcPr>
            <w:tcW w:w="5953" w:type="dxa"/>
            <w:tcBorders>
              <w:top w:val="single" w:sz="2" w:space="0" w:color="auto"/>
              <w:left w:val="single" w:sz="2" w:space="0" w:color="auto"/>
              <w:bottom w:val="single" w:sz="2" w:space="0" w:color="auto"/>
              <w:right w:val="single" w:sz="2" w:space="0" w:color="auto"/>
            </w:tcBorders>
            <w:vAlign w:val="center"/>
          </w:tcPr>
          <w:p w14:paraId="051533B4" w14:textId="77777777" w:rsidR="006C011D" w:rsidRPr="005A284F" w:rsidRDefault="00000000" w:rsidP="00CB7CD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8</w:t>
            </w:r>
          </w:p>
        </w:tc>
      </w:tr>
      <w:tr w:rsidR="006C011D" w:rsidRPr="005A284F" w14:paraId="1D4D4279" w14:textId="77777777" w:rsidTr="00CB7CD9">
        <w:trPr>
          <w:trHeight w:val="240"/>
        </w:trPr>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0E88308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序号</w:t>
            </w:r>
          </w:p>
        </w:tc>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14:paraId="19BA1F5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企业名称</w:t>
            </w:r>
          </w:p>
        </w:tc>
        <w:tc>
          <w:tcPr>
            <w:tcW w:w="5953" w:type="dxa"/>
            <w:tcBorders>
              <w:top w:val="single" w:sz="2" w:space="0" w:color="auto"/>
              <w:left w:val="single" w:sz="2" w:space="0" w:color="auto"/>
              <w:bottom w:val="single" w:sz="2" w:space="0" w:color="auto"/>
              <w:right w:val="single" w:sz="2" w:space="0" w:color="auto"/>
            </w:tcBorders>
            <w:shd w:val="clear" w:color="auto" w:fill="D3D3D3"/>
            <w:vAlign w:val="center"/>
          </w:tcPr>
          <w:p w14:paraId="1451B30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环境信息依法披露报告的查询索引</w:t>
            </w:r>
          </w:p>
        </w:tc>
      </w:tr>
      <w:tr w:rsidR="006C011D" w:rsidRPr="005A284F" w14:paraId="65969106" w14:textId="77777777" w:rsidTr="00CB7CD9">
        <w:trPr>
          <w:trHeight w:val="240"/>
        </w:trPr>
        <w:tc>
          <w:tcPr>
            <w:tcW w:w="851" w:type="dxa"/>
            <w:tcBorders>
              <w:top w:val="single" w:sz="2" w:space="0" w:color="auto"/>
              <w:left w:val="single" w:sz="2" w:space="0" w:color="auto"/>
              <w:bottom w:val="single" w:sz="2" w:space="0" w:color="auto"/>
              <w:right w:val="single" w:sz="2" w:space="0" w:color="auto"/>
            </w:tcBorders>
            <w:vAlign w:val="center"/>
          </w:tcPr>
          <w:p w14:paraId="37FBE14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1</w:t>
            </w:r>
          </w:p>
        </w:tc>
        <w:tc>
          <w:tcPr>
            <w:tcW w:w="2835" w:type="dxa"/>
            <w:tcBorders>
              <w:top w:val="single" w:sz="2" w:space="0" w:color="auto"/>
              <w:left w:val="single" w:sz="2" w:space="0" w:color="auto"/>
              <w:bottom w:val="single" w:sz="2" w:space="0" w:color="auto"/>
              <w:right w:val="single" w:sz="2" w:space="0" w:color="auto"/>
            </w:tcBorders>
            <w:vAlign w:val="center"/>
          </w:tcPr>
          <w:p w14:paraId="54FDC83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山东龙大美食股份有限公司</w:t>
            </w:r>
          </w:p>
        </w:tc>
        <w:tc>
          <w:tcPr>
            <w:tcW w:w="5953" w:type="dxa"/>
            <w:tcBorders>
              <w:top w:val="single" w:sz="2" w:space="0" w:color="auto"/>
              <w:left w:val="single" w:sz="2" w:space="0" w:color="auto"/>
              <w:bottom w:val="single" w:sz="2" w:space="0" w:color="auto"/>
              <w:right w:val="single" w:sz="2" w:space="0" w:color="auto"/>
            </w:tcBorders>
            <w:vAlign w:val="center"/>
          </w:tcPr>
          <w:p w14:paraId="26F6D00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https://permit.mee.gov.cn/perxxgkinfo/xkgkAction!xkgk.action?xkgk=getxxgkContent&amp;dataid=e6b248714ead4c34a075923cc1744937</w:t>
            </w:r>
          </w:p>
        </w:tc>
      </w:tr>
      <w:tr w:rsidR="006C011D" w:rsidRPr="005A284F" w14:paraId="6DAE3635" w14:textId="77777777" w:rsidTr="00CB7CD9">
        <w:trPr>
          <w:trHeight w:val="240"/>
        </w:trPr>
        <w:tc>
          <w:tcPr>
            <w:tcW w:w="851" w:type="dxa"/>
            <w:tcBorders>
              <w:top w:val="single" w:sz="2" w:space="0" w:color="auto"/>
              <w:left w:val="single" w:sz="2" w:space="0" w:color="auto"/>
              <w:bottom w:val="single" w:sz="2" w:space="0" w:color="auto"/>
              <w:right w:val="single" w:sz="2" w:space="0" w:color="auto"/>
            </w:tcBorders>
            <w:vAlign w:val="center"/>
          </w:tcPr>
          <w:p w14:paraId="5C468B2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w:t>
            </w:r>
          </w:p>
        </w:tc>
        <w:tc>
          <w:tcPr>
            <w:tcW w:w="2835" w:type="dxa"/>
            <w:tcBorders>
              <w:top w:val="single" w:sz="2" w:space="0" w:color="auto"/>
              <w:left w:val="single" w:sz="2" w:space="0" w:color="auto"/>
              <w:bottom w:val="single" w:sz="2" w:space="0" w:color="auto"/>
              <w:right w:val="single" w:sz="2" w:space="0" w:color="auto"/>
            </w:tcBorders>
            <w:vAlign w:val="center"/>
          </w:tcPr>
          <w:p w14:paraId="1954B68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巴中龙大肉食品有限公司</w:t>
            </w:r>
          </w:p>
        </w:tc>
        <w:tc>
          <w:tcPr>
            <w:tcW w:w="5953" w:type="dxa"/>
            <w:tcBorders>
              <w:top w:val="single" w:sz="2" w:space="0" w:color="auto"/>
              <w:left w:val="single" w:sz="2" w:space="0" w:color="auto"/>
              <w:bottom w:val="single" w:sz="2" w:space="0" w:color="auto"/>
              <w:right w:val="single" w:sz="2" w:space="0" w:color="auto"/>
            </w:tcBorders>
            <w:vAlign w:val="center"/>
          </w:tcPr>
          <w:p w14:paraId="61EA1ED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https://permit.mee.gov.cn/perxxgkinfo/xkgkAction!xkgk.action?xkgk=getxxgkContent&amp;dataid=4af4afc3805d4964b2c96b74f9981a25</w:t>
            </w:r>
          </w:p>
        </w:tc>
      </w:tr>
      <w:tr w:rsidR="006C011D" w:rsidRPr="005A284F" w14:paraId="43BF9ECB" w14:textId="77777777" w:rsidTr="00CB7CD9">
        <w:trPr>
          <w:trHeight w:val="240"/>
        </w:trPr>
        <w:tc>
          <w:tcPr>
            <w:tcW w:w="851" w:type="dxa"/>
            <w:tcBorders>
              <w:top w:val="single" w:sz="2" w:space="0" w:color="auto"/>
              <w:left w:val="single" w:sz="2" w:space="0" w:color="auto"/>
              <w:bottom w:val="single" w:sz="2" w:space="0" w:color="auto"/>
              <w:right w:val="single" w:sz="2" w:space="0" w:color="auto"/>
            </w:tcBorders>
            <w:vAlign w:val="center"/>
          </w:tcPr>
          <w:p w14:paraId="4F62851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3</w:t>
            </w:r>
          </w:p>
        </w:tc>
        <w:tc>
          <w:tcPr>
            <w:tcW w:w="2835" w:type="dxa"/>
            <w:tcBorders>
              <w:top w:val="single" w:sz="2" w:space="0" w:color="auto"/>
              <w:left w:val="single" w:sz="2" w:space="0" w:color="auto"/>
              <w:bottom w:val="single" w:sz="2" w:space="0" w:color="auto"/>
              <w:right w:val="single" w:sz="2" w:space="0" w:color="auto"/>
            </w:tcBorders>
            <w:vAlign w:val="center"/>
          </w:tcPr>
          <w:p w14:paraId="11999F1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江苏龙大沁侬食品有限公司</w:t>
            </w:r>
          </w:p>
        </w:tc>
        <w:tc>
          <w:tcPr>
            <w:tcW w:w="5953" w:type="dxa"/>
            <w:tcBorders>
              <w:top w:val="single" w:sz="2" w:space="0" w:color="auto"/>
              <w:left w:val="single" w:sz="2" w:space="0" w:color="auto"/>
              <w:bottom w:val="single" w:sz="2" w:space="0" w:color="auto"/>
              <w:right w:val="single" w:sz="2" w:space="0" w:color="auto"/>
            </w:tcBorders>
            <w:vAlign w:val="center"/>
          </w:tcPr>
          <w:p w14:paraId="4D795BB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https://permit.mee.gov.cn/perxxgkinfo/xkgkAction!xkgk.action?xkgk=getxxgkContent&amp;dataid=72cec5d3f82643ccba72ae9b2737ac11</w:t>
            </w:r>
          </w:p>
        </w:tc>
      </w:tr>
      <w:tr w:rsidR="006C011D" w:rsidRPr="005A284F" w14:paraId="436C95C5" w14:textId="77777777" w:rsidTr="00CB7CD9">
        <w:trPr>
          <w:trHeight w:val="240"/>
        </w:trPr>
        <w:tc>
          <w:tcPr>
            <w:tcW w:w="851" w:type="dxa"/>
            <w:tcBorders>
              <w:top w:val="single" w:sz="2" w:space="0" w:color="auto"/>
              <w:left w:val="single" w:sz="2" w:space="0" w:color="auto"/>
              <w:bottom w:val="single" w:sz="2" w:space="0" w:color="auto"/>
              <w:right w:val="single" w:sz="2" w:space="0" w:color="auto"/>
            </w:tcBorders>
            <w:vAlign w:val="center"/>
          </w:tcPr>
          <w:p w14:paraId="293BB78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4</w:t>
            </w:r>
          </w:p>
        </w:tc>
        <w:tc>
          <w:tcPr>
            <w:tcW w:w="2835" w:type="dxa"/>
            <w:tcBorders>
              <w:top w:val="single" w:sz="2" w:space="0" w:color="auto"/>
              <w:left w:val="single" w:sz="2" w:space="0" w:color="auto"/>
              <w:bottom w:val="single" w:sz="2" w:space="0" w:color="auto"/>
              <w:right w:val="single" w:sz="2" w:space="0" w:color="auto"/>
            </w:tcBorders>
            <w:vAlign w:val="center"/>
          </w:tcPr>
          <w:p w14:paraId="72FB769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聊城龙大肉食品有限公司</w:t>
            </w:r>
          </w:p>
        </w:tc>
        <w:tc>
          <w:tcPr>
            <w:tcW w:w="5953" w:type="dxa"/>
            <w:tcBorders>
              <w:top w:val="single" w:sz="2" w:space="0" w:color="auto"/>
              <w:left w:val="single" w:sz="2" w:space="0" w:color="auto"/>
              <w:bottom w:val="single" w:sz="2" w:space="0" w:color="auto"/>
              <w:right w:val="single" w:sz="2" w:space="0" w:color="auto"/>
            </w:tcBorders>
            <w:vAlign w:val="center"/>
          </w:tcPr>
          <w:p w14:paraId="3401C84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https://permit.mee.gov.cn/perxxgkinfo/xkgkAction!xkgk.action?xkgk=getxxgkContent&amp;dataid=63e8cccf348e4cdcb66c622d7cdaa2de</w:t>
            </w:r>
          </w:p>
        </w:tc>
      </w:tr>
      <w:tr w:rsidR="006C011D" w:rsidRPr="005A284F" w14:paraId="1584F17D" w14:textId="77777777" w:rsidTr="00CB7CD9">
        <w:trPr>
          <w:trHeight w:val="240"/>
        </w:trPr>
        <w:tc>
          <w:tcPr>
            <w:tcW w:w="851" w:type="dxa"/>
            <w:tcBorders>
              <w:top w:val="single" w:sz="2" w:space="0" w:color="auto"/>
              <w:left w:val="single" w:sz="2" w:space="0" w:color="auto"/>
              <w:bottom w:val="single" w:sz="2" w:space="0" w:color="auto"/>
              <w:right w:val="single" w:sz="2" w:space="0" w:color="auto"/>
            </w:tcBorders>
            <w:vAlign w:val="center"/>
          </w:tcPr>
          <w:p w14:paraId="37BA81D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5</w:t>
            </w:r>
          </w:p>
        </w:tc>
        <w:tc>
          <w:tcPr>
            <w:tcW w:w="2835" w:type="dxa"/>
            <w:tcBorders>
              <w:top w:val="single" w:sz="2" w:space="0" w:color="auto"/>
              <w:left w:val="single" w:sz="2" w:space="0" w:color="auto"/>
              <w:bottom w:val="single" w:sz="2" w:space="0" w:color="auto"/>
              <w:right w:val="single" w:sz="2" w:space="0" w:color="auto"/>
            </w:tcBorders>
            <w:vAlign w:val="center"/>
          </w:tcPr>
          <w:p w14:paraId="0913850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潍坊振祥食品有限公司</w:t>
            </w:r>
          </w:p>
        </w:tc>
        <w:tc>
          <w:tcPr>
            <w:tcW w:w="5953" w:type="dxa"/>
            <w:tcBorders>
              <w:top w:val="single" w:sz="2" w:space="0" w:color="auto"/>
              <w:left w:val="single" w:sz="2" w:space="0" w:color="auto"/>
              <w:bottom w:val="single" w:sz="2" w:space="0" w:color="auto"/>
              <w:right w:val="single" w:sz="2" w:space="0" w:color="auto"/>
            </w:tcBorders>
            <w:vAlign w:val="center"/>
          </w:tcPr>
          <w:p w14:paraId="4CE2027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https://permit.mee.gov.cn/perxxgkinfo/xkgkAction!xkgk.action?xkgk=getxxgk</w:t>
            </w:r>
            <w:r w:rsidRPr="005A284F">
              <w:rPr>
                <w:rFonts w:ascii="Times New Roman" w:eastAsia="宋体" w:hAnsi="Times New Roman" w:cs="Times New Roman"/>
                <w:sz w:val="18"/>
                <w:szCs w:val="18"/>
              </w:rPr>
              <w:lastRenderedPageBreak/>
              <w:t>Content&amp;dataid=61d5d4099b04467b8c192a1b735f495c</w:t>
            </w:r>
          </w:p>
        </w:tc>
      </w:tr>
      <w:tr w:rsidR="006C011D" w:rsidRPr="005A284F" w14:paraId="6806A379" w14:textId="77777777" w:rsidTr="00CB7CD9">
        <w:trPr>
          <w:trHeight w:val="240"/>
        </w:trPr>
        <w:tc>
          <w:tcPr>
            <w:tcW w:w="851" w:type="dxa"/>
            <w:tcBorders>
              <w:top w:val="single" w:sz="2" w:space="0" w:color="auto"/>
              <w:left w:val="single" w:sz="2" w:space="0" w:color="auto"/>
              <w:bottom w:val="single" w:sz="2" w:space="0" w:color="auto"/>
              <w:right w:val="single" w:sz="2" w:space="0" w:color="auto"/>
            </w:tcBorders>
            <w:vAlign w:val="center"/>
          </w:tcPr>
          <w:p w14:paraId="2830F79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6</w:t>
            </w:r>
          </w:p>
        </w:tc>
        <w:tc>
          <w:tcPr>
            <w:tcW w:w="2835" w:type="dxa"/>
            <w:tcBorders>
              <w:top w:val="single" w:sz="2" w:space="0" w:color="auto"/>
              <w:left w:val="single" w:sz="2" w:space="0" w:color="auto"/>
              <w:bottom w:val="single" w:sz="2" w:space="0" w:color="auto"/>
              <w:right w:val="single" w:sz="2" w:space="0" w:color="auto"/>
            </w:tcBorders>
            <w:vAlign w:val="center"/>
          </w:tcPr>
          <w:p w14:paraId="79982C8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蓬莱富龙肉食品有限公司</w:t>
            </w:r>
          </w:p>
        </w:tc>
        <w:tc>
          <w:tcPr>
            <w:tcW w:w="5953" w:type="dxa"/>
            <w:tcBorders>
              <w:top w:val="single" w:sz="2" w:space="0" w:color="auto"/>
              <w:left w:val="single" w:sz="2" w:space="0" w:color="auto"/>
              <w:bottom w:val="single" w:sz="2" w:space="0" w:color="auto"/>
              <w:right w:val="single" w:sz="2" w:space="0" w:color="auto"/>
            </w:tcBorders>
            <w:vAlign w:val="center"/>
          </w:tcPr>
          <w:p w14:paraId="5DF0555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https://permit.mee.gov.cn/perxxgkinfo/xkgkAction!xkgk.action?xkgk=getxxgkContent&amp;dataid=d511a7946ed14be89fe8b6ad34b5fe0c</w:t>
            </w:r>
          </w:p>
        </w:tc>
      </w:tr>
      <w:tr w:rsidR="006C011D" w:rsidRPr="005A284F" w14:paraId="59B26369" w14:textId="77777777" w:rsidTr="00CB7CD9">
        <w:trPr>
          <w:trHeight w:val="240"/>
        </w:trPr>
        <w:tc>
          <w:tcPr>
            <w:tcW w:w="851" w:type="dxa"/>
            <w:tcBorders>
              <w:top w:val="single" w:sz="2" w:space="0" w:color="auto"/>
              <w:left w:val="single" w:sz="2" w:space="0" w:color="auto"/>
              <w:bottom w:val="single" w:sz="2" w:space="0" w:color="auto"/>
              <w:right w:val="single" w:sz="2" w:space="0" w:color="auto"/>
            </w:tcBorders>
            <w:vAlign w:val="center"/>
          </w:tcPr>
          <w:p w14:paraId="61BA53F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7</w:t>
            </w:r>
          </w:p>
        </w:tc>
        <w:tc>
          <w:tcPr>
            <w:tcW w:w="2835" w:type="dxa"/>
            <w:tcBorders>
              <w:top w:val="single" w:sz="2" w:space="0" w:color="auto"/>
              <w:left w:val="single" w:sz="2" w:space="0" w:color="auto"/>
              <w:bottom w:val="single" w:sz="2" w:space="0" w:color="auto"/>
              <w:right w:val="single" w:sz="2" w:space="0" w:color="auto"/>
            </w:tcBorders>
            <w:vAlign w:val="center"/>
          </w:tcPr>
          <w:p w14:paraId="4434F47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河南龙大牧原肉食品有限公司</w:t>
            </w:r>
          </w:p>
        </w:tc>
        <w:tc>
          <w:tcPr>
            <w:tcW w:w="5953" w:type="dxa"/>
            <w:tcBorders>
              <w:top w:val="single" w:sz="2" w:space="0" w:color="auto"/>
              <w:left w:val="single" w:sz="2" w:space="0" w:color="auto"/>
              <w:bottom w:val="single" w:sz="2" w:space="0" w:color="auto"/>
              <w:right w:val="single" w:sz="2" w:space="0" w:color="auto"/>
            </w:tcBorders>
            <w:vAlign w:val="center"/>
          </w:tcPr>
          <w:p w14:paraId="3E94489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https://permit.mee.gov.cn/perxxgkinfo/xkgkAction!xkgk.action?xkgk=getxxgkContent&amp;dataid=6f277919d1b94ee29842b4df7670a8d0</w:t>
            </w:r>
          </w:p>
        </w:tc>
      </w:tr>
      <w:tr w:rsidR="006C011D" w:rsidRPr="005A284F" w14:paraId="4A038913" w14:textId="77777777" w:rsidTr="00CB7CD9">
        <w:trPr>
          <w:trHeight w:val="240"/>
        </w:trPr>
        <w:tc>
          <w:tcPr>
            <w:tcW w:w="851" w:type="dxa"/>
            <w:tcBorders>
              <w:top w:val="single" w:sz="2" w:space="0" w:color="auto"/>
              <w:left w:val="single" w:sz="2" w:space="0" w:color="auto"/>
              <w:bottom w:val="single" w:sz="2" w:space="0" w:color="auto"/>
              <w:right w:val="single" w:sz="2" w:space="0" w:color="auto"/>
            </w:tcBorders>
            <w:vAlign w:val="center"/>
          </w:tcPr>
          <w:p w14:paraId="2B9C8BB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8</w:t>
            </w:r>
          </w:p>
        </w:tc>
        <w:tc>
          <w:tcPr>
            <w:tcW w:w="2835" w:type="dxa"/>
            <w:tcBorders>
              <w:top w:val="single" w:sz="2" w:space="0" w:color="auto"/>
              <w:left w:val="single" w:sz="2" w:space="0" w:color="auto"/>
              <w:bottom w:val="single" w:sz="2" w:space="0" w:color="auto"/>
              <w:right w:val="single" w:sz="2" w:space="0" w:color="auto"/>
            </w:tcBorders>
            <w:vAlign w:val="center"/>
          </w:tcPr>
          <w:p w14:paraId="2FA8936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黑龙江龙大肉食品有限公司</w:t>
            </w:r>
          </w:p>
        </w:tc>
        <w:tc>
          <w:tcPr>
            <w:tcW w:w="5953" w:type="dxa"/>
            <w:tcBorders>
              <w:top w:val="single" w:sz="2" w:space="0" w:color="auto"/>
              <w:left w:val="single" w:sz="2" w:space="0" w:color="auto"/>
              <w:bottom w:val="single" w:sz="2" w:space="0" w:color="auto"/>
              <w:right w:val="single" w:sz="2" w:space="0" w:color="auto"/>
            </w:tcBorders>
            <w:vAlign w:val="center"/>
          </w:tcPr>
          <w:p w14:paraId="712C429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https://permit.mee.gov.cn/perxxgkinfo/xkgkAction!xkgk.action?xkgk=getxxgkContent&amp;dataid=1c4eff2b85974c06982807640560ed9b</w:t>
            </w:r>
          </w:p>
        </w:tc>
      </w:tr>
    </w:tbl>
    <w:p w14:paraId="04AE7F3D"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47" w:name="_Toc988936"/>
      <w:r w:rsidRPr="005A284F">
        <w:rPr>
          <w:rFonts w:ascii="Times New Roman" w:eastAsia="宋体" w:hAnsi="Times New Roman" w:cs="Times New Roman"/>
          <w:b/>
          <w:bCs/>
          <w:sz w:val="24"/>
          <w:szCs w:val="24"/>
        </w:rPr>
        <w:t>五、社会责任情况</w:t>
      </w:r>
      <w:bookmarkEnd w:id="47"/>
    </w:p>
    <w:p w14:paraId="3553F8C3" w14:textId="77777777" w:rsidR="000309B5" w:rsidRPr="005A284F" w:rsidRDefault="00000000" w:rsidP="00942F08">
      <w:pPr>
        <w:pStyle w:val="a3"/>
        <w:spacing w:before="0" w:beforeAutospacing="0" w:after="0" w:afterAutospacing="0" w:line="360" w:lineRule="auto"/>
        <w:ind w:left="40" w:right="40" w:firstLineChars="200" w:firstLine="360"/>
        <w:jc w:val="both"/>
        <w:divId w:val="1838499959"/>
        <w:rPr>
          <w:rFonts w:ascii="Times New Roman" w:hAnsi="Times New Roman" w:cs="Times New Roman"/>
        </w:rPr>
      </w:pPr>
      <w:r w:rsidRPr="005A284F">
        <w:rPr>
          <w:rFonts w:ascii="Times New Roman" w:hAnsi="Times New Roman" w:cs="Times New Roman"/>
          <w:color w:val="000000"/>
          <w:sz w:val="18"/>
          <w:szCs w:val="18"/>
        </w:rPr>
        <w:t>报告期内，公司不断优化生产经营管理，积极开拓市场，在公司发展壮大的同时，积极履行社会责任。</w:t>
      </w:r>
      <w:r w:rsidRPr="005A284F">
        <w:rPr>
          <w:rFonts w:ascii="Times New Roman" w:hAnsi="Times New Roman" w:cs="Times New Roman"/>
          <w:color w:val="000000"/>
          <w:sz w:val="18"/>
          <w:szCs w:val="18"/>
        </w:rPr>
        <w:t xml:space="preserve"> </w:t>
      </w:r>
    </w:p>
    <w:p w14:paraId="717B341E" w14:textId="77777777" w:rsidR="000309B5" w:rsidRPr="005A284F" w:rsidRDefault="00000000" w:rsidP="00CB7CD9">
      <w:pPr>
        <w:pStyle w:val="a3"/>
        <w:spacing w:before="0" w:beforeAutospacing="0" w:after="0" w:afterAutospacing="0" w:line="276" w:lineRule="auto"/>
        <w:ind w:firstLineChars="200" w:firstLine="360"/>
        <w:jc w:val="both"/>
        <w:divId w:val="1838499959"/>
        <w:rPr>
          <w:rFonts w:ascii="Times New Roman" w:hAnsi="Times New Roman" w:cs="Times New Roman"/>
        </w:rPr>
      </w:pPr>
      <w:r w:rsidRPr="005A284F">
        <w:rPr>
          <w:rFonts w:ascii="Times New Roman" w:hAnsi="Times New Roman" w:cs="Times New Roman"/>
          <w:color w:val="000000"/>
          <w:sz w:val="18"/>
          <w:szCs w:val="18"/>
        </w:rPr>
        <w:t>1</w:t>
      </w:r>
      <w:r w:rsidRPr="005A284F">
        <w:rPr>
          <w:rFonts w:ascii="Times New Roman" w:hAnsi="Times New Roman" w:cs="Times New Roman"/>
          <w:color w:val="000000"/>
          <w:sz w:val="18"/>
          <w:szCs w:val="18"/>
        </w:rPr>
        <w:t>、公司治理</w:t>
      </w:r>
    </w:p>
    <w:p w14:paraId="1E8B5697" w14:textId="5A339B2E" w:rsidR="000309B5" w:rsidRPr="005A284F" w:rsidRDefault="00000000" w:rsidP="00CB7CD9">
      <w:pPr>
        <w:pStyle w:val="a3"/>
        <w:spacing w:before="0" w:beforeAutospacing="0" w:after="0" w:afterAutospacing="0" w:line="276" w:lineRule="auto"/>
        <w:ind w:firstLineChars="200" w:firstLine="360"/>
        <w:jc w:val="both"/>
        <w:divId w:val="1838499959"/>
        <w:rPr>
          <w:rFonts w:ascii="Times New Roman" w:hAnsi="Times New Roman" w:cs="Times New Roman"/>
        </w:rPr>
      </w:pPr>
      <w:r w:rsidRPr="005A284F">
        <w:rPr>
          <w:rFonts w:ascii="Times New Roman" w:hAnsi="Times New Roman" w:cs="Times New Roman"/>
          <w:color w:val="000000"/>
          <w:sz w:val="18"/>
          <w:szCs w:val="18"/>
        </w:rPr>
        <w:t>公司按照《中华人民共和国公司法》《中华人民共和国证券法》《上市公司治理准则》和《深圳证券交易所股票上市规则》等法律、法规和规章的要求，建立了规范的公司治理结构，制定了符合公司发展的规则和制度，明确决策、执行、监督等方面的职责权限，形成了有效的职责分工和制衡机制，并不断完善和优化公司治理结构。股东会、董事会以及董事会下设的战略委员会、审计委员会、薪酬与考核委员会、提名委员会分别按其职责行使决策权、执行权和监督权。加强内部控制体系建设，积极推进内控管理变革，推动公司各领域的关键内控点建设工作，优化了公司管理流程，完善了风险机制，提升了风险防范能力，为公司经营管理合法合规、资产安全、财务报告及相关信息的真实、完整提供了合理保障。公司制定了信息披露基本制度，切实履行信息披露义务，严格按照公平、公正、及时的信息披露原则，通过业绩说明会、投资者互动平台、路演等方式，与投资者保持良好沟通，并根据中国证监会和深圳证券交易所的有关要求不断完善信息披露制度，更好地履行信息披露义务。</w:t>
      </w:r>
    </w:p>
    <w:p w14:paraId="6285A3B6" w14:textId="77777777" w:rsidR="000309B5" w:rsidRPr="005A284F" w:rsidRDefault="00000000" w:rsidP="00CB7CD9">
      <w:pPr>
        <w:pStyle w:val="a3"/>
        <w:spacing w:before="0" w:beforeAutospacing="0" w:after="0" w:afterAutospacing="0" w:line="276" w:lineRule="auto"/>
        <w:ind w:firstLineChars="200" w:firstLine="360"/>
        <w:jc w:val="both"/>
        <w:divId w:val="1838499959"/>
        <w:rPr>
          <w:rFonts w:ascii="Times New Roman" w:hAnsi="Times New Roman" w:cs="Times New Roman"/>
        </w:rPr>
      </w:pPr>
      <w:r w:rsidRPr="005A284F">
        <w:rPr>
          <w:rFonts w:ascii="Times New Roman" w:hAnsi="Times New Roman" w:cs="Times New Roman"/>
          <w:color w:val="000000"/>
          <w:sz w:val="18"/>
          <w:szCs w:val="18"/>
        </w:rPr>
        <w:t>2</w:t>
      </w:r>
      <w:r w:rsidRPr="005A284F">
        <w:rPr>
          <w:rFonts w:ascii="Times New Roman" w:hAnsi="Times New Roman" w:cs="Times New Roman"/>
          <w:color w:val="000000"/>
          <w:sz w:val="18"/>
          <w:szCs w:val="18"/>
        </w:rPr>
        <w:t>、安全生产</w:t>
      </w:r>
    </w:p>
    <w:p w14:paraId="3BE67A8C" w14:textId="77777777" w:rsidR="000309B5" w:rsidRPr="005A284F" w:rsidRDefault="00000000" w:rsidP="00CB7CD9">
      <w:pPr>
        <w:pStyle w:val="a3"/>
        <w:spacing w:before="0" w:beforeAutospacing="0" w:after="0" w:afterAutospacing="0" w:line="276" w:lineRule="auto"/>
        <w:ind w:firstLineChars="200" w:firstLine="360"/>
        <w:jc w:val="both"/>
        <w:divId w:val="1838499959"/>
        <w:rPr>
          <w:rFonts w:ascii="Times New Roman" w:hAnsi="Times New Roman" w:cs="Times New Roman"/>
        </w:rPr>
      </w:pPr>
      <w:r w:rsidRPr="005A284F">
        <w:rPr>
          <w:rFonts w:ascii="Times New Roman" w:hAnsi="Times New Roman" w:cs="Times New Roman"/>
          <w:color w:val="000000"/>
          <w:sz w:val="18"/>
          <w:szCs w:val="18"/>
        </w:rPr>
        <w:t>公司遵守《中华人民共和国安全生产法》《工伤保险条例》等法律法规要求，制定安全生产目标，持续规范安全工作管理，落实安全工作责任，开展日常隐患排查、安全风险监测和安全文化宣传等工作，报告期内，公司未发生重大生产安全事故。人员安全管理方面，公司按时组织安全教育培训，实施全员安全能力提升培训工程，强化</w:t>
      </w:r>
      <w:r w:rsidRPr="005A284F">
        <w:rPr>
          <w:rFonts w:ascii="Times New Roman" w:hAnsi="Times New Roman" w:cs="Times New Roman"/>
          <w:color w:val="000000"/>
          <w:sz w:val="18"/>
          <w:szCs w:val="18"/>
        </w:rPr>
        <w:t>“</w:t>
      </w:r>
      <w:r w:rsidRPr="005A284F">
        <w:rPr>
          <w:rFonts w:ascii="Times New Roman" w:hAnsi="Times New Roman" w:cs="Times New Roman"/>
          <w:color w:val="000000"/>
          <w:sz w:val="18"/>
          <w:szCs w:val="18"/>
        </w:rPr>
        <w:t>大学习、大培训、大考试</w:t>
      </w:r>
      <w:r w:rsidRPr="005A284F">
        <w:rPr>
          <w:rFonts w:ascii="Times New Roman" w:hAnsi="Times New Roman" w:cs="Times New Roman"/>
          <w:color w:val="000000"/>
          <w:sz w:val="18"/>
          <w:szCs w:val="18"/>
        </w:rPr>
        <w:t>”</w:t>
      </w:r>
      <w:r w:rsidRPr="005A284F">
        <w:rPr>
          <w:rFonts w:ascii="Times New Roman" w:hAnsi="Times New Roman" w:cs="Times New Roman"/>
          <w:color w:val="000000"/>
          <w:sz w:val="18"/>
          <w:szCs w:val="18"/>
        </w:rPr>
        <w:t>活动，尤其对车间主任、一线操作员工，加强警示教育、定期轮训、实战演练、推动安全意识增强、安全行为规范、安全技能提升。设备安全管理方面，公司采取多种形式对生产设备进行保护，并及时维修设备，排除安全生产隐患；消防安全方面，定期组织消防值班人员及员工进行消防器械操练实训以及紧急应急演练，确保厂区紧急事件能及时快速处理；此外，公司成立了安全管理委员会，实行信息报告制度，要求各单位安全管理机构须每天、每月向安全管理委员会汇报安全管理工作开展情况，对工作中发现的安全隐患，必须同时向各单位负责人和安全管理委员会反馈，确保以合理的方案快速解决。</w:t>
      </w:r>
    </w:p>
    <w:p w14:paraId="13F82940" w14:textId="77777777" w:rsidR="000309B5" w:rsidRPr="005A284F" w:rsidRDefault="00000000" w:rsidP="00CB7CD9">
      <w:pPr>
        <w:pStyle w:val="a3"/>
        <w:spacing w:before="0" w:beforeAutospacing="0" w:after="0" w:afterAutospacing="0" w:line="276" w:lineRule="auto"/>
        <w:ind w:firstLineChars="200" w:firstLine="360"/>
        <w:jc w:val="both"/>
        <w:divId w:val="1838499959"/>
        <w:rPr>
          <w:rFonts w:ascii="Times New Roman" w:hAnsi="Times New Roman" w:cs="Times New Roman"/>
        </w:rPr>
      </w:pPr>
      <w:r w:rsidRPr="005A284F">
        <w:rPr>
          <w:rFonts w:ascii="Times New Roman" w:hAnsi="Times New Roman" w:cs="Times New Roman"/>
          <w:color w:val="000000"/>
          <w:sz w:val="18"/>
          <w:szCs w:val="18"/>
        </w:rPr>
        <w:t>3</w:t>
      </w:r>
      <w:r w:rsidRPr="005A284F">
        <w:rPr>
          <w:rFonts w:ascii="Times New Roman" w:hAnsi="Times New Roman" w:cs="Times New Roman"/>
          <w:color w:val="000000"/>
          <w:sz w:val="18"/>
          <w:szCs w:val="18"/>
        </w:rPr>
        <w:t>、环境保护</w:t>
      </w:r>
    </w:p>
    <w:p w14:paraId="32532E4E" w14:textId="77777777" w:rsidR="000309B5" w:rsidRPr="005A284F" w:rsidRDefault="00000000" w:rsidP="00CB7CD9">
      <w:pPr>
        <w:pStyle w:val="a3"/>
        <w:spacing w:before="0" w:beforeAutospacing="0" w:after="0" w:afterAutospacing="0" w:line="276" w:lineRule="auto"/>
        <w:ind w:firstLineChars="200" w:firstLine="360"/>
        <w:jc w:val="both"/>
        <w:divId w:val="1838499959"/>
        <w:rPr>
          <w:rFonts w:ascii="Times New Roman" w:hAnsi="Times New Roman" w:cs="Times New Roman"/>
        </w:rPr>
      </w:pPr>
      <w:r w:rsidRPr="005A284F">
        <w:rPr>
          <w:rFonts w:ascii="Times New Roman" w:hAnsi="Times New Roman" w:cs="Times New Roman"/>
          <w:color w:val="000000"/>
          <w:sz w:val="18"/>
          <w:szCs w:val="18"/>
        </w:rPr>
        <w:t>公司秉持绿色发展理念，持续完善环境管理体系，践行节能降耗减排方针，推动</w:t>
      </w:r>
      <w:r w:rsidRPr="005A284F">
        <w:rPr>
          <w:rFonts w:ascii="Times New Roman" w:hAnsi="Times New Roman" w:cs="Times New Roman"/>
          <w:color w:val="000000"/>
          <w:sz w:val="18"/>
          <w:szCs w:val="18"/>
        </w:rPr>
        <w:t>“</w:t>
      </w:r>
      <w:r w:rsidRPr="005A284F">
        <w:rPr>
          <w:rFonts w:ascii="Times New Roman" w:hAnsi="Times New Roman" w:cs="Times New Roman"/>
          <w:color w:val="000000"/>
          <w:sz w:val="18"/>
          <w:szCs w:val="18"/>
        </w:rPr>
        <w:t>绿色工厂</w:t>
      </w:r>
      <w:r w:rsidRPr="005A284F">
        <w:rPr>
          <w:rFonts w:ascii="Times New Roman" w:hAnsi="Times New Roman" w:cs="Times New Roman"/>
          <w:color w:val="000000"/>
          <w:sz w:val="18"/>
          <w:szCs w:val="18"/>
        </w:rPr>
        <w:t>”</w:t>
      </w:r>
      <w:r w:rsidRPr="005A284F">
        <w:rPr>
          <w:rFonts w:ascii="Times New Roman" w:hAnsi="Times New Roman" w:cs="Times New Roman"/>
          <w:color w:val="000000"/>
          <w:sz w:val="18"/>
          <w:szCs w:val="18"/>
        </w:rPr>
        <w:t>建设，守护生态安全，树立绿色企业形象，绘就绿色发展新画卷。针对污染物，按照</w:t>
      </w:r>
      <w:r w:rsidRPr="005A284F">
        <w:rPr>
          <w:rFonts w:ascii="Times New Roman" w:hAnsi="Times New Roman" w:cs="Times New Roman"/>
          <w:color w:val="000000"/>
          <w:sz w:val="18"/>
          <w:szCs w:val="18"/>
        </w:rPr>
        <w:t>“</w:t>
      </w:r>
      <w:r w:rsidRPr="005A284F">
        <w:rPr>
          <w:rFonts w:ascii="Times New Roman" w:hAnsi="Times New Roman" w:cs="Times New Roman"/>
          <w:color w:val="000000"/>
          <w:sz w:val="18"/>
          <w:szCs w:val="18"/>
        </w:rPr>
        <w:t>雨污分流</w:t>
      </w:r>
      <w:r w:rsidRPr="005A284F">
        <w:rPr>
          <w:rFonts w:ascii="Times New Roman" w:hAnsi="Times New Roman" w:cs="Times New Roman"/>
          <w:color w:val="000000"/>
          <w:sz w:val="18"/>
          <w:szCs w:val="18"/>
        </w:rPr>
        <w:t>”</w:t>
      </w:r>
      <w:r w:rsidRPr="005A284F">
        <w:rPr>
          <w:rFonts w:ascii="Times New Roman" w:hAnsi="Times New Roman" w:cs="Times New Roman"/>
          <w:color w:val="000000"/>
          <w:sz w:val="18"/>
          <w:szCs w:val="18"/>
        </w:rPr>
        <w:t>原则，污水进入污水站经预处理系统、气浮、</w:t>
      </w:r>
      <w:r w:rsidRPr="005A284F">
        <w:rPr>
          <w:rFonts w:ascii="Times New Roman" w:hAnsi="Times New Roman" w:cs="Times New Roman"/>
          <w:color w:val="000000"/>
          <w:sz w:val="18"/>
          <w:szCs w:val="18"/>
        </w:rPr>
        <w:t>A/O</w:t>
      </w:r>
      <w:r w:rsidRPr="005A284F">
        <w:rPr>
          <w:rFonts w:ascii="Times New Roman" w:hAnsi="Times New Roman" w:cs="Times New Roman"/>
          <w:color w:val="000000"/>
          <w:sz w:val="18"/>
          <w:szCs w:val="18"/>
        </w:rPr>
        <w:t>工艺处理后，经排口排入莱阳市食品工业园污水处理厂，公司在废水排放口安装在线监测设施，并委托第三方定期对公司排放污染物进行监控。针对养殖业务，采用</w:t>
      </w:r>
      <w:r w:rsidRPr="005A284F">
        <w:rPr>
          <w:rFonts w:ascii="Times New Roman" w:hAnsi="Times New Roman" w:cs="Times New Roman"/>
          <w:color w:val="000000"/>
          <w:sz w:val="18"/>
          <w:szCs w:val="18"/>
        </w:rPr>
        <w:t>“</w:t>
      </w:r>
      <w:r w:rsidRPr="005A284F">
        <w:rPr>
          <w:rFonts w:ascii="Times New Roman" w:hAnsi="Times New Roman" w:cs="Times New Roman"/>
          <w:color w:val="000000"/>
          <w:sz w:val="18"/>
          <w:szCs w:val="18"/>
        </w:rPr>
        <w:t>种养结合、粪污资源化利用</w:t>
      </w:r>
      <w:r w:rsidRPr="005A284F">
        <w:rPr>
          <w:rFonts w:ascii="Times New Roman" w:hAnsi="Times New Roman" w:cs="Times New Roman"/>
          <w:color w:val="000000"/>
          <w:sz w:val="18"/>
          <w:szCs w:val="18"/>
        </w:rPr>
        <w:t>”</w:t>
      </w:r>
      <w:r w:rsidRPr="005A284F">
        <w:rPr>
          <w:rFonts w:ascii="Times New Roman" w:hAnsi="Times New Roman" w:cs="Times New Roman"/>
          <w:color w:val="000000"/>
          <w:sz w:val="18"/>
          <w:szCs w:val="18"/>
        </w:rPr>
        <w:t>举措，生猪养殖产生的粪污通过微生物发酵产出沼液和有机肥，用于林木施肥还田再利用，减少化肥施用量，实现零污染、零排放的绿色生态农业可持续发展。报告期内，公司稳步提升资源能源利用效率，大力推广余热回收技术，推进余热回收项目。项目以采用氨系统余热回收、制冷机油冷余热回收、热泵余热回收三种技术组合，降低制冷剂排气压力和机组冷凝温度，提高制冷能效，减少制冷剂耗电，大幅节省加热热水的蒸汽用量，延长制冷机使用寿命，减少能源消耗和碳排放。</w:t>
      </w:r>
    </w:p>
    <w:p w14:paraId="3C2426B3" w14:textId="77777777" w:rsidR="000309B5" w:rsidRPr="005A284F" w:rsidRDefault="00000000" w:rsidP="00CB7CD9">
      <w:pPr>
        <w:pStyle w:val="a3"/>
        <w:spacing w:before="0" w:beforeAutospacing="0" w:after="0" w:afterAutospacing="0" w:line="276" w:lineRule="auto"/>
        <w:ind w:firstLineChars="200" w:firstLine="360"/>
        <w:jc w:val="both"/>
        <w:divId w:val="1838499959"/>
        <w:rPr>
          <w:rFonts w:ascii="Times New Roman" w:hAnsi="Times New Roman" w:cs="Times New Roman"/>
        </w:rPr>
      </w:pPr>
      <w:r w:rsidRPr="005A284F">
        <w:rPr>
          <w:rFonts w:ascii="Times New Roman" w:hAnsi="Times New Roman" w:cs="Times New Roman"/>
          <w:color w:val="000000"/>
          <w:sz w:val="18"/>
          <w:szCs w:val="18"/>
        </w:rPr>
        <w:t>4</w:t>
      </w:r>
      <w:r w:rsidRPr="005A284F">
        <w:rPr>
          <w:rFonts w:ascii="Times New Roman" w:hAnsi="Times New Roman" w:cs="Times New Roman"/>
          <w:color w:val="000000"/>
          <w:sz w:val="18"/>
          <w:szCs w:val="18"/>
        </w:rPr>
        <w:t>、尊重员工</w:t>
      </w:r>
      <w:r w:rsidRPr="005A284F">
        <w:rPr>
          <w:rFonts w:ascii="Times New Roman" w:hAnsi="Times New Roman" w:cs="Times New Roman"/>
          <w:color w:val="000000"/>
          <w:sz w:val="18"/>
          <w:szCs w:val="18"/>
        </w:rPr>
        <w:t xml:space="preserve"> </w:t>
      </w:r>
    </w:p>
    <w:p w14:paraId="51ED7BFD" w14:textId="77777777" w:rsidR="000309B5" w:rsidRPr="005A284F" w:rsidRDefault="00000000" w:rsidP="00CB7CD9">
      <w:pPr>
        <w:pStyle w:val="a3"/>
        <w:spacing w:before="0" w:beforeAutospacing="0" w:after="0" w:afterAutospacing="0" w:line="276" w:lineRule="auto"/>
        <w:ind w:firstLineChars="200" w:firstLine="360"/>
        <w:jc w:val="both"/>
        <w:divId w:val="1838499959"/>
        <w:rPr>
          <w:rFonts w:ascii="Times New Roman" w:hAnsi="Times New Roman" w:cs="Times New Roman"/>
        </w:rPr>
      </w:pPr>
      <w:r w:rsidRPr="005A284F">
        <w:rPr>
          <w:rFonts w:ascii="Times New Roman" w:hAnsi="Times New Roman" w:cs="Times New Roman"/>
          <w:color w:val="000000"/>
          <w:sz w:val="18"/>
          <w:szCs w:val="18"/>
        </w:rPr>
        <w:lastRenderedPageBreak/>
        <w:t>公司坚信员工是企业的宝贵财富，尊重并保障每一位员工的基本权益，公司在招聘、晋升、薪酬等方面没有种族、性别、国籍、年龄、怀孕或残疾等方面的歧视，自公司成立至今，未发生歧视事件，亦未收到歧视方面的投诉。秉持透明、公开、高效原则，明确晋升流程，建立和实施了较科学的聘用、培训、轮岗、考核、晋升等人事管理制度，完善员工激励机制，挖掘贡献卓越的优秀团队和员工，提高员工工作积极性，实现员工与企业共同发展、共同成长。时刻关心员工心理健康建设，营造良好的工作舆论环境，帮助员工克服焦虑心理，建立良好心态，凝聚起全员健康向上的强大正能量。</w:t>
      </w:r>
      <w:r w:rsidRPr="005A284F">
        <w:rPr>
          <w:rFonts w:ascii="Times New Roman" w:hAnsi="Times New Roman" w:cs="Times New Roman"/>
          <w:color w:val="404040"/>
          <w:sz w:val="18"/>
          <w:szCs w:val="18"/>
          <w:shd w:val="clear" w:color="auto" w:fill="FFFFFF"/>
        </w:rPr>
        <w:t>报告期内，公司成立工会组织，有效维护员工权益并提升服务水平；启动</w:t>
      </w:r>
      <w:r w:rsidRPr="005A284F">
        <w:rPr>
          <w:rFonts w:ascii="Times New Roman" w:hAnsi="Times New Roman" w:cs="Times New Roman"/>
          <w:color w:val="404040"/>
          <w:sz w:val="18"/>
          <w:szCs w:val="18"/>
          <w:shd w:val="clear" w:color="auto" w:fill="FFFFFF"/>
        </w:rPr>
        <w:t>“</w:t>
      </w:r>
      <w:r w:rsidRPr="005A284F">
        <w:rPr>
          <w:rFonts w:ascii="Times New Roman" w:hAnsi="Times New Roman" w:cs="Times New Roman"/>
          <w:color w:val="404040"/>
          <w:sz w:val="18"/>
          <w:szCs w:val="18"/>
          <w:shd w:val="clear" w:color="auto" w:fill="FFFFFF"/>
        </w:rPr>
        <w:t>生产管理能力全阶突破计划</w:t>
      </w:r>
      <w:r w:rsidRPr="005A284F">
        <w:rPr>
          <w:rFonts w:ascii="Times New Roman" w:hAnsi="Times New Roman" w:cs="Times New Roman"/>
          <w:color w:val="404040"/>
          <w:sz w:val="18"/>
          <w:szCs w:val="18"/>
          <w:shd w:val="clear" w:color="auto" w:fill="FFFFFF"/>
        </w:rPr>
        <w:t>”</w:t>
      </w:r>
      <w:r w:rsidRPr="005A284F">
        <w:rPr>
          <w:rFonts w:ascii="Times New Roman" w:hAnsi="Times New Roman" w:cs="Times New Roman"/>
          <w:color w:val="404040"/>
          <w:sz w:val="18"/>
          <w:szCs w:val="18"/>
          <w:shd w:val="clear" w:color="auto" w:fill="FFFFFF"/>
        </w:rPr>
        <w:t>，通过线上线下课程提升员工专业能力；举办制冷系统安全管理培训，强化设备操作安全意识及应急处置能力；召开年度评优盛典，以榜样力量传递尊重员工、以人为本的价值观。</w:t>
      </w:r>
    </w:p>
    <w:p w14:paraId="1EBA8662" w14:textId="77777777" w:rsidR="000309B5" w:rsidRPr="005A284F" w:rsidRDefault="00000000" w:rsidP="00CB7CD9">
      <w:pPr>
        <w:pStyle w:val="a3"/>
        <w:spacing w:before="0" w:beforeAutospacing="0" w:after="0" w:afterAutospacing="0" w:line="276" w:lineRule="auto"/>
        <w:ind w:firstLineChars="200" w:firstLine="360"/>
        <w:jc w:val="both"/>
        <w:divId w:val="1838499959"/>
        <w:rPr>
          <w:rFonts w:ascii="Times New Roman" w:hAnsi="Times New Roman" w:cs="Times New Roman"/>
        </w:rPr>
      </w:pPr>
      <w:r w:rsidRPr="005A284F">
        <w:rPr>
          <w:rFonts w:ascii="Times New Roman" w:hAnsi="Times New Roman" w:cs="Times New Roman"/>
          <w:color w:val="000000"/>
          <w:sz w:val="18"/>
          <w:szCs w:val="18"/>
        </w:rPr>
        <w:t>5</w:t>
      </w:r>
      <w:r w:rsidRPr="005A284F">
        <w:rPr>
          <w:rFonts w:ascii="Times New Roman" w:hAnsi="Times New Roman" w:cs="Times New Roman"/>
          <w:color w:val="000000"/>
          <w:sz w:val="18"/>
          <w:szCs w:val="18"/>
        </w:rPr>
        <w:t>、食品安全</w:t>
      </w:r>
      <w:r w:rsidRPr="005A284F">
        <w:rPr>
          <w:rFonts w:ascii="Times New Roman" w:hAnsi="Times New Roman" w:cs="Times New Roman"/>
          <w:color w:val="000000"/>
          <w:sz w:val="18"/>
          <w:szCs w:val="18"/>
        </w:rPr>
        <w:t xml:space="preserve"> </w:t>
      </w:r>
    </w:p>
    <w:p w14:paraId="74C21F89" w14:textId="77777777" w:rsidR="000309B5" w:rsidRPr="005A284F" w:rsidRDefault="00000000" w:rsidP="00CB7CD9">
      <w:pPr>
        <w:pStyle w:val="a3"/>
        <w:spacing w:before="0" w:beforeAutospacing="0" w:after="0" w:afterAutospacing="0" w:line="276" w:lineRule="auto"/>
        <w:ind w:firstLineChars="200" w:firstLine="360"/>
        <w:jc w:val="both"/>
        <w:divId w:val="1838499959"/>
        <w:rPr>
          <w:rFonts w:ascii="Times New Roman" w:hAnsi="Times New Roman" w:cs="Times New Roman"/>
        </w:rPr>
      </w:pPr>
      <w:r w:rsidRPr="005A284F">
        <w:rPr>
          <w:rFonts w:ascii="Times New Roman" w:hAnsi="Times New Roman" w:cs="Times New Roman"/>
          <w:color w:val="000000"/>
          <w:sz w:val="18"/>
          <w:szCs w:val="18"/>
        </w:rPr>
        <w:t>在保障食品安全方面，公司建立了一系列标准化制度和技术规范，实现标准化管理，并建立了严格的食品安全保障体系和可追溯体系。公司在生产过程中严格落实</w:t>
      </w:r>
      <w:r w:rsidRPr="005A284F">
        <w:rPr>
          <w:rFonts w:ascii="Times New Roman" w:hAnsi="Times New Roman" w:cs="Times New Roman"/>
          <w:color w:val="000000"/>
          <w:sz w:val="18"/>
          <w:szCs w:val="18"/>
        </w:rPr>
        <w:t xml:space="preserve"> HACCP</w:t>
      </w:r>
      <w:r w:rsidRPr="005A284F">
        <w:rPr>
          <w:rFonts w:ascii="Times New Roman" w:hAnsi="Times New Roman" w:cs="Times New Roman"/>
          <w:color w:val="000000"/>
          <w:sz w:val="18"/>
          <w:szCs w:val="18"/>
        </w:rPr>
        <w:t>、</w:t>
      </w:r>
      <w:r w:rsidRPr="005A284F">
        <w:rPr>
          <w:rFonts w:ascii="Times New Roman" w:hAnsi="Times New Roman" w:cs="Times New Roman"/>
          <w:color w:val="000000"/>
          <w:sz w:val="18"/>
          <w:szCs w:val="18"/>
        </w:rPr>
        <w:t>ISO9001</w:t>
      </w:r>
      <w:r w:rsidRPr="005A284F">
        <w:rPr>
          <w:rFonts w:ascii="Times New Roman" w:hAnsi="Times New Roman" w:cs="Times New Roman"/>
          <w:color w:val="000000"/>
          <w:sz w:val="18"/>
          <w:szCs w:val="18"/>
        </w:rPr>
        <w:t>质量控制体系要求，全面系统分析全产业链各主要环节，重点控制食品安全的关键影响点。从原料采购、质量检测到冷链存储、即时零售的食品生产安全</w:t>
      </w:r>
      <w:r w:rsidRPr="005A284F">
        <w:rPr>
          <w:rFonts w:ascii="Times New Roman" w:hAnsi="Times New Roman" w:cs="Times New Roman"/>
          <w:color w:val="000000"/>
          <w:sz w:val="18"/>
          <w:szCs w:val="18"/>
        </w:rPr>
        <w:t>12</w:t>
      </w:r>
      <w:r w:rsidRPr="005A284F">
        <w:rPr>
          <w:rFonts w:ascii="Times New Roman" w:hAnsi="Times New Roman" w:cs="Times New Roman"/>
          <w:color w:val="000000"/>
          <w:sz w:val="18"/>
          <w:szCs w:val="18"/>
        </w:rPr>
        <w:t>道工序，严守食品安全线，打造了以源头控制、质量体系、产品检测为核心的食品安全保证体系，做到批批都检验、全程可追溯，实现对原料、生产、产品的全过程把关。公司下属企业烟台杰科检测服务有限公司，具有中国实验室国家认可委员会认可和检验检测机构资质认定，是专业从事食品安全检测的国家级检测机构，负责公司原料、半成品、成品和辅料等全方位检测。</w:t>
      </w:r>
    </w:p>
    <w:p w14:paraId="5640C4FA" w14:textId="77777777" w:rsidR="000309B5" w:rsidRPr="005A284F" w:rsidRDefault="00000000" w:rsidP="00CB7CD9">
      <w:pPr>
        <w:pStyle w:val="a3"/>
        <w:spacing w:before="0" w:beforeAutospacing="0" w:after="0" w:afterAutospacing="0" w:line="276" w:lineRule="auto"/>
        <w:ind w:firstLineChars="200" w:firstLine="360"/>
        <w:jc w:val="both"/>
        <w:divId w:val="1838499959"/>
        <w:rPr>
          <w:rFonts w:ascii="Times New Roman" w:hAnsi="Times New Roman" w:cs="Times New Roman"/>
        </w:rPr>
      </w:pPr>
      <w:r w:rsidRPr="005A284F">
        <w:rPr>
          <w:rFonts w:ascii="Times New Roman" w:hAnsi="Times New Roman" w:cs="Times New Roman"/>
          <w:sz w:val="18"/>
          <w:szCs w:val="18"/>
        </w:rPr>
        <w:t>6</w:t>
      </w:r>
      <w:r w:rsidRPr="005A284F">
        <w:rPr>
          <w:rFonts w:ascii="Times New Roman" w:hAnsi="Times New Roman" w:cs="Times New Roman"/>
          <w:sz w:val="18"/>
          <w:szCs w:val="18"/>
        </w:rPr>
        <w:t>、巩固拓展脱贫攻坚成果、乡村振兴的情况</w:t>
      </w:r>
    </w:p>
    <w:p w14:paraId="0DD18E8E" w14:textId="1AC140A0" w:rsidR="000309B5" w:rsidRPr="005A284F" w:rsidRDefault="00000000" w:rsidP="00CB7CD9">
      <w:pPr>
        <w:pStyle w:val="a3"/>
        <w:spacing w:before="0" w:beforeAutospacing="0" w:after="0" w:afterAutospacing="0" w:line="276" w:lineRule="auto"/>
        <w:ind w:firstLineChars="200" w:firstLine="360"/>
        <w:jc w:val="both"/>
        <w:divId w:val="1838499959"/>
        <w:rPr>
          <w:rFonts w:ascii="Times New Roman" w:hAnsi="Times New Roman" w:cs="Times New Roman"/>
        </w:rPr>
      </w:pPr>
      <w:r w:rsidRPr="005A284F">
        <w:rPr>
          <w:rFonts w:ascii="Times New Roman" w:hAnsi="Times New Roman" w:cs="Times New Roman"/>
          <w:color w:val="000000"/>
          <w:sz w:val="18"/>
          <w:szCs w:val="18"/>
        </w:rPr>
        <w:t>通过</w:t>
      </w:r>
      <w:r w:rsidRPr="005A284F">
        <w:rPr>
          <w:rFonts w:ascii="Times New Roman" w:hAnsi="Times New Roman" w:cs="Times New Roman"/>
          <w:color w:val="000000"/>
          <w:sz w:val="18"/>
          <w:szCs w:val="18"/>
        </w:rPr>
        <w:t>“</w:t>
      </w:r>
      <w:r w:rsidRPr="005A284F">
        <w:rPr>
          <w:rFonts w:ascii="Times New Roman" w:hAnsi="Times New Roman" w:cs="Times New Roman"/>
          <w:color w:val="000000"/>
          <w:sz w:val="18"/>
          <w:szCs w:val="18"/>
        </w:rPr>
        <w:t>公司</w:t>
      </w:r>
      <w:r w:rsidRPr="005A284F">
        <w:rPr>
          <w:rFonts w:ascii="Times New Roman" w:hAnsi="Times New Roman" w:cs="Times New Roman"/>
          <w:color w:val="000000"/>
          <w:sz w:val="18"/>
          <w:szCs w:val="18"/>
        </w:rPr>
        <w:t>+</w:t>
      </w:r>
      <w:r w:rsidRPr="005A284F">
        <w:rPr>
          <w:rFonts w:ascii="Times New Roman" w:hAnsi="Times New Roman" w:cs="Times New Roman"/>
          <w:color w:val="000000"/>
          <w:sz w:val="18"/>
          <w:szCs w:val="18"/>
        </w:rPr>
        <w:t>农户</w:t>
      </w:r>
      <w:r w:rsidRPr="005A284F">
        <w:rPr>
          <w:rFonts w:ascii="Times New Roman" w:hAnsi="Times New Roman" w:cs="Times New Roman"/>
          <w:color w:val="000000"/>
          <w:sz w:val="18"/>
          <w:szCs w:val="18"/>
        </w:rPr>
        <w:t>”</w:t>
      </w:r>
      <w:r w:rsidRPr="005A284F">
        <w:rPr>
          <w:rFonts w:ascii="Times New Roman" w:hAnsi="Times New Roman" w:cs="Times New Roman"/>
          <w:color w:val="000000"/>
          <w:sz w:val="18"/>
          <w:szCs w:val="18"/>
        </w:rPr>
        <w:t>的生猪养殖模式，公司有效地将业务和农户增收相结合。为深入推进乡村振兴与生猪稳产保供，公司建立了</w:t>
      </w:r>
      <w:r w:rsidRPr="005A284F">
        <w:rPr>
          <w:rFonts w:ascii="Times New Roman" w:hAnsi="Times New Roman" w:cs="Times New Roman"/>
          <w:color w:val="000000"/>
          <w:sz w:val="18"/>
          <w:szCs w:val="18"/>
        </w:rPr>
        <w:t>“</w:t>
      </w:r>
      <w:r w:rsidRPr="005A284F">
        <w:rPr>
          <w:rFonts w:ascii="Times New Roman" w:hAnsi="Times New Roman" w:cs="Times New Roman"/>
          <w:color w:val="000000"/>
          <w:sz w:val="18"/>
          <w:szCs w:val="18"/>
        </w:rPr>
        <w:t>三提供</w:t>
      </w:r>
      <w:r w:rsidRPr="005A284F">
        <w:rPr>
          <w:rFonts w:ascii="Times New Roman" w:hAnsi="Times New Roman" w:cs="Times New Roman"/>
          <w:color w:val="000000"/>
          <w:sz w:val="18"/>
          <w:szCs w:val="18"/>
        </w:rPr>
        <w:t>+</w:t>
      </w:r>
      <w:r w:rsidRPr="005A284F">
        <w:rPr>
          <w:rFonts w:ascii="Times New Roman" w:hAnsi="Times New Roman" w:cs="Times New Roman"/>
          <w:color w:val="000000"/>
          <w:sz w:val="18"/>
          <w:szCs w:val="18"/>
        </w:rPr>
        <w:t>两担保</w:t>
      </w:r>
      <w:r w:rsidRPr="005A284F">
        <w:rPr>
          <w:rFonts w:ascii="Times New Roman" w:hAnsi="Times New Roman" w:cs="Times New Roman"/>
          <w:color w:val="000000"/>
          <w:sz w:val="18"/>
          <w:szCs w:val="18"/>
        </w:rPr>
        <w:t>”</w:t>
      </w:r>
      <w:r w:rsidRPr="005A284F">
        <w:rPr>
          <w:rFonts w:ascii="Times New Roman" w:hAnsi="Times New Roman" w:cs="Times New Roman"/>
          <w:color w:val="000000"/>
          <w:sz w:val="18"/>
          <w:szCs w:val="18"/>
        </w:rPr>
        <w:t>的养殖扶贫模式，叠加政府一系列助农扶贫政策，带动农户增收致富。</w:t>
      </w:r>
      <w:r w:rsidRPr="005A284F">
        <w:rPr>
          <w:rFonts w:ascii="Times New Roman" w:hAnsi="Times New Roman" w:cs="Times New Roman"/>
          <w:color w:val="000000"/>
          <w:sz w:val="18"/>
          <w:szCs w:val="18"/>
        </w:rPr>
        <w:t xml:space="preserve"> “</w:t>
      </w:r>
      <w:r w:rsidRPr="005A284F">
        <w:rPr>
          <w:rFonts w:ascii="Times New Roman" w:hAnsi="Times New Roman" w:cs="Times New Roman"/>
          <w:color w:val="000000"/>
          <w:sz w:val="18"/>
          <w:szCs w:val="18"/>
        </w:rPr>
        <w:t>三提供</w:t>
      </w:r>
      <w:r w:rsidRPr="005A284F">
        <w:rPr>
          <w:rFonts w:ascii="Times New Roman" w:hAnsi="Times New Roman" w:cs="Times New Roman"/>
          <w:color w:val="000000"/>
          <w:sz w:val="18"/>
          <w:szCs w:val="18"/>
        </w:rPr>
        <w:t>”</w:t>
      </w:r>
      <w:r w:rsidRPr="005A284F">
        <w:rPr>
          <w:rFonts w:ascii="Times New Roman" w:hAnsi="Times New Roman" w:cs="Times New Roman"/>
          <w:color w:val="000000"/>
          <w:sz w:val="18"/>
          <w:szCs w:val="18"/>
        </w:rPr>
        <w:t>是通过引进国内外优质种猪经自我繁育，性状改良优化后，提供品质优良的三元猪猪苗；通过建立完善的供给体系，</w:t>
      </w:r>
      <w:r w:rsidRPr="005A284F">
        <w:rPr>
          <w:rFonts w:ascii="Times New Roman" w:hAnsi="Times New Roman" w:cs="Times New Roman"/>
          <w:color w:val="000000"/>
          <w:sz w:val="18"/>
          <w:szCs w:val="18"/>
        </w:rPr>
        <w:t>100%</w:t>
      </w:r>
      <w:r w:rsidRPr="005A284F">
        <w:rPr>
          <w:rFonts w:ascii="Times New Roman" w:hAnsi="Times New Roman" w:cs="Times New Roman"/>
          <w:color w:val="000000"/>
          <w:sz w:val="18"/>
          <w:szCs w:val="18"/>
        </w:rPr>
        <w:t>统一提供饲料并配送到家；深入农户上门走访，及时提供技术帮带与药品等服务支持，驻场帮助农户改善养殖环境，促进健康养殖。</w:t>
      </w:r>
      <w:r w:rsidRPr="005A284F">
        <w:rPr>
          <w:rFonts w:ascii="Times New Roman" w:hAnsi="Times New Roman" w:cs="Times New Roman"/>
          <w:color w:val="000000"/>
          <w:sz w:val="18"/>
          <w:szCs w:val="18"/>
        </w:rPr>
        <w:t>“</w:t>
      </w:r>
      <w:r w:rsidRPr="005A284F">
        <w:rPr>
          <w:rFonts w:ascii="Times New Roman" w:hAnsi="Times New Roman" w:cs="Times New Roman"/>
          <w:color w:val="000000"/>
          <w:sz w:val="18"/>
          <w:szCs w:val="18"/>
        </w:rPr>
        <w:t>两担保</w:t>
      </w:r>
      <w:r w:rsidRPr="005A284F">
        <w:rPr>
          <w:rFonts w:ascii="Times New Roman" w:hAnsi="Times New Roman" w:cs="Times New Roman"/>
          <w:color w:val="000000"/>
          <w:sz w:val="18"/>
          <w:szCs w:val="18"/>
        </w:rPr>
        <w:t>”</w:t>
      </w:r>
      <w:r w:rsidRPr="005A284F">
        <w:rPr>
          <w:rFonts w:ascii="Times New Roman" w:hAnsi="Times New Roman" w:cs="Times New Roman"/>
          <w:color w:val="000000"/>
          <w:sz w:val="18"/>
          <w:szCs w:val="18"/>
        </w:rPr>
        <w:t>是通过回收担保，对养殖场户实行生猪</w:t>
      </w:r>
      <w:r w:rsidRPr="005A284F">
        <w:rPr>
          <w:rFonts w:ascii="Times New Roman" w:hAnsi="Times New Roman" w:cs="Times New Roman"/>
          <w:color w:val="000000"/>
          <w:sz w:val="18"/>
          <w:szCs w:val="18"/>
        </w:rPr>
        <w:t>100%</w:t>
      </w:r>
      <w:r w:rsidRPr="005A284F">
        <w:rPr>
          <w:rFonts w:ascii="Times New Roman" w:hAnsi="Times New Roman" w:cs="Times New Roman"/>
          <w:color w:val="000000"/>
          <w:sz w:val="18"/>
          <w:szCs w:val="18"/>
        </w:rPr>
        <w:t>回购，并以全产业协同发展的优势，立足于产业资源统筹，充分打通了生产加工、物流运输与终端销售服务等环节，在做好农产品产销对接基础上，突出消费扶贫的作用，让养殖户无后顾之忧的同时，也带动农业升级增效，促进农民增收创收。面对农业养殖行业融资难、融资渠道窄等问题，为切实帮助养殖户解决资金问题，公司积极了解农户发展生猪养殖方面的资金需求，助力农户对接银行，有效解决了农产业发展中资金短缺问题。</w:t>
      </w:r>
    </w:p>
    <w:p w14:paraId="3B5687FF" w14:textId="77777777" w:rsidR="006C011D" w:rsidRPr="005A284F" w:rsidRDefault="00000000">
      <w:pPr>
        <w:rPr>
          <w:rFonts w:ascii="Times New Roman" w:eastAsia="宋体" w:hAnsi="Times New Roman" w:cs="Times New Roman"/>
        </w:rPr>
      </w:pPr>
      <w:r w:rsidRPr="005A284F">
        <w:rPr>
          <w:rFonts w:ascii="Times New Roman" w:eastAsia="宋体" w:hAnsi="Times New Roman" w:cs="Times New Roman"/>
        </w:rPr>
        <w:br w:type="page"/>
      </w:r>
    </w:p>
    <w:p w14:paraId="01AC1423" w14:textId="77777777" w:rsidR="006C011D" w:rsidRPr="005A284F" w:rsidRDefault="00000000">
      <w:pPr>
        <w:pStyle w:val="headingh1"/>
        <w:spacing w:before="340" w:after="330" w:line="773" w:lineRule="exact"/>
        <w:jc w:val="center"/>
        <w:rPr>
          <w:rFonts w:ascii="Times New Roman" w:eastAsia="宋体" w:hAnsi="Times New Roman" w:cs="Times New Roman"/>
          <w:b/>
          <w:bCs/>
          <w:sz w:val="32"/>
          <w:szCs w:val="32"/>
        </w:rPr>
      </w:pPr>
      <w:bookmarkStart w:id="48" w:name="_Toc988937"/>
      <w:r w:rsidRPr="005A284F">
        <w:rPr>
          <w:rFonts w:ascii="Times New Roman" w:eastAsia="宋体" w:hAnsi="Times New Roman" w:cs="Times New Roman"/>
          <w:b/>
          <w:bCs/>
          <w:sz w:val="32"/>
          <w:szCs w:val="32"/>
        </w:rPr>
        <w:lastRenderedPageBreak/>
        <w:t>第五节</w:t>
      </w:r>
      <w:r w:rsidRPr="005A284F">
        <w:rPr>
          <w:rFonts w:ascii="Times New Roman" w:eastAsia="宋体" w:hAnsi="Times New Roman" w:cs="Times New Roman"/>
          <w:b/>
          <w:bCs/>
          <w:sz w:val="32"/>
          <w:szCs w:val="32"/>
        </w:rPr>
        <w:t xml:space="preserve"> </w:t>
      </w:r>
      <w:r w:rsidRPr="005A284F">
        <w:rPr>
          <w:rFonts w:ascii="Times New Roman" w:eastAsia="宋体" w:hAnsi="Times New Roman" w:cs="Times New Roman"/>
          <w:b/>
          <w:bCs/>
          <w:sz w:val="32"/>
          <w:szCs w:val="32"/>
        </w:rPr>
        <w:t>重要事项</w:t>
      </w:r>
      <w:bookmarkEnd w:id="48"/>
    </w:p>
    <w:p w14:paraId="418D35AB"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49" w:name="_Toc988938"/>
      <w:r w:rsidRPr="005A284F">
        <w:rPr>
          <w:rFonts w:ascii="Times New Roman" w:eastAsia="宋体" w:hAnsi="Times New Roman" w:cs="Times New Roman"/>
          <w:b/>
          <w:bCs/>
          <w:sz w:val="24"/>
          <w:szCs w:val="24"/>
        </w:rPr>
        <w:t>一、公司实际控制人、股东、关联方、收购人以及公司等承诺相关方在报告期内履行完毕及截至报告期末超期未履行完毕的承诺事项</w:t>
      </w:r>
      <w:bookmarkEnd w:id="49"/>
    </w:p>
    <w:p w14:paraId="6150A861" w14:textId="77777777" w:rsidR="006C011D" w:rsidRPr="00CB7CD9" w:rsidRDefault="00000000">
      <w:pPr>
        <w:spacing w:before="40" w:after="40" w:line="240" w:lineRule="exact"/>
        <w:rPr>
          <w:rFonts w:ascii="宋体" w:eastAsia="宋体" w:hAnsi="宋体" w:cs="Times New Roman" w:hint="eastAsia"/>
          <w:sz w:val="18"/>
          <w:szCs w:val="18"/>
        </w:rPr>
      </w:pPr>
      <w:r w:rsidRPr="00CB7CD9">
        <w:rPr>
          <w:rFonts w:ascii="宋体" w:eastAsia="宋体" w:hAnsi="宋体" w:cs="Times New Roman"/>
          <w:sz w:val="18"/>
          <w:szCs w:val="18"/>
        </w:rPr>
        <w:sym w:font="Wingdings 2" w:char="F052"/>
      </w:r>
      <w:r w:rsidRPr="00CB7CD9">
        <w:rPr>
          <w:rFonts w:ascii="宋体" w:eastAsia="宋体" w:hAnsi="宋体" w:cs="Times New Roman"/>
          <w:sz w:val="18"/>
          <w:szCs w:val="18"/>
        </w:rPr>
        <w:t>适用 □不适用</w:t>
      </w:r>
    </w:p>
    <w:tbl>
      <w:tblPr>
        <w:tblW w:w="10773" w:type="dxa"/>
        <w:tblInd w:w="-45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0" w:type="dxa"/>
          <w:right w:w="0" w:type="dxa"/>
        </w:tblCellMar>
        <w:tblLook w:val="04A0" w:firstRow="1" w:lastRow="0" w:firstColumn="1" w:lastColumn="0" w:noHBand="0" w:noVBand="1"/>
      </w:tblPr>
      <w:tblGrid>
        <w:gridCol w:w="1134"/>
        <w:gridCol w:w="1134"/>
        <w:gridCol w:w="1029"/>
        <w:gridCol w:w="4111"/>
        <w:gridCol w:w="1559"/>
        <w:gridCol w:w="814"/>
        <w:gridCol w:w="992"/>
      </w:tblGrid>
      <w:tr w:rsidR="006C011D" w:rsidRPr="005A284F" w14:paraId="7B358738" w14:textId="77777777" w:rsidTr="00CB7CD9">
        <w:trPr>
          <w:trHeight w:val="240"/>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6E58781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承诺事由</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5304D96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承诺方</w:t>
            </w:r>
          </w:p>
        </w:tc>
        <w:tc>
          <w:tcPr>
            <w:tcW w:w="1029" w:type="dxa"/>
            <w:tcBorders>
              <w:top w:val="single" w:sz="2" w:space="0" w:color="auto"/>
              <w:left w:val="single" w:sz="2" w:space="0" w:color="auto"/>
              <w:bottom w:val="single" w:sz="2" w:space="0" w:color="auto"/>
              <w:right w:val="single" w:sz="2" w:space="0" w:color="auto"/>
            </w:tcBorders>
            <w:shd w:val="clear" w:color="auto" w:fill="D3D3D3"/>
            <w:vAlign w:val="center"/>
          </w:tcPr>
          <w:p w14:paraId="7C165C8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承诺类型</w:t>
            </w:r>
          </w:p>
        </w:tc>
        <w:tc>
          <w:tcPr>
            <w:tcW w:w="4111" w:type="dxa"/>
            <w:tcBorders>
              <w:top w:val="single" w:sz="2" w:space="0" w:color="auto"/>
              <w:left w:val="single" w:sz="2" w:space="0" w:color="auto"/>
              <w:bottom w:val="single" w:sz="2" w:space="0" w:color="auto"/>
              <w:right w:val="single" w:sz="2" w:space="0" w:color="auto"/>
            </w:tcBorders>
            <w:shd w:val="clear" w:color="auto" w:fill="D3D3D3"/>
            <w:vAlign w:val="center"/>
          </w:tcPr>
          <w:p w14:paraId="00E9764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承诺内容</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176B286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承诺时间</w:t>
            </w:r>
          </w:p>
        </w:tc>
        <w:tc>
          <w:tcPr>
            <w:tcW w:w="814" w:type="dxa"/>
            <w:tcBorders>
              <w:top w:val="single" w:sz="2" w:space="0" w:color="auto"/>
              <w:left w:val="single" w:sz="2" w:space="0" w:color="auto"/>
              <w:bottom w:val="single" w:sz="2" w:space="0" w:color="auto"/>
              <w:right w:val="single" w:sz="2" w:space="0" w:color="auto"/>
            </w:tcBorders>
            <w:shd w:val="clear" w:color="auto" w:fill="D3D3D3"/>
            <w:vAlign w:val="center"/>
          </w:tcPr>
          <w:p w14:paraId="04F8FFF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承诺期限</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5F81375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履行情况</w:t>
            </w:r>
          </w:p>
        </w:tc>
      </w:tr>
      <w:tr w:rsidR="006C011D" w:rsidRPr="005A284F" w14:paraId="684353DE" w14:textId="77777777" w:rsidTr="00CB7CD9">
        <w:trPr>
          <w:trHeight w:val="240"/>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4F9159BE"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收购报告书或权益变动报告书中所作承诺</w:t>
            </w:r>
          </w:p>
        </w:tc>
        <w:tc>
          <w:tcPr>
            <w:tcW w:w="1134" w:type="dxa"/>
            <w:tcBorders>
              <w:top w:val="single" w:sz="2" w:space="0" w:color="auto"/>
              <w:left w:val="single" w:sz="2" w:space="0" w:color="auto"/>
              <w:bottom w:val="single" w:sz="2" w:space="0" w:color="auto"/>
              <w:right w:val="single" w:sz="2" w:space="0" w:color="auto"/>
            </w:tcBorders>
            <w:vAlign w:val="center"/>
          </w:tcPr>
          <w:p w14:paraId="162CA52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戴学斌</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董翔</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蓝润发展控股集团有限公司</w:t>
            </w:r>
          </w:p>
        </w:tc>
        <w:tc>
          <w:tcPr>
            <w:tcW w:w="1029" w:type="dxa"/>
            <w:tcBorders>
              <w:top w:val="single" w:sz="2" w:space="0" w:color="auto"/>
              <w:left w:val="single" w:sz="2" w:space="0" w:color="auto"/>
              <w:bottom w:val="single" w:sz="2" w:space="0" w:color="auto"/>
              <w:right w:val="single" w:sz="2" w:space="0" w:color="auto"/>
            </w:tcBorders>
            <w:vAlign w:val="center"/>
          </w:tcPr>
          <w:p w14:paraId="49C91F9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关于同业竞争、关联交易、资金占用方面的承诺</w:t>
            </w:r>
          </w:p>
        </w:tc>
        <w:tc>
          <w:tcPr>
            <w:tcW w:w="4111" w:type="dxa"/>
            <w:tcBorders>
              <w:top w:val="single" w:sz="2" w:space="0" w:color="auto"/>
              <w:left w:val="single" w:sz="2" w:space="0" w:color="auto"/>
              <w:bottom w:val="single" w:sz="2" w:space="0" w:color="auto"/>
              <w:right w:val="single" w:sz="2" w:space="0" w:color="auto"/>
            </w:tcBorders>
            <w:vAlign w:val="center"/>
          </w:tcPr>
          <w:p w14:paraId="689CE39D" w14:textId="66F3399A"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、本公司</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本人承诺未来从事的与上市公司存在同业竞争的项目将仅限于四川省巴中市、达州市、南充市三市的生猪养殖项目；</w:t>
            </w:r>
          </w:p>
          <w:p w14:paraId="65D4FBD6" w14:textId="77777777"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、上述生猪养殖项目实施过程中，资金来源为自有资金或自筹资金，不会占用上市公司及其控股子公司资金，亦不会让上市公司及其控股子公司提供担保；</w:t>
            </w:r>
          </w:p>
          <w:p w14:paraId="38B2D44E" w14:textId="1BF5AE2D"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、上述项目建成投产后，本公司</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本人将尽量避免上述生猪养殖项目实施主体与上市公司之间的关联交易；对于无法避免或者有合理原因而发生的关联交易，上述生猪养殖项目实施主体将根据有关法律、法规和规范性文件以及公司章程的规定，遵循平等、自愿、等价和有偿的一般商业原则，与上市公司签订关联交易协议，并确保关联交易的价格公允，原则上不偏离市场独立第三方的价格或收费的标准，以维护上市公司及其中小股东的利益；</w:t>
            </w:r>
          </w:p>
          <w:p w14:paraId="70683DDE" w14:textId="56211058"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、上述生猪养殖项目的经营主体为五仓农牧集团有限公司及其下属各地子公司。在上述项目建设完成，且项目经营主体五仓农牧符合注入上市公司条件后</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年内，本公司</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本人承诺将五仓农牧按法定程序以市场公允价格注入上市公司，若上市公司明确放弃上述收购权利，则本公司</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本人将采取向无关联第三方转让五仓农牧股权等方式妥善解决同业竞争；当同时满足以下条件时，五仓农牧将视为符合前述所约定的资产注入条件：</w:t>
            </w:r>
          </w:p>
          <w:p w14:paraId="6A1A6741" w14:textId="77777777"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）生产经营符合法律、行政法规和公司章程的规定，符合国家产业政策和有关环境保护、土地管理、反垄断等法律和行政法规的规定；</w:t>
            </w:r>
          </w:p>
          <w:p w14:paraId="11F82153" w14:textId="77777777"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）所涉及的股权权属清晰，股权过户或者转移不存在法律障碍，相关债权债务处理合法；</w:t>
            </w:r>
          </w:p>
          <w:p w14:paraId="77233887" w14:textId="77777777"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）五仓农牧最近一年实现的扣除非经常性损益后归属于母公司股东净利润（合并口径）为正，上述财务数据需经具有证券资格的会计师事务所审计；</w:t>
            </w:r>
          </w:p>
          <w:p w14:paraId="2828774D" w14:textId="4DA4FEDD"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）符合相关法律法规及规范性文件、证券监管机构的相关监管要求；本公司</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本人承诺最迟不超过</w:t>
            </w:r>
            <w:r w:rsidRPr="005A284F">
              <w:rPr>
                <w:rFonts w:ascii="Times New Roman" w:eastAsia="宋体" w:hAnsi="Times New Roman" w:cs="Times New Roman"/>
                <w:sz w:val="18"/>
                <w:szCs w:val="18"/>
              </w:rPr>
              <w:t xml:space="preserve"> 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31</w:t>
            </w:r>
            <w:r w:rsidRPr="005A284F">
              <w:rPr>
                <w:rFonts w:ascii="Times New Roman" w:eastAsia="宋体" w:hAnsi="Times New Roman" w:cs="Times New Roman"/>
                <w:sz w:val="18"/>
                <w:szCs w:val="18"/>
              </w:rPr>
              <w:t>日前完成将五仓农牧的股权注入上市公司的协议签署，在上市公司明确放弃上述收购权利时，最迟不超过</w:t>
            </w:r>
            <w:r w:rsidRPr="005A284F">
              <w:rPr>
                <w:rFonts w:ascii="Times New Roman" w:eastAsia="宋体" w:hAnsi="Times New Roman" w:cs="Times New Roman"/>
                <w:sz w:val="18"/>
                <w:szCs w:val="18"/>
              </w:rPr>
              <w:t xml:space="preserve">2025 </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31</w:t>
            </w:r>
            <w:r w:rsidRPr="005A284F">
              <w:rPr>
                <w:rFonts w:ascii="Times New Roman" w:eastAsia="宋体" w:hAnsi="Times New Roman" w:cs="Times New Roman"/>
                <w:sz w:val="18"/>
                <w:szCs w:val="18"/>
              </w:rPr>
              <w:t>日前向无关联第三方转让五仓农牧股权；</w:t>
            </w:r>
          </w:p>
          <w:p w14:paraId="337581BE" w14:textId="77777777"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5</w:t>
            </w:r>
            <w:r w:rsidRPr="005A284F">
              <w:rPr>
                <w:rFonts w:ascii="Times New Roman" w:eastAsia="宋体" w:hAnsi="Times New Roman" w:cs="Times New Roman"/>
                <w:sz w:val="18"/>
                <w:szCs w:val="18"/>
              </w:rPr>
              <w:t>、本公司</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本人及本公司</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本人控制的除上市公司外的其他成员因违反前述声明、承诺而获得的收益由上市公司享有，如造成上市公司经济损失的，本公</w:t>
            </w:r>
            <w:r w:rsidRPr="005A284F">
              <w:rPr>
                <w:rFonts w:ascii="Times New Roman" w:eastAsia="宋体" w:hAnsi="Times New Roman" w:cs="Times New Roman"/>
                <w:sz w:val="18"/>
                <w:szCs w:val="18"/>
              </w:rPr>
              <w:lastRenderedPageBreak/>
              <w:t>司</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本人同意赔偿上市公司相应损失；</w:t>
            </w:r>
          </w:p>
          <w:p w14:paraId="3DFF156A" w14:textId="77777777"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6</w:t>
            </w:r>
            <w:r w:rsidRPr="005A284F">
              <w:rPr>
                <w:rFonts w:ascii="Times New Roman" w:eastAsia="宋体" w:hAnsi="Times New Roman" w:cs="Times New Roman"/>
                <w:sz w:val="18"/>
                <w:szCs w:val="18"/>
              </w:rPr>
              <w:t>、本公司</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本人分别于</w:t>
            </w:r>
            <w:r w:rsidRPr="005A284F">
              <w:rPr>
                <w:rFonts w:ascii="Times New Roman" w:eastAsia="宋体" w:hAnsi="Times New Roman" w:cs="Times New Roman"/>
                <w:sz w:val="18"/>
                <w:szCs w:val="18"/>
              </w:rPr>
              <w:t>2019</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5</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24</w:t>
            </w:r>
            <w:r w:rsidRPr="005A284F">
              <w:rPr>
                <w:rFonts w:ascii="Times New Roman" w:eastAsia="宋体" w:hAnsi="Times New Roman" w:cs="Times New Roman"/>
                <w:sz w:val="18"/>
                <w:szCs w:val="18"/>
              </w:rPr>
              <w:t>日、</w:t>
            </w:r>
            <w:r w:rsidRPr="005A284F">
              <w:rPr>
                <w:rFonts w:ascii="Times New Roman" w:eastAsia="宋体" w:hAnsi="Times New Roman" w:cs="Times New Roman"/>
                <w:sz w:val="18"/>
                <w:szCs w:val="18"/>
              </w:rPr>
              <w:t>2019</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15</w:t>
            </w:r>
            <w:r w:rsidRPr="005A284F">
              <w:rPr>
                <w:rFonts w:ascii="Times New Roman" w:eastAsia="宋体" w:hAnsi="Times New Roman" w:cs="Times New Roman"/>
                <w:sz w:val="18"/>
                <w:szCs w:val="18"/>
              </w:rPr>
              <w:t>日、</w:t>
            </w:r>
            <w:r w:rsidRPr="005A284F">
              <w:rPr>
                <w:rFonts w:ascii="Times New Roman" w:eastAsia="宋体" w:hAnsi="Times New Roman" w:cs="Times New Roman"/>
                <w:sz w:val="18"/>
                <w:szCs w:val="18"/>
              </w:rPr>
              <w:t xml:space="preserve">2019 </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20</w:t>
            </w:r>
            <w:r w:rsidRPr="005A284F">
              <w:rPr>
                <w:rFonts w:ascii="Times New Roman" w:eastAsia="宋体" w:hAnsi="Times New Roman" w:cs="Times New Roman"/>
                <w:sz w:val="18"/>
                <w:szCs w:val="18"/>
              </w:rPr>
              <w:t>日、</w:t>
            </w:r>
            <w:r w:rsidRPr="005A284F">
              <w:rPr>
                <w:rFonts w:ascii="Times New Roman" w:eastAsia="宋体" w:hAnsi="Times New Roman" w:cs="Times New Roman"/>
                <w:sz w:val="18"/>
                <w:szCs w:val="18"/>
              </w:rPr>
              <w:t>2020</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 xml:space="preserve"> 4</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17</w:t>
            </w:r>
            <w:r w:rsidRPr="005A284F">
              <w:rPr>
                <w:rFonts w:ascii="Times New Roman" w:eastAsia="宋体" w:hAnsi="Times New Roman" w:cs="Times New Roman"/>
                <w:sz w:val="18"/>
                <w:szCs w:val="18"/>
              </w:rPr>
              <w:t>日、</w:t>
            </w:r>
            <w:r w:rsidRPr="005A284F">
              <w:rPr>
                <w:rFonts w:ascii="Times New Roman" w:eastAsia="宋体" w:hAnsi="Times New Roman" w:cs="Times New Roman"/>
                <w:sz w:val="18"/>
                <w:szCs w:val="18"/>
              </w:rPr>
              <w:t>2021</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 xml:space="preserve"> 25</w:t>
            </w:r>
            <w:r w:rsidRPr="005A284F">
              <w:rPr>
                <w:rFonts w:ascii="Times New Roman" w:eastAsia="宋体" w:hAnsi="Times New Roman" w:cs="Times New Roman"/>
                <w:sz w:val="18"/>
                <w:szCs w:val="18"/>
              </w:rPr>
              <w:t>日作出的《关于避免同业竞争的承诺》中与本承诺内容不一致的，以本承诺内容为准；除上述情况外，其余承诺内容均继续履行。</w:t>
            </w:r>
          </w:p>
        </w:tc>
        <w:tc>
          <w:tcPr>
            <w:tcW w:w="1559" w:type="dxa"/>
            <w:tcBorders>
              <w:top w:val="single" w:sz="2" w:space="0" w:color="auto"/>
              <w:left w:val="single" w:sz="2" w:space="0" w:color="auto"/>
              <w:bottom w:val="single" w:sz="2" w:space="0" w:color="auto"/>
              <w:right w:val="single" w:sz="2" w:space="0" w:color="auto"/>
            </w:tcBorders>
            <w:vAlign w:val="center"/>
          </w:tcPr>
          <w:p w14:paraId="7DE5509B" w14:textId="77777777"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2023</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01</w:t>
            </w:r>
            <w:r w:rsidRPr="005A284F">
              <w:rPr>
                <w:rFonts w:ascii="Times New Roman" w:eastAsia="宋体" w:hAnsi="Times New Roman" w:cs="Times New Roman"/>
                <w:sz w:val="18"/>
                <w:szCs w:val="18"/>
              </w:rPr>
              <w:t>日</w:t>
            </w:r>
          </w:p>
        </w:tc>
        <w:tc>
          <w:tcPr>
            <w:tcW w:w="814" w:type="dxa"/>
            <w:tcBorders>
              <w:top w:val="single" w:sz="2" w:space="0" w:color="auto"/>
              <w:left w:val="single" w:sz="2" w:space="0" w:color="auto"/>
              <w:bottom w:val="single" w:sz="2" w:space="0" w:color="auto"/>
              <w:right w:val="single" w:sz="2" w:space="0" w:color="auto"/>
            </w:tcBorders>
            <w:vAlign w:val="center"/>
          </w:tcPr>
          <w:p w14:paraId="615246FD" w14:textId="77777777"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长期</w:t>
            </w:r>
          </w:p>
        </w:tc>
        <w:tc>
          <w:tcPr>
            <w:tcW w:w="992" w:type="dxa"/>
            <w:tcBorders>
              <w:top w:val="single" w:sz="2" w:space="0" w:color="auto"/>
              <w:left w:val="single" w:sz="2" w:space="0" w:color="auto"/>
              <w:bottom w:val="single" w:sz="2" w:space="0" w:color="auto"/>
              <w:right w:val="single" w:sz="2" w:space="0" w:color="auto"/>
            </w:tcBorders>
            <w:vAlign w:val="center"/>
          </w:tcPr>
          <w:p w14:paraId="2C7A3B57" w14:textId="77777777"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正常履行中</w:t>
            </w:r>
          </w:p>
        </w:tc>
      </w:tr>
      <w:tr w:rsidR="006C011D" w:rsidRPr="005A284F" w14:paraId="4AF293CB" w14:textId="77777777" w:rsidTr="00CB7CD9">
        <w:trPr>
          <w:trHeight w:val="240"/>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79F54EA0"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收购报告书或权益变动报告书中所作承诺</w:t>
            </w:r>
          </w:p>
        </w:tc>
        <w:tc>
          <w:tcPr>
            <w:tcW w:w="1134" w:type="dxa"/>
            <w:tcBorders>
              <w:top w:val="single" w:sz="2" w:space="0" w:color="auto"/>
              <w:left w:val="single" w:sz="2" w:space="0" w:color="auto"/>
              <w:bottom w:val="single" w:sz="2" w:space="0" w:color="auto"/>
              <w:right w:val="single" w:sz="2" w:space="0" w:color="auto"/>
            </w:tcBorders>
            <w:vAlign w:val="center"/>
          </w:tcPr>
          <w:p w14:paraId="52D64E4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p>
        </w:tc>
        <w:tc>
          <w:tcPr>
            <w:tcW w:w="1029" w:type="dxa"/>
            <w:tcBorders>
              <w:top w:val="single" w:sz="2" w:space="0" w:color="auto"/>
              <w:left w:val="single" w:sz="2" w:space="0" w:color="auto"/>
              <w:bottom w:val="single" w:sz="2" w:space="0" w:color="auto"/>
              <w:right w:val="single" w:sz="2" w:space="0" w:color="auto"/>
            </w:tcBorders>
            <w:vAlign w:val="center"/>
          </w:tcPr>
          <w:p w14:paraId="0286DBA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关于同业竞争、关联交易、资金占用方面的承诺</w:t>
            </w:r>
          </w:p>
        </w:tc>
        <w:tc>
          <w:tcPr>
            <w:tcW w:w="4111" w:type="dxa"/>
            <w:tcBorders>
              <w:top w:val="single" w:sz="2" w:space="0" w:color="auto"/>
              <w:left w:val="single" w:sz="2" w:space="0" w:color="auto"/>
              <w:bottom w:val="single" w:sz="2" w:space="0" w:color="auto"/>
              <w:right w:val="single" w:sz="2" w:space="0" w:color="auto"/>
            </w:tcBorders>
            <w:vAlign w:val="center"/>
          </w:tcPr>
          <w:p w14:paraId="3E83109F" w14:textId="2AE92E1B"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为减少和规范未来可能存在的关联交易，本公司作出如下承诺：本公司将尽量减少并规范与上市公司之间的关联交易。对于无法避免或有合理原因而发生的关联交易，本公司及本公司的关联方将在严格遵循市场公开、公平、公正的原则基础上以公允、合理的市场价格进行，并根据有关法律、法规及规范性文件的规定履行关联交易决策程序，依法履行信息披露义务，以保证上市公司的利益不受损害。如违反上述承诺，本公司愿意承担由此产生的全部责任，充分赔偿或补偿由此给上市公司造成的所有直接或间接损失。</w:t>
            </w:r>
          </w:p>
        </w:tc>
        <w:tc>
          <w:tcPr>
            <w:tcW w:w="1559" w:type="dxa"/>
            <w:tcBorders>
              <w:top w:val="single" w:sz="2" w:space="0" w:color="auto"/>
              <w:left w:val="single" w:sz="2" w:space="0" w:color="auto"/>
              <w:bottom w:val="single" w:sz="2" w:space="0" w:color="auto"/>
              <w:right w:val="single" w:sz="2" w:space="0" w:color="auto"/>
            </w:tcBorders>
            <w:vAlign w:val="center"/>
          </w:tcPr>
          <w:p w14:paraId="4521677F" w14:textId="77777777"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2019</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06</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17</w:t>
            </w:r>
            <w:r w:rsidRPr="005A284F">
              <w:rPr>
                <w:rFonts w:ascii="Times New Roman" w:eastAsia="宋体" w:hAnsi="Times New Roman" w:cs="Times New Roman"/>
                <w:sz w:val="18"/>
                <w:szCs w:val="18"/>
              </w:rPr>
              <w:t>日</w:t>
            </w:r>
          </w:p>
        </w:tc>
        <w:tc>
          <w:tcPr>
            <w:tcW w:w="814" w:type="dxa"/>
            <w:tcBorders>
              <w:top w:val="single" w:sz="2" w:space="0" w:color="auto"/>
              <w:left w:val="single" w:sz="2" w:space="0" w:color="auto"/>
              <w:bottom w:val="single" w:sz="2" w:space="0" w:color="auto"/>
              <w:right w:val="single" w:sz="2" w:space="0" w:color="auto"/>
            </w:tcBorders>
            <w:vAlign w:val="center"/>
          </w:tcPr>
          <w:p w14:paraId="2D8C54C5" w14:textId="77777777"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长期</w:t>
            </w:r>
          </w:p>
        </w:tc>
        <w:tc>
          <w:tcPr>
            <w:tcW w:w="992" w:type="dxa"/>
            <w:tcBorders>
              <w:top w:val="single" w:sz="2" w:space="0" w:color="auto"/>
              <w:left w:val="single" w:sz="2" w:space="0" w:color="auto"/>
              <w:bottom w:val="single" w:sz="2" w:space="0" w:color="auto"/>
              <w:right w:val="single" w:sz="2" w:space="0" w:color="auto"/>
            </w:tcBorders>
            <w:vAlign w:val="center"/>
          </w:tcPr>
          <w:p w14:paraId="7B9CD70A" w14:textId="77777777"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正常履行中</w:t>
            </w:r>
          </w:p>
        </w:tc>
      </w:tr>
      <w:tr w:rsidR="006C011D" w:rsidRPr="005A284F" w14:paraId="6C0C73EA" w14:textId="77777777" w:rsidTr="00CB7CD9">
        <w:trPr>
          <w:trHeight w:val="240"/>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571CA1A5"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收购报告书或权益变动报告书中所作承诺</w:t>
            </w:r>
          </w:p>
        </w:tc>
        <w:tc>
          <w:tcPr>
            <w:tcW w:w="1134" w:type="dxa"/>
            <w:tcBorders>
              <w:top w:val="single" w:sz="2" w:space="0" w:color="auto"/>
              <w:left w:val="single" w:sz="2" w:space="0" w:color="auto"/>
              <w:bottom w:val="single" w:sz="2" w:space="0" w:color="auto"/>
              <w:right w:val="single" w:sz="2" w:space="0" w:color="auto"/>
            </w:tcBorders>
            <w:vAlign w:val="center"/>
          </w:tcPr>
          <w:p w14:paraId="00721B0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p>
        </w:tc>
        <w:tc>
          <w:tcPr>
            <w:tcW w:w="1029" w:type="dxa"/>
            <w:tcBorders>
              <w:top w:val="single" w:sz="2" w:space="0" w:color="auto"/>
              <w:left w:val="single" w:sz="2" w:space="0" w:color="auto"/>
              <w:bottom w:val="single" w:sz="2" w:space="0" w:color="auto"/>
              <w:right w:val="single" w:sz="2" w:space="0" w:color="auto"/>
            </w:tcBorders>
            <w:vAlign w:val="center"/>
          </w:tcPr>
          <w:p w14:paraId="3484689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其他承诺</w:t>
            </w:r>
          </w:p>
        </w:tc>
        <w:tc>
          <w:tcPr>
            <w:tcW w:w="4111" w:type="dxa"/>
            <w:tcBorders>
              <w:top w:val="single" w:sz="2" w:space="0" w:color="auto"/>
              <w:left w:val="single" w:sz="2" w:space="0" w:color="auto"/>
              <w:bottom w:val="single" w:sz="2" w:space="0" w:color="auto"/>
              <w:right w:val="single" w:sz="2" w:space="0" w:color="auto"/>
            </w:tcBorders>
            <w:vAlign w:val="center"/>
          </w:tcPr>
          <w:p w14:paraId="56AE0CED" w14:textId="77777777"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本公司取得龙大肉食股份后，为了保持上市公司独立性，本公司作出以下承诺：</w:t>
            </w:r>
          </w:p>
          <w:p w14:paraId="6E32C6C9" w14:textId="77777777"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、人员独立</w:t>
            </w:r>
          </w:p>
          <w:p w14:paraId="2D00F7B8" w14:textId="77777777"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）保证上市公司总经理、副总经理、财务负责人、董事会秘书等高级管理人员专职在上市公司工作，并在上市公司领取薪酬，不在本公司及本公司控制的其他企业兼职担任高级管理人员。</w:t>
            </w:r>
          </w:p>
          <w:p w14:paraId="192C1A80" w14:textId="77777777"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）保证上市公司的财务人员独立，不在本公司及本公司控制的其他企业中兼职或领取报酬。</w:t>
            </w:r>
          </w:p>
          <w:p w14:paraId="4C014D02" w14:textId="77777777"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）保证上市公司拥有完整独立的劳动、人事及薪酬管理体系，该等体系和本公司及本公司控制的其他企业之间完全独立。</w:t>
            </w:r>
          </w:p>
          <w:p w14:paraId="68F41B84" w14:textId="77777777"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）保证本公司未来推荐出任上市公司董事、监事和高级管理人员的人选均通过合法程序进行，本公司不干预上市公司董事会和股东大会做出的人事任免决定。</w:t>
            </w:r>
          </w:p>
          <w:p w14:paraId="77D09654" w14:textId="77777777"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、资产独立</w:t>
            </w:r>
          </w:p>
          <w:p w14:paraId="18240CA1" w14:textId="77777777"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）保证上市公司及其子公司资产的独立完整。</w:t>
            </w:r>
          </w:p>
          <w:p w14:paraId="3A05368F" w14:textId="77777777"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）保证本公司及本公司控制的其他企业不违规占用上市公司及其子公司资产、资金及其他资源。</w:t>
            </w:r>
          </w:p>
          <w:p w14:paraId="750ADD05" w14:textId="77777777"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）保证不以上市公司的资产为本公司及本公司控制的其他企业的债务违规提供担保。</w:t>
            </w:r>
          </w:p>
          <w:p w14:paraId="3CCDF730" w14:textId="77777777"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、财务独立</w:t>
            </w:r>
          </w:p>
          <w:p w14:paraId="4490B558" w14:textId="77777777"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）保证上市公司及其子公司设置独立的财务会计部门和拥有独立的财务核算体系和财务管理制度。</w:t>
            </w:r>
          </w:p>
          <w:p w14:paraId="7E89C0B0" w14:textId="77777777"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）保证上市公司及其子公司在财务决策方面保持独立，本公司及本公司控制的其他企业不干涉上市公司及其子公司的资金使用。</w:t>
            </w:r>
          </w:p>
          <w:p w14:paraId="05B22A55" w14:textId="77777777"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）保证上市公司及其子公司保持自己独立的银行账户，不与本公司及本公司控制的其他企业共用一个银行账户。</w:t>
            </w:r>
          </w:p>
          <w:p w14:paraId="1F0EC53D" w14:textId="77777777"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、机构独立</w:t>
            </w:r>
          </w:p>
          <w:p w14:paraId="784101C4" w14:textId="23CA5D89"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）保证上市公司及其子公司已经建立和完善法人治理结构，并与本公司及本公司控制的其他企业的</w:t>
            </w:r>
            <w:r w:rsidRPr="005A284F">
              <w:rPr>
                <w:rFonts w:ascii="Times New Roman" w:eastAsia="宋体" w:hAnsi="Times New Roman" w:cs="Times New Roman"/>
                <w:sz w:val="18"/>
                <w:szCs w:val="18"/>
              </w:rPr>
              <w:lastRenderedPageBreak/>
              <w:t>机构完全分开；保证上市公司及其子公司与本公司及本公司控制的其他企业之间在办公机构和生产经营场所等方面完全分开。</w:t>
            </w:r>
          </w:p>
          <w:p w14:paraId="6C4A88FA" w14:textId="25731E79"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）保证上市公司及其子公司独立自主运作，保证上市公司的股东大会、董事会、独立董事、监事会、高级管理人员等依照法律、法规和公司章程独立行使职权。</w:t>
            </w:r>
          </w:p>
          <w:p w14:paraId="0275C3C1" w14:textId="77777777"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5</w:t>
            </w:r>
            <w:r w:rsidRPr="005A284F">
              <w:rPr>
                <w:rFonts w:ascii="Times New Roman" w:eastAsia="宋体" w:hAnsi="Times New Roman" w:cs="Times New Roman"/>
                <w:sz w:val="18"/>
                <w:szCs w:val="18"/>
              </w:rPr>
              <w:t>、业务独立</w:t>
            </w:r>
          </w:p>
          <w:p w14:paraId="7AE369FF" w14:textId="77777777"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保证上市公司及其子公司拥有独立的生产和销售体系；在本次权益变动后拥有独立开展经营活动的资产、人员、资质及已具有独立面向市场自主经营的能力，在产、供、销环节不依赖于本公司及本公司控制的其他企业。</w:t>
            </w:r>
          </w:p>
          <w:p w14:paraId="506DBDE1" w14:textId="4C64C94B"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保证严格控制关联交易事项，尽可能减少上市公司及其子公司与本公司控制的其他企业之间的关联交易。杜绝非法占用上市公司资金、资产的行为，并不要求上市公司及其子公司向本公司及本公司控制的其他企业提供任何形式的担保。对于无法避免的关联交易将本着</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公平、公正、公开</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的原则，与对非关联企业的交易价格保持一致，并及时进行信息披露。确保上市公司与控股股东、实际控制人及其控制的其他企业间不存在显失公平的关联交易。</w:t>
            </w:r>
          </w:p>
          <w:p w14:paraId="1D1A3AA8" w14:textId="77777777"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）保证不通过单独或一致行动途径，以依法行使股东权利以外的任何方式，干预上市公司的重大决策事项，影响上市公司资产、人员、财务、机构、业务的独立性。</w:t>
            </w:r>
          </w:p>
        </w:tc>
        <w:tc>
          <w:tcPr>
            <w:tcW w:w="1559" w:type="dxa"/>
            <w:tcBorders>
              <w:top w:val="single" w:sz="2" w:space="0" w:color="auto"/>
              <w:left w:val="single" w:sz="2" w:space="0" w:color="auto"/>
              <w:bottom w:val="single" w:sz="2" w:space="0" w:color="auto"/>
              <w:right w:val="single" w:sz="2" w:space="0" w:color="auto"/>
            </w:tcBorders>
            <w:vAlign w:val="center"/>
          </w:tcPr>
          <w:p w14:paraId="1248FCC6" w14:textId="77777777"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2019</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06</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17</w:t>
            </w:r>
            <w:r w:rsidRPr="005A284F">
              <w:rPr>
                <w:rFonts w:ascii="Times New Roman" w:eastAsia="宋体" w:hAnsi="Times New Roman" w:cs="Times New Roman"/>
                <w:sz w:val="18"/>
                <w:szCs w:val="18"/>
              </w:rPr>
              <w:t>日</w:t>
            </w:r>
          </w:p>
        </w:tc>
        <w:tc>
          <w:tcPr>
            <w:tcW w:w="814" w:type="dxa"/>
            <w:tcBorders>
              <w:top w:val="single" w:sz="2" w:space="0" w:color="auto"/>
              <w:left w:val="single" w:sz="2" w:space="0" w:color="auto"/>
              <w:bottom w:val="single" w:sz="2" w:space="0" w:color="auto"/>
              <w:right w:val="single" w:sz="2" w:space="0" w:color="auto"/>
            </w:tcBorders>
            <w:vAlign w:val="center"/>
          </w:tcPr>
          <w:p w14:paraId="1516052F" w14:textId="77777777"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长期</w:t>
            </w:r>
          </w:p>
        </w:tc>
        <w:tc>
          <w:tcPr>
            <w:tcW w:w="992" w:type="dxa"/>
            <w:tcBorders>
              <w:top w:val="single" w:sz="2" w:space="0" w:color="auto"/>
              <w:left w:val="single" w:sz="2" w:space="0" w:color="auto"/>
              <w:bottom w:val="single" w:sz="2" w:space="0" w:color="auto"/>
              <w:right w:val="single" w:sz="2" w:space="0" w:color="auto"/>
            </w:tcBorders>
            <w:vAlign w:val="center"/>
          </w:tcPr>
          <w:p w14:paraId="08D199F8" w14:textId="77777777"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正常履行中</w:t>
            </w:r>
          </w:p>
        </w:tc>
      </w:tr>
      <w:tr w:rsidR="006C011D" w:rsidRPr="005A284F" w14:paraId="35D6AA03" w14:textId="77777777" w:rsidTr="00CB7CD9">
        <w:trPr>
          <w:trHeight w:val="240"/>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34C7DA62"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首次公开发行或再融资时所作承诺</w:t>
            </w:r>
          </w:p>
        </w:tc>
        <w:tc>
          <w:tcPr>
            <w:tcW w:w="1134" w:type="dxa"/>
            <w:tcBorders>
              <w:top w:val="single" w:sz="2" w:space="0" w:color="auto"/>
              <w:left w:val="single" w:sz="2" w:space="0" w:color="auto"/>
              <w:bottom w:val="single" w:sz="2" w:space="0" w:color="auto"/>
              <w:right w:val="single" w:sz="2" w:space="0" w:color="auto"/>
            </w:tcBorders>
            <w:vAlign w:val="center"/>
          </w:tcPr>
          <w:p w14:paraId="7211BD8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龙大食品集团有限公司</w:t>
            </w:r>
          </w:p>
        </w:tc>
        <w:tc>
          <w:tcPr>
            <w:tcW w:w="1029" w:type="dxa"/>
            <w:tcBorders>
              <w:top w:val="single" w:sz="2" w:space="0" w:color="auto"/>
              <w:left w:val="single" w:sz="2" w:space="0" w:color="auto"/>
              <w:bottom w:val="single" w:sz="2" w:space="0" w:color="auto"/>
              <w:right w:val="single" w:sz="2" w:space="0" w:color="auto"/>
            </w:tcBorders>
            <w:vAlign w:val="center"/>
          </w:tcPr>
          <w:p w14:paraId="2DA12C1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股份回购承诺</w:t>
            </w:r>
          </w:p>
        </w:tc>
        <w:tc>
          <w:tcPr>
            <w:tcW w:w="4111" w:type="dxa"/>
            <w:tcBorders>
              <w:top w:val="single" w:sz="2" w:space="0" w:color="auto"/>
              <w:left w:val="single" w:sz="2" w:space="0" w:color="auto"/>
              <w:bottom w:val="single" w:sz="2" w:space="0" w:color="auto"/>
              <w:right w:val="single" w:sz="2" w:space="0" w:color="auto"/>
            </w:tcBorders>
            <w:vAlign w:val="center"/>
          </w:tcPr>
          <w:p w14:paraId="1B25BAB0" w14:textId="77777777"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股份回购承诺内容如下：如发行人招股说明书有虚假记载、误导性陈述或者重大遗漏，对判断发行人是否符合法律规定的发行条件构成重大、实质影响的，本公司将督促发行人依法回购首次公开发行的全部新股，并且本公司将依法购回发行人首次公开发行股票时本公司公开发售的股份。</w:t>
            </w:r>
          </w:p>
          <w:p w14:paraId="07036A68" w14:textId="63002FCC"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本公司将在中国证监会认定有关违法事实的当日通过公司进行公告，并在上述事项认定后</w:t>
            </w:r>
            <w:r w:rsidRPr="005A284F">
              <w:rPr>
                <w:rFonts w:ascii="Times New Roman" w:eastAsia="宋体" w:hAnsi="Times New Roman" w:cs="Times New Roman"/>
                <w:sz w:val="18"/>
                <w:szCs w:val="18"/>
              </w:rPr>
              <w:t>15</w:t>
            </w:r>
            <w:r w:rsidRPr="005A284F">
              <w:rPr>
                <w:rFonts w:ascii="Times New Roman" w:eastAsia="宋体" w:hAnsi="Times New Roman" w:cs="Times New Roman"/>
                <w:sz w:val="18"/>
                <w:szCs w:val="18"/>
              </w:rPr>
              <w:t>个交易日内启动购回事项，采用二级市场集中竞价交易、大宗交易、协议转让或要约收购等方式购回发行人首次公开发行股票时本公司公开发售的股份。本公司承诺按市场价格且不低于发行价格进行回购，如因中国证监会认定有关违法事实导致公司启动股份回购措施时公司股票已经停牌，则回购价格为公司股票停牌前一个交易日平均交易价格（平均交易价格</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当日总成交额</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当日总成交量）且不低于发行价格。公司上市后发生除权除息事项的，上述购回价格及购回股份数量应做相应调整。如发行人招股说明书有虚假记载、误导性陈述或者重大遗漏，致使投资者在证券交易中遭受损失的，本公司将依法赔偿投资者损失。在该等违法事实被中国证监会、证券交易所或司法机关认定后，将本着简化程序、积极协商、先行赔付、切实保障投资者特别是中小投资者利益的原则，按照投资者直接遭受的可测算的经济</w:t>
            </w:r>
            <w:r w:rsidRPr="005A284F">
              <w:rPr>
                <w:rFonts w:ascii="Times New Roman" w:eastAsia="宋体" w:hAnsi="Times New Roman" w:cs="Times New Roman"/>
                <w:sz w:val="18"/>
                <w:szCs w:val="18"/>
              </w:rPr>
              <w:lastRenderedPageBreak/>
              <w:t>损失选择与投资者和解、通过第三方与投资者调解及设立投资者赔偿基金等方式积极赔偿投资者由此遭受的直接经济损失。</w:t>
            </w:r>
          </w:p>
        </w:tc>
        <w:tc>
          <w:tcPr>
            <w:tcW w:w="1559" w:type="dxa"/>
            <w:tcBorders>
              <w:top w:val="single" w:sz="2" w:space="0" w:color="auto"/>
              <w:left w:val="single" w:sz="2" w:space="0" w:color="auto"/>
              <w:bottom w:val="single" w:sz="2" w:space="0" w:color="auto"/>
              <w:right w:val="single" w:sz="2" w:space="0" w:color="auto"/>
            </w:tcBorders>
            <w:vAlign w:val="center"/>
          </w:tcPr>
          <w:p w14:paraId="2915D958" w14:textId="77777777"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2014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06</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16</w:t>
            </w:r>
            <w:r w:rsidRPr="005A284F">
              <w:rPr>
                <w:rFonts w:ascii="Times New Roman" w:eastAsia="宋体" w:hAnsi="Times New Roman" w:cs="Times New Roman"/>
                <w:sz w:val="18"/>
                <w:szCs w:val="18"/>
              </w:rPr>
              <w:t>日</w:t>
            </w:r>
          </w:p>
        </w:tc>
        <w:tc>
          <w:tcPr>
            <w:tcW w:w="814" w:type="dxa"/>
            <w:tcBorders>
              <w:top w:val="single" w:sz="2" w:space="0" w:color="auto"/>
              <w:left w:val="single" w:sz="2" w:space="0" w:color="auto"/>
              <w:bottom w:val="single" w:sz="2" w:space="0" w:color="auto"/>
              <w:right w:val="single" w:sz="2" w:space="0" w:color="auto"/>
            </w:tcBorders>
            <w:vAlign w:val="center"/>
          </w:tcPr>
          <w:p w14:paraId="463FDC56" w14:textId="77777777"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长期</w:t>
            </w:r>
          </w:p>
        </w:tc>
        <w:tc>
          <w:tcPr>
            <w:tcW w:w="992" w:type="dxa"/>
            <w:tcBorders>
              <w:top w:val="single" w:sz="2" w:space="0" w:color="auto"/>
              <w:left w:val="single" w:sz="2" w:space="0" w:color="auto"/>
              <w:bottom w:val="single" w:sz="2" w:space="0" w:color="auto"/>
              <w:right w:val="single" w:sz="2" w:space="0" w:color="auto"/>
            </w:tcBorders>
            <w:vAlign w:val="center"/>
          </w:tcPr>
          <w:p w14:paraId="1AF4A124" w14:textId="77777777"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正常履行中</w:t>
            </w:r>
          </w:p>
        </w:tc>
      </w:tr>
      <w:tr w:rsidR="006C011D" w:rsidRPr="005A284F" w14:paraId="1A4076C2" w14:textId="77777777" w:rsidTr="00CB7CD9">
        <w:trPr>
          <w:trHeight w:val="240"/>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0744F6F5"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首次公开发行或再融资时所作承诺</w:t>
            </w:r>
          </w:p>
        </w:tc>
        <w:tc>
          <w:tcPr>
            <w:tcW w:w="1134" w:type="dxa"/>
            <w:tcBorders>
              <w:top w:val="single" w:sz="2" w:space="0" w:color="auto"/>
              <w:left w:val="single" w:sz="2" w:space="0" w:color="auto"/>
              <w:bottom w:val="single" w:sz="2" w:space="0" w:color="auto"/>
              <w:right w:val="single" w:sz="2" w:space="0" w:color="auto"/>
            </w:tcBorders>
            <w:vAlign w:val="center"/>
          </w:tcPr>
          <w:p w14:paraId="7BC2BB8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董瑞旭</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宫明杰</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宫旭杰</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宫学斌</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郭延亮</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纪鹏斌</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刘惠荣</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刘克连</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秋山刚</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谭喆夫</w:t>
            </w:r>
            <w:r w:rsidRPr="005A284F">
              <w:rPr>
                <w:rFonts w:ascii="Times New Roman" w:eastAsia="宋体" w:hAnsi="Times New Roman" w:cs="Times New Roman"/>
                <w:sz w:val="18"/>
                <w:szCs w:val="18"/>
              </w:rPr>
              <w:t>;</w:t>
            </w:r>
          </w:p>
          <w:p w14:paraId="78A09EB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土桥晃</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王辉</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王蔚松</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张德润</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赵方胜</w:t>
            </w:r>
          </w:p>
        </w:tc>
        <w:tc>
          <w:tcPr>
            <w:tcW w:w="1029" w:type="dxa"/>
            <w:tcBorders>
              <w:top w:val="single" w:sz="2" w:space="0" w:color="auto"/>
              <w:left w:val="single" w:sz="2" w:space="0" w:color="auto"/>
              <w:bottom w:val="single" w:sz="2" w:space="0" w:color="auto"/>
              <w:right w:val="single" w:sz="2" w:space="0" w:color="auto"/>
            </w:tcBorders>
            <w:vAlign w:val="center"/>
          </w:tcPr>
          <w:p w14:paraId="44F6357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其他承诺</w:t>
            </w:r>
          </w:p>
        </w:tc>
        <w:tc>
          <w:tcPr>
            <w:tcW w:w="4111" w:type="dxa"/>
            <w:tcBorders>
              <w:top w:val="single" w:sz="2" w:space="0" w:color="auto"/>
              <w:left w:val="single" w:sz="2" w:space="0" w:color="auto"/>
              <w:bottom w:val="single" w:sz="2" w:space="0" w:color="auto"/>
              <w:right w:val="single" w:sz="2" w:space="0" w:color="auto"/>
            </w:tcBorders>
            <w:vAlign w:val="center"/>
          </w:tcPr>
          <w:p w14:paraId="7EFB6627" w14:textId="5D96A095"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关于发行人招股书披露瑕疵致使投资者在证券交易中遭受损失的赔偿承诺：如发行人招股说明书有虚假记载、误导性陈述或者重大遗漏，致使投资者在证券交易中遭受损失的，本人将依法赔偿投资者损失。在该等违法事实被中国证监会、证券交易所或司法机关认定后，将本着简化程序、积极协商、先行赔付、切实保障投资者特别是中小投资者利益的原则，按照投资者直接遭受的可测算的经济损失选择与投资者和解、通过第三方与投资者调解及设立投资者赔偿基金等方式积极赔偿投资者由此遭受的直接经济损失。</w:t>
            </w:r>
          </w:p>
          <w:p w14:paraId="22B7D33A" w14:textId="769B5874"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若本人违反上述承诺，则将在发行人股东大会及中国证监会指定报刊上公开就未履行上述赔偿措施向发行人股东和社会公众投资者道歉，并在违反上述赔偿措施发生之日起</w:t>
            </w:r>
            <w:r w:rsidRPr="005A284F">
              <w:rPr>
                <w:rFonts w:ascii="Times New Roman" w:eastAsia="宋体" w:hAnsi="Times New Roman" w:cs="Times New Roman"/>
                <w:sz w:val="18"/>
                <w:szCs w:val="18"/>
              </w:rPr>
              <w:t>5</w:t>
            </w:r>
            <w:r w:rsidRPr="005A284F">
              <w:rPr>
                <w:rFonts w:ascii="Times New Roman" w:eastAsia="宋体" w:hAnsi="Times New Roman" w:cs="Times New Roman"/>
                <w:sz w:val="18"/>
                <w:szCs w:val="18"/>
              </w:rPr>
              <w:t>个工作日内，停止在发行人处领取薪酬（或津贴）及股东分红（如有），同时本人持有的发行人股份（如有）将不得转让，直至本人按上述承诺采取相应的赔偿措施并实施完毕时为止。</w:t>
            </w:r>
          </w:p>
        </w:tc>
        <w:tc>
          <w:tcPr>
            <w:tcW w:w="1559" w:type="dxa"/>
            <w:tcBorders>
              <w:top w:val="single" w:sz="2" w:space="0" w:color="auto"/>
              <w:left w:val="single" w:sz="2" w:space="0" w:color="auto"/>
              <w:bottom w:val="single" w:sz="2" w:space="0" w:color="auto"/>
              <w:right w:val="single" w:sz="2" w:space="0" w:color="auto"/>
            </w:tcBorders>
            <w:vAlign w:val="center"/>
          </w:tcPr>
          <w:p w14:paraId="012F1990" w14:textId="77777777"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2014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06</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26</w:t>
            </w:r>
            <w:r w:rsidRPr="005A284F">
              <w:rPr>
                <w:rFonts w:ascii="Times New Roman" w:eastAsia="宋体" w:hAnsi="Times New Roman" w:cs="Times New Roman"/>
                <w:sz w:val="18"/>
                <w:szCs w:val="18"/>
              </w:rPr>
              <w:t>日</w:t>
            </w:r>
          </w:p>
        </w:tc>
        <w:tc>
          <w:tcPr>
            <w:tcW w:w="814" w:type="dxa"/>
            <w:tcBorders>
              <w:top w:val="single" w:sz="2" w:space="0" w:color="auto"/>
              <w:left w:val="single" w:sz="2" w:space="0" w:color="auto"/>
              <w:bottom w:val="single" w:sz="2" w:space="0" w:color="auto"/>
              <w:right w:val="single" w:sz="2" w:space="0" w:color="auto"/>
            </w:tcBorders>
            <w:vAlign w:val="center"/>
          </w:tcPr>
          <w:p w14:paraId="06F4535A" w14:textId="77777777"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长期</w:t>
            </w:r>
          </w:p>
        </w:tc>
        <w:tc>
          <w:tcPr>
            <w:tcW w:w="992" w:type="dxa"/>
            <w:tcBorders>
              <w:top w:val="single" w:sz="2" w:space="0" w:color="auto"/>
              <w:left w:val="single" w:sz="2" w:space="0" w:color="auto"/>
              <w:bottom w:val="single" w:sz="2" w:space="0" w:color="auto"/>
              <w:right w:val="single" w:sz="2" w:space="0" w:color="auto"/>
            </w:tcBorders>
            <w:vAlign w:val="center"/>
          </w:tcPr>
          <w:p w14:paraId="662E5359" w14:textId="77777777" w:rsidR="006C011D" w:rsidRPr="005A284F" w:rsidRDefault="00000000" w:rsidP="00CB7CD9">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正常履行中</w:t>
            </w:r>
          </w:p>
        </w:tc>
      </w:tr>
      <w:tr w:rsidR="006C011D" w:rsidRPr="005A284F" w14:paraId="6C1691DE" w14:textId="77777777" w:rsidTr="00CB7CD9">
        <w:trPr>
          <w:trHeight w:val="240"/>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36189E2F"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承诺是否按时履行</w:t>
            </w:r>
          </w:p>
        </w:tc>
        <w:tc>
          <w:tcPr>
            <w:tcW w:w="9639" w:type="dxa"/>
            <w:gridSpan w:val="6"/>
            <w:tcBorders>
              <w:top w:val="single" w:sz="2" w:space="0" w:color="auto"/>
              <w:left w:val="single" w:sz="2" w:space="0" w:color="auto"/>
              <w:bottom w:val="single" w:sz="2" w:space="0" w:color="auto"/>
              <w:right w:val="single" w:sz="2" w:space="0" w:color="auto"/>
            </w:tcBorders>
            <w:vAlign w:val="center"/>
          </w:tcPr>
          <w:p w14:paraId="6979434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是</w:t>
            </w:r>
          </w:p>
        </w:tc>
      </w:tr>
    </w:tbl>
    <w:p w14:paraId="38E6EFC1"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50" w:name="_Toc988939"/>
      <w:r w:rsidRPr="005A284F">
        <w:rPr>
          <w:rFonts w:ascii="Times New Roman" w:eastAsia="宋体" w:hAnsi="Times New Roman" w:cs="Times New Roman"/>
          <w:b/>
          <w:bCs/>
          <w:sz w:val="24"/>
          <w:szCs w:val="24"/>
        </w:rPr>
        <w:t>二、控股股东及其他关联方对上市公司的非经营性占用资金情况</w:t>
      </w:r>
      <w:bookmarkEnd w:id="50"/>
    </w:p>
    <w:p w14:paraId="0E888D91" w14:textId="77777777" w:rsidR="006C011D" w:rsidRPr="00CB7CD9" w:rsidRDefault="00000000">
      <w:pPr>
        <w:spacing w:before="40" w:after="40" w:line="240" w:lineRule="exact"/>
        <w:rPr>
          <w:rFonts w:ascii="宋体" w:eastAsia="宋体" w:hAnsi="宋体" w:cs="Times New Roman" w:hint="eastAsia"/>
          <w:sz w:val="18"/>
          <w:szCs w:val="18"/>
        </w:rPr>
      </w:pPr>
      <w:r w:rsidRPr="00CB7CD9">
        <w:rPr>
          <w:rFonts w:ascii="宋体" w:eastAsia="宋体" w:hAnsi="宋体" w:cs="Times New Roman"/>
          <w:sz w:val="18"/>
          <w:szCs w:val="18"/>
        </w:rPr>
        <w:t xml:space="preserve">□适用 </w:t>
      </w:r>
      <w:r w:rsidRPr="00CB7CD9">
        <w:rPr>
          <w:rFonts w:ascii="宋体" w:eastAsia="宋体" w:hAnsi="宋体" w:cs="Times New Roman"/>
          <w:sz w:val="18"/>
          <w:szCs w:val="18"/>
        </w:rPr>
        <w:sym w:font="Wingdings 2" w:char="F052"/>
      </w:r>
      <w:r w:rsidRPr="00CB7CD9">
        <w:rPr>
          <w:rFonts w:ascii="宋体" w:eastAsia="宋体" w:hAnsi="宋体" w:cs="Times New Roman"/>
          <w:sz w:val="18"/>
          <w:szCs w:val="18"/>
        </w:rPr>
        <w:t>不适用</w:t>
      </w:r>
    </w:p>
    <w:p w14:paraId="27ABADF9"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公司报告期不存在控股股东及其他关联方对上市公司的非经营性占用资金。</w:t>
      </w:r>
    </w:p>
    <w:p w14:paraId="003DE913"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51" w:name="_Toc988940"/>
      <w:r w:rsidRPr="005A284F">
        <w:rPr>
          <w:rFonts w:ascii="Times New Roman" w:eastAsia="宋体" w:hAnsi="Times New Roman" w:cs="Times New Roman"/>
          <w:b/>
          <w:bCs/>
          <w:sz w:val="24"/>
          <w:szCs w:val="24"/>
        </w:rPr>
        <w:t>三、违规对外担保情况</w:t>
      </w:r>
      <w:bookmarkEnd w:id="51"/>
    </w:p>
    <w:p w14:paraId="6223398B" w14:textId="77777777" w:rsidR="006C011D" w:rsidRPr="00576663" w:rsidRDefault="00000000">
      <w:pPr>
        <w:spacing w:before="40" w:after="40" w:line="240" w:lineRule="exact"/>
        <w:rPr>
          <w:rFonts w:ascii="宋体" w:eastAsia="宋体" w:hAnsi="宋体" w:cs="Times New Roman" w:hint="eastAsia"/>
          <w:sz w:val="18"/>
          <w:szCs w:val="18"/>
        </w:rPr>
      </w:pPr>
      <w:r w:rsidRPr="00576663">
        <w:rPr>
          <w:rFonts w:ascii="宋体" w:eastAsia="宋体" w:hAnsi="宋体" w:cs="Times New Roman"/>
          <w:sz w:val="18"/>
          <w:szCs w:val="18"/>
        </w:rPr>
        <w:t xml:space="preserve">□适用 </w:t>
      </w:r>
      <w:r w:rsidRPr="00576663">
        <w:rPr>
          <w:rFonts w:ascii="宋体" w:eastAsia="宋体" w:hAnsi="宋体" w:cs="Times New Roman"/>
          <w:sz w:val="18"/>
          <w:szCs w:val="18"/>
        </w:rPr>
        <w:sym w:font="Wingdings 2" w:char="F052"/>
      </w:r>
      <w:r w:rsidRPr="00576663">
        <w:rPr>
          <w:rFonts w:ascii="宋体" w:eastAsia="宋体" w:hAnsi="宋体" w:cs="Times New Roman"/>
          <w:sz w:val="18"/>
          <w:szCs w:val="18"/>
        </w:rPr>
        <w:t>不适用</w:t>
      </w:r>
    </w:p>
    <w:p w14:paraId="7C6379D0"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公司报告期无违规对外担保情况。</w:t>
      </w:r>
    </w:p>
    <w:p w14:paraId="0F451381"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52" w:name="_Toc988941"/>
      <w:r w:rsidRPr="005A284F">
        <w:rPr>
          <w:rFonts w:ascii="Times New Roman" w:eastAsia="宋体" w:hAnsi="Times New Roman" w:cs="Times New Roman"/>
          <w:b/>
          <w:bCs/>
          <w:sz w:val="24"/>
          <w:szCs w:val="24"/>
        </w:rPr>
        <w:t>四、聘任、解聘会计师事务所情况</w:t>
      </w:r>
      <w:bookmarkEnd w:id="52"/>
    </w:p>
    <w:p w14:paraId="680A07EA"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半年度财务报告是否已经审计</w:t>
      </w:r>
    </w:p>
    <w:p w14:paraId="63DE83DB" w14:textId="77777777" w:rsidR="006C011D" w:rsidRPr="00576663" w:rsidRDefault="00000000" w:rsidP="00576663">
      <w:pPr>
        <w:spacing w:before="40" w:after="40" w:line="240" w:lineRule="exact"/>
        <w:rPr>
          <w:rFonts w:ascii="宋体" w:eastAsia="宋体" w:hAnsi="宋体" w:cs="Times New Roman" w:hint="eastAsia"/>
          <w:sz w:val="18"/>
          <w:szCs w:val="18"/>
        </w:rPr>
      </w:pPr>
      <w:r w:rsidRPr="00576663">
        <w:rPr>
          <w:rFonts w:ascii="宋体" w:eastAsia="宋体" w:hAnsi="宋体" w:cs="Times New Roman"/>
          <w:sz w:val="18"/>
          <w:szCs w:val="18"/>
        </w:rPr>
        <w:t xml:space="preserve">□是 </w:t>
      </w:r>
      <w:r w:rsidRPr="00576663">
        <w:rPr>
          <w:rFonts w:ascii="宋体" w:eastAsia="宋体" w:hAnsi="宋体" w:cs="Times New Roman"/>
          <w:sz w:val="18"/>
          <w:szCs w:val="18"/>
        </w:rPr>
        <w:sym w:font="Wingdings 2" w:char="F052"/>
      </w:r>
      <w:r w:rsidRPr="00576663">
        <w:rPr>
          <w:rFonts w:ascii="宋体" w:eastAsia="宋体" w:hAnsi="宋体" w:cs="Times New Roman"/>
          <w:sz w:val="18"/>
          <w:szCs w:val="18"/>
        </w:rPr>
        <w:t>否</w:t>
      </w:r>
    </w:p>
    <w:p w14:paraId="6A755F51"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公司半年度报告未经审计。</w:t>
      </w:r>
    </w:p>
    <w:p w14:paraId="33D6A2CF"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53" w:name="_Toc988942"/>
      <w:r w:rsidRPr="005A284F">
        <w:rPr>
          <w:rFonts w:ascii="Times New Roman" w:eastAsia="宋体" w:hAnsi="Times New Roman" w:cs="Times New Roman"/>
          <w:b/>
          <w:bCs/>
          <w:sz w:val="24"/>
          <w:szCs w:val="24"/>
        </w:rPr>
        <w:t>五、董事会、监事会对会计师事务所本报告期</w:t>
      </w:r>
      <w:r w:rsidRPr="005A284F">
        <w:rPr>
          <w:rFonts w:ascii="Times New Roman" w:eastAsia="宋体" w:hAnsi="Times New Roman" w:cs="Times New Roman"/>
          <w:b/>
          <w:bCs/>
          <w:sz w:val="24"/>
          <w:szCs w:val="24"/>
        </w:rPr>
        <w:t>“</w:t>
      </w:r>
      <w:r w:rsidRPr="005A284F">
        <w:rPr>
          <w:rFonts w:ascii="Times New Roman" w:eastAsia="宋体" w:hAnsi="Times New Roman" w:cs="Times New Roman"/>
          <w:b/>
          <w:bCs/>
          <w:sz w:val="24"/>
          <w:szCs w:val="24"/>
        </w:rPr>
        <w:t>非标准审计报告</w:t>
      </w:r>
      <w:r w:rsidRPr="005A284F">
        <w:rPr>
          <w:rFonts w:ascii="Times New Roman" w:eastAsia="宋体" w:hAnsi="Times New Roman" w:cs="Times New Roman"/>
          <w:b/>
          <w:bCs/>
          <w:sz w:val="24"/>
          <w:szCs w:val="24"/>
        </w:rPr>
        <w:t>”</w:t>
      </w:r>
      <w:r w:rsidRPr="005A284F">
        <w:rPr>
          <w:rFonts w:ascii="Times New Roman" w:eastAsia="宋体" w:hAnsi="Times New Roman" w:cs="Times New Roman"/>
          <w:b/>
          <w:bCs/>
          <w:sz w:val="24"/>
          <w:szCs w:val="24"/>
        </w:rPr>
        <w:t>的说明</w:t>
      </w:r>
      <w:bookmarkEnd w:id="53"/>
    </w:p>
    <w:p w14:paraId="4C30A6C1" w14:textId="77777777" w:rsidR="006C011D" w:rsidRPr="00576663" w:rsidRDefault="00000000" w:rsidP="00576663">
      <w:pPr>
        <w:spacing w:before="40" w:after="40" w:line="240" w:lineRule="exact"/>
        <w:rPr>
          <w:rFonts w:ascii="宋体" w:eastAsia="宋体" w:hAnsi="宋体" w:cs="Times New Roman" w:hint="eastAsia"/>
          <w:sz w:val="18"/>
          <w:szCs w:val="18"/>
        </w:rPr>
      </w:pPr>
      <w:r w:rsidRPr="00576663">
        <w:rPr>
          <w:rFonts w:ascii="宋体" w:eastAsia="宋体" w:hAnsi="宋体" w:cs="Times New Roman"/>
          <w:sz w:val="18"/>
          <w:szCs w:val="18"/>
        </w:rPr>
        <w:t xml:space="preserve">□适用 </w:t>
      </w:r>
      <w:r w:rsidRPr="00576663">
        <w:rPr>
          <w:rFonts w:ascii="宋体" w:eastAsia="宋体" w:hAnsi="宋体" w:cs="Times New Roman"/>
          <w:sz w:val="18"/>
          <w:szCs w:val="18"/>
        </w:rPr>
        <w:sym w:font="Wingdings 2" w:char="F052"/>
      </w:r>
      <w:r w:rsidRPr="00576663">
        <w:rPr>
          <w:rFonts w:ascii="宋体" w:eastAsia="宋体" w:hAnsi="宋体" w:cs="Times New Roman"/>
          <w:sz w:val="18"/>
          <w:szCs w:val="18"/>
        </w:rPr>
        <w:t>不适用</w:t>
      </w:r>
    </w:p>
    <w:p w14:paraId="017A25DD"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54" w:name="_Toc988943"/>
      <w:r w:rsidRPr="005A284F">
        <w:rPr>
          <w:rFonts w:ascii="Times New Roman" w:eastAsia="宋体" w:hAnsi="Times New Roman" w:cs="Times New Roman"/>
          <w:b/>
          <w:bCs/>
          <w:sz w:val="24"/>
          <w:szCs w:val="24"/>
        </w:rPr>
        <w:t>六、董事会对上年度</w:t>
      </w:r>
      <w:r w:rsidRPr="005A284F">
        <w:rPr>
          <w:rFonts w:ascii="Times New Roman" w:eastAsia="宋体" w:hAnsi="Times New Roman" w:cs="Times New Roman"/>
          <w:b/>
          <w:bCs/>
          <w:sz w:val="24"/>
          <w:szCs w:val="24"/>
        </w:rPr>
        <w:t>“</w:t>
      </w:r>
      <w:r w:rsidRPr="005A284F">
        <w:rPr>
          <w:rFonts w:ascii="Times New Roman" w:eastAsia="宋体" w:hAnsi="Times New Roman" w:cs="Times New Roman"/>
          <w:b/>
          <w:bCs/>
          <w:sz w:val="24"/>
          <w:szCs w:val="24"/>
        </w:rPr>
        <w:t>非标准审计报告</w:t>
      </w:r>
      <w:r w:rsidRPr="005A284F">
        <w:rPr>
          <w:rFonts w:ascii="Times New Roman" w:eastAsia="宋体" w:hAnsi="Times New Roman" w:cs="Times New Roman"/>
          <w:b/>
          <w:bCs/>
          <w:sz w:val="24"/>
          <w:szCs w:val="24"/>
        </w:rPr>
        <w:t>”</w:t>
      </w:r>
      <w:r w:rsidRPr="005A284F">
        <w:rPr>
          <w:rFonts w:ascii="Times New Roman" w:eastAsia="宋体" w:hAnsi="Times New Roman" w:cs="Times New Roman"/>
          <w:b/>
          <w:bCs/>
          <w:sz w:val="24"/>
          <w:szCs w:val="24"/>
        </w:rPr>
        <w:t>相关情况的说明</w:t>
      </w:r>
      <w:bookmarkEnd w:id="54"/>
    </w:p>
    <w:p w14:paraId="460B4A67" w14:textId="77777777" w:rsidR="006C011D" w:rsidRPr="00576663" w:rsidRDefault="00000000" w:rsidP="00576663">
      <w:pPr>
        <w:spacing w:before="40" w:after="40" w:line="240" w:lineRule="exact"/>
        <w:rPr>
          <w:rFonts w:ascii="宋体" w:eastAsia="宋体" w:hAnsi="宋体" w:cs="Times New Roman" w:hint="eastAsia"/>
          <w:sz w:val="18"/>
          <w:szCs w:val="18"/>
        </w:rPr>
      </w:pPr>
      <w:r w:rsidRPr="00576663">
        <w:rPr>
          <w:rFonts w:ascii="宋体" w:eastAsia="宋体" w:hAnsi="宋体" w:cs="Times New Roman"/>
          <w:sz w:val="18"/>
          <w:szCs w:val="18"/>
        </w:rPr>
        <w:t xml:space="preserve">□适用 </w:t>
      </w:r>
      <w:r w:rsidRPr="00576663">
        <w:rPr>
          <w:rFonts w:ascii="宋体" w:eastAsia="宋体" w:hAnsi="宋体" w:cs="Times New Roman"/>
          <w:sz w:val="18"/>
          <w:szCs w:val="18"/>
        </w:rPr>
        <w:sym w:font="Wingdings 2" w:char="F052"/>
      </w:r>
      <w:r w:rsidRPr="00576663">
        <w:rPr>
          <w:rFonts w:ascii="宋体" w:eastAsia="宋体" w:hAnsi="宋体" w:cs="Times New Roman"/>
          <w:sz w:val="18"/>
          <w:szCs w:val="18"/>
        </w:rPr>
        <w:t>不适用</w:t>
      </w:r>
    </w:p>
    <w:p w14:paraId="3A323753"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55" w:name="_Toc988944"/>
      <w:r w:rsidRPr="005A284F">
        <w:rPr>
          <w:rFonts w:ascii="Times New Roman" w:eastAsia="宋体" w:hAnsi="Times New Roman" w:cs="Times New Roman"/>
          <w:b/>
          <w:bCs/>
          <w:sz w:val="24"/>
          <w:szCs w:val="24"/>
        </w:rPr>
        <w:lastRenderedPageBreak/>
        <w:t>七、破产重整相关事项</w:t>
      </w:r>
      <w:bookmarkEnd w:id="55"/>
    </w:p>
    <w:p w14:paraId="33812B4B" w14:textId="77777777" w:rsidR="006C011D" w:rsidRPr="00576663" w:rsidRDefault="00000000" w:rsidP="00576663">
      <w:pPr>
        <w:spacing w:before="40" w:after="40" w:line="240" w:lineRule="exact"/>
        <w:rPr>
          <w:rFonts w:ascii="宋体" w:eastAsia="宋体" w:hAnsi="宋体" w:cs="Times New Roman" w:hint="eastAsia"/>
          <w:sz w:val="18"/>
          <w:szCs w:val="18"/>
        </w:rPr>
      </w:pPr>
      <w:r w:rsidRPr="00576663">
        <w:rPr>
          <w:rFonts w:ascii="宋体" w:eastAsia="宋体" w:hAnsi="宋体" w:cs="Times New Roman"/>
          <w:sz w:val="18"/>
          <w:szCs w:val="18"/>
        </w:rPr>
        <w:t xml:space="preserve">□适用 </w:t>
      </w:r>
      <w:r w:rsidRPr="00576663">
        <w:rPr>
          <w:rFonts w:ascii="宋体" w:eastAsia="宋体" w:hAnsi="宋体" w:cs="Times New Roman"/>
          <w:sz w:val="18"/>
          <w:szCs w:val="18"/>
        </w:rPr>
        <w:sym w:font="Wingdings 2" w:char="F052"/>
      </w:r>
      <w:r w:rsidRPr="00576663">
        <w:rPr>
          <w:rFonts w:ascii="宋体" w:eastAsia="宋体" w:hAnsi="宋体" w:cs="Times New Roman"/>
          <w:sz w:val="18"/>
          <w:szCs w:val="18"/>
        </w:rPr>
        <w:t>不适用</w:t>
      </w:r>
    </w:p>
    <w:p w14:paraId="7D66A24D"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公司报告期未发生破产重整相关事项。</w:t>
      </w:r>
    </w:p>
    <w:p w14:paraId="656D5DCE"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56" w:name="_Toc988945"/>
      <w:r w:rsidRPr="005A284F">
        <w:rPr>
          <w:rFonts w:ascii="Times New Roman" w:eastAsia="宋体" w:hAnsi="Times New Roman" w:cs="Times New Roman"/>
          <w:b/>
          <w:bCs/>
          <w:sz w:val="24"/>
          <w:szCs w:val="24"/>
        </w:rPr>
        <w:t>八、诉讼事项</w:t>
      </w:r>
      <w:bookmarkEnd w:id="56"/>
    </w:p>
    <w:p w14:paraId="2FB48F2A"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重大诉讼仲裁事项</w:t>
      </w:r>
    </w:p>
    <w:p w14:paraId="3CE5043E" w14:textId="77777777" w:rsidR="006C011D" w:rsidRPr="00576663" w:rsidRDefault="00000000" w:rsidP="00576663">
      <w:pPr>
        <w:spacing w:before="40" w:after="40" w:line="240" w:lineRule="exact"/>
        <w:rPr>
          <w:rFonts w:ascii="宋体" w:eastAsia="宋体" w:hAnsi="宋体" w:cs="Times New Roman" w:hint="eastAsia"/>
          <w:sz w:val="18"/>
          <w:szCs w:val="18"/>
        </w:rPr>
      </w:pPr>
      <w:r w:rsidRPr="00576663">
        <w:rPr>
          <w:rFonts w:ascii="宋体" w:eastAsia="宋体" w:hAnsi="宋体" w:cs="Times New Roman"/>
          <w:sz w:val="18"/>
          <w:szCs w:val="18"/>
        </w:rPr>
        <w:t xml:space="preserve">□适用 </w:t>
      </w:r>
      <w:r w:rsidRPr="00576663">
        <w:rPr>
          <w:rFonts w:ascii="宋体" w:eastAsia="宋体" w:hAnsi="宋体" w:cs="Times New Roman"/>
          <w:sz w:val="18"/>
          <w:szCs w:val="18"/>
        </w:rPr>
        <w:sym w:font="Wingdings 2" w:char="F052"/>
      </w:r>
      <w:r w:rsidRPr="00576663">
        <w:rPr>
          <w:rFonts w:ascii="宋体" w:eastAsia="宋体" w:hAnsi="宋体" w:cs="Times New Roman"/>
          <w:sz w:val="18"/>
          <w:szCs w:val="18"/>
        </w:rPr>
        <w:t>不适用</w:t>
      </w:r>
    </w:p>
    <w:p w14:paraId="38E08B07"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本报告期公司无重大诉讼、仲裁事项。</w:t>
      </w:r>
    </w:p>
    <w:p w14:paraId="1942507B"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其他诉讼事项</w:t>
      </w:r>
    </w:p>
    <w:p w14:paraId="2016365C" w14:textId="77777777" w:rsidR="006C011D" w:rsidRPr="00576663" w:rsidRDefault="00000000" w:rsidP="00576663">
      <w:pPr>
        <w:spacing w:before="40" w:after="40" w:line="240" w:lineRule="exact"/>
        <w:rPr>
          <w:rFonts w:ascii="宋体" w:eastAsia="宋体" w:hAnsi="宋体" w:cs="Times New Roman" w:hint="eastAsia"/>
          <w:sz w:val="18"/>
          <w:szCs w:val="18"/>
        </w:rPr>
      </w:pPr>
      <w:r w:rsidRPr="00576663">
        <w:rPr>
          <w:rFonts w:ascii="宋体" w:eastAsia="宋体" w:hAnsi="宋体" w:cs="Times New Roman"/>
          <w:sz w:val="18"/>
          <w:szCs w:val="18"/>
        </w:rPr>
        <w:t xml:space="preserve">□适用 </w:t>
      </w:r>
      <w:r w:rsidRPr="00576663">
        <w:rPr>
          <w:rFonts w:ascii="宋体" w:eastAsia="宋体" w:hAnsi="宋体" w:cs="Times New Roman"/>
          <w:sz w:val="18"/>
          <w:szCs w:val="18"/>
        </w:rPr>
        <w:sym w:font="Wingdings 2" w:char="F052"/>
      </w:r>
      <w:r w:rsidRPr="00576663">
        <w:rPr>
          <w:rFonts w:ascii="宋体" w:eastAsia="宋体" w:hAnsi="宋体" w:cs="Times New Roman"/>
          <w:sz w:val="18"/>
          <w:szCs w:val="18"/>
        </w:rPr>
        <w:t>不适用</w:t>
      </w:r>
    </w:p>
    <w:p w14:paraId="0F301954"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57" w:name="_Toc988946"/>
      <w:r w:rsidRPr="005A284F">
        <w:rPr>
          <w:rFonts w:ascii="Times New Roman" w:eastAsia="宋体" w:hAnsi="Times New Roman" w:cs="Times New Roman"/>
          <w:b/>
          <w:bCs/>
          <w:sz w:val="24"/>
          <w:szCs w:val="24"/>
        </w:rPr>
        <w:t>九、处罚及整改情况</w:t>
      </w:r>
      <w:bookmarkEnd w:id="57"/>
    </w:p>
    <w:p w14:paraId="43485DF1" w14:textId="77777777" w:rsidR="006C011D" w:rsidRPr="00576663" w:rsidRDefault="00000000" w:rsidP="00576663">
      <w:pPr>
        <w:spacing w:before="40" w:after="40" w:line="240" w:lineRule="exact"/>
        <w:rPr>
          <w:rFonts w:ascii="宋体" w:eastAsia="宋体" w:hAnsi="宋体" w:cs="Times New Roman" w:hint="eastAsia"/>
          <w:sz w:val="18"/>
          <w:szCs w:val="18"/>
        </w:rPr>
      </w:pPr>
      <w:r w:rsidRPr="00576663">
        <w:rPr>
          <w:rFonts w:ascii="宋体" w:eastAsia="宋体" w:hAnsi="宋体" w:cs="Times New Roman"/>
          <w:sz w:val="18"/>
          <w:szCs w:val="18"/>
        </w:rPr>
        <w:t xml:space="preserve">□适用 </w:t>
      </w:r>
      <w:r w:rsidRPr="00576663">
        <w:rPr>
          <w:rFonts w:ascii="宋体" w:eastAsia="宋体" w:hAnsi="宋体" w:cs="Times New Roman"/>
          <w:sz w:val="18"/>
          <w:szCs w:val="18"/>
        </w:rPr>
        <w:sym w:font="Wingdings 2" w:char="F052"/>
      </w:r>
      <w:r w:rsidRPr="00576663">
        <w:rPr>
          <w:rFonts w:ascii="宋体" w:eastAsia="宋体" w:hAnsi="宋体" w:cs="Times New Roman"/>
          <w:sz w:val="18"/>
          <w:szCs w:val="18"/>
        </w:rPr>
        <w:t>不适用</w:t>
      </w:r>
    </w:p>
    <w:p w14:paraId="4A48C9C1"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公司报告期不存在处罚及整改情况。</w:t>
      </w:r>
    </w:p>
    <w:p w14:paraId="6570DDD5"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58" w:name="_Toc988947"/>
      <w:r w:rsidRPr="005A284F">
        <w:rPr>
          <w:rFonts w:ascii="Times New Roman" w:eastAsia="宋体" w:hAnsi="Times New Roman" w:cs="Times New Roman"/>
          <w:b/>
          <w:bCs/>
          <w:sz w:val="24"/>
          <w:szCs w:val="24"/>
        </w:rPr>
        <w:t>十、公司及其控股股东、实际控制人的诚信状况</w:t>
      </w:r>
      <w:bookmarkEnd w:id="58"/>
    </w:p>
    <w:p w14:paraId="35FB23B9" w14:textId="77777777" w:rsidR="006C011D" w:rsidRPr="00576663" w:rsidRDefault="00000000" w:rsidP="00576663">
      <w:pPr>
        <w:spacing w:before="40" w:after="40" w:line="240" w:lineRule="exact"/>
        <w:rPr>
          <w:rFonts w:ascii="宋体" w:eastAsia="宋体" w:hAnsi="宋体" w:cs="Times New Roman" w:hint="eastAsia"/>
          <w:sz w:val="18"/>
          <w:szCs w:val="18"/>
        </w:rPr>
      </w:pPr>
      <w:r w:rsidRPr="00576663">
        <w:rPr>
          <w:rFonts w:ascii="宋体" w:eastAsia="宋体" w:hAnsi="宋体" w:cs="Times New Roman"/>
          <w:sz w:val="18"/>
          <w:szCs w:val="18"/>
        </w:rPr>
        <w:t xml:space="preserve">□适用 </w:t>
      </w:r>
      <w:r w:rsidRPr="00576663">
        <w:rPr>
          <w:rFonts w:ascii="宋体" w:eastAsia="宋体" w:hAnsi="宋体" w:cs="Times New Roman"/>
          <w:sz w:val="18"/>
          <w:szCs w:val="18"/>
        </w:rPr>
        <w:sym w:font="Wingdings 2" w:char="F052"/>
      </w:r>
      <w:r w:rsidRPr="00576663">
        <w:rPr>
          <w:rFonts w:ascii="宋体" w:eastAsia="宋体" w:hAnsi="宋体" w:cs="Times New Roman"/>
          <w:sz w:val="18"/>
          <w:szCs w:val="18"/>
        </w:rPr>
        <w:t>不适用</w:t>
      </w:r>
    </w:p>
    <w:p w14:paraId="7E9646E5"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59" w:name="_Toc988948"/>
      <w:r w:rsidRPr="005A284F">
        <w:rPr>
          <w:rFonts w:ascii="Times New Roman" w:eastAsia="宋体" w:hAnsi="Times New Roman" w:cs="Times New Roman"/>
          <w:b/>
          <w:bCs/>
          <w:sz w:val="24"/>
          <w:szCs w:val="24"/>
        </w:rPr>
        <w:t>十一、重大关联交易</w:t>
      </w:r>
      <w:bookmarkEnd w:id="59"/>
    </w:p>
    <w:p w14:paraId="662AC576" w14:textId="77777777" w:rsidR="006C011D" w:rsidRPr="005A284F" w:rsidRDefault="00000000">
      <w:pPr>
        <w:pStyle w:val="3"/>
        <w:spacing w:line="280" w:lineRule="exact"/>
        <w:jc w:val="left"/>
        <w:rPr>
          <w:rFonts w:ascii="Times New Roman" w:hAnsi="Times New Roman" w:cs="Times New Roman"/>
          <w:b/>
          <w:bCs/>
        </w:rPr>
      </w:pPr>
      <w:bookmarkStart w:id="60" w:name="_Toc988949"/>
      <w:r w:rsidRPr="005A284F">
        <w:rPr>
          <w:rFonts w:ascii="Times New Roman" w:hAnsi="Times New Roman" w:cs="Times New Roman"/>
          <w:b/>
          <w:bCs/>
        </w:rPr>
        <w:t>1</w:t>
      </w:r>
      <w:r w:rsidRPr="005A284F">
        <w:rPr>
          <w:rFonts w:ascii="Times New Roman" w:hAnsi="Times New Roman" w:cs="Times New Roman"/>
          <w:b/>
          <w:bCs/>
        </w:rPr>
        <w:t>、与日常经营相关的关联交易</w:t>
      </w:r>
      <w:bookmarkEnd w:id="60"/>
    </w:p>
    <w:p w14:paraId="11E62CE4" w14:textId="77777777" w:rsidR="006C011D" w:rsidRPr="00576663" w:rsidRDefault="00000000" w:rsidP="00576663">
      <w:pPr>
        <w:spacing w:before="40" w:after="40" w:line="240" w:lineRule="exact"/>
        <w:rPr>
          <w:rFonts w:ascii="宋体" w:eastAsia="宋体" w:hAnsi="宋体" w:cs="Times New Roman" w:hint="eastAsia"/>
          <w:sz w:val="18"/>
          <w:szCs w:val="18"/>
        </w:rPr>
      </w:pPr>
      <w:r w:rsidRPr="00576663">
        <w:rPr>
          <w:rFonts w:ascii="宋体" w:eastAsia="宋体" w:hAnsi="宋体" w:cs="Times New Roman"/>
          <w:sz w:val="18"/>
          <w:szCs w:val="18"/>
        </w:rPr>
        <w:t xml:space="preserve">□适用 </w:t>
      </w:r>
      <w:r w:rsidRPr="00576663">
        <w:rPr>
          <w:rFonts w:ascii="宋体" w:eastAsia="宋体" w:hAnsi="宋体" w:cs="Times New Roman"/>
          <w:sz w:val="18"/>
          <w:szCs w:val="18"/>
        </w:rPr>
        <w:sym w:font="Wingdings 2" w:char="F052"/>
      </w:r>
      <w:r w:rsidRPr="00576663">
        <w:rPr>
          <w:rFonts w:ascii="宋体" w:eastAsia="宋体" w:hAnsi="宋体" w:cs="Times New Roman"/>
          <w:sz w:val="18"/>
          <w:szCs w:val="18"/>
        </w:rPr>
        <w:t>不适用</w:t>
      </w:r>
    </w:p>
    <w:p w14:paraId="4654E551"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公司报告期未发生与日常经营相关的关联交易。</w:t>
      </w:r>
    </w:p>
    <w:p w14:paraId="41EE40FF" w14:textId="77777777" w:rsidR="006C011D" w:rsidRPr="005A284F" w:rsidRDefault="00000000">
      <w:pPr>
        <w:pStyle w:val="3"/>
        <w:spacing w:line="280" w:lineRule="exact"/>
        <w:jc w:val="left"/>
        <w:rPr>
          <w:rFonts w:ascii="Times New Roman" w:hAnsi="Times New Roman" w:cs="Times New Roman"/>
          <w:b/>
          <w:bCs/>
        </w:rPr>
      </w:pPr>
      <w:bookmarkStart w:id="61" w:name="_Toc988950"/>
      <w:r w:rsidRPr="005A284F">
        <w:rPr>
          <w:rFonts w:ascii="Times New Roman" w:hAnsi="Times New Roman" w:cs="Times New Roman"/>
          <w:b/>
          <w:bCs/>
        </w:rPr>
        <w:t>2</w:t>
      </w:r>
      <w:r w:rsidRPr="005A284F">
        <w:rPr>
          <w:rFonts w:ascii="Times New Roman" w:hAnsi="Times New Roman" w:cs="Times New Roman"/>
          <w:b/>
          <w:bCs/>
        </w:rPr>
        <w:t>、资产或股权收购、出售发生的关联交易</w:t>
      </w:r>
      <w:bookmarkEnd w:id="61"/>
    </w:p>
    <w:p w14:paraId="6C40580B" w14:textId="77777777" w:rsidR="006C011D" w:rsidRPr="00576663" w:rsidRDefault="00000000" w:rsidP="00576663">
      <w:pPr>
        <w:spacing w:before="40" w:after="40" w:line="240" w:lineRule="exact"/>
        <w:rPr>
          <w:rFonts w:ascii="宋体" w:eastAsia="宋体" w:hAnsi="宋体" w:cs="Times New Roman" w:hint="eastAsia"/>
          <w:sz w:val="18"/>
          <w:szCs w:val="18"/>
        </w:rPr>
      </w:pPr>
      <w:r w:rsidRPr="00576663">
        <w:rPr>
          <w:rFonts w:ascii="宋体" w:eastAsia="宋体" w:hAnsi="宋体" w:cs="Times New Roman"/>
          <w:sz w:val="18"/>
          <w:szCs w:val="18"/>
        </w:rPr>
        <w:t xml:space="preserve">□适用 </w:t>
      </w:r>
      <w:r w:rsidRPr="00576663">
        <w:rPr>
          <w:rFonts w:ascii="宋体" w:eastAsia="宋体" w:hAnsi="宋体" w:cs="Times New Roman"/>
          <w:sz w:val="18"/>
          <w:szCs w:val="18"/>
        </w:rPr>
        <w:sym w:font="Wingdings 2" w:char="F052"/>
      </w:r>
      <w:r w:rsidRPr="00576663">
        <w:rPr>
          <w:rFonts w:ascii="宋体" w:eastAsia="宋体" w:hAnsi="宋体" w:cs="Times New Roman"/>
          <w:sz w:val="18"/>
          <w:szCs w:val="18"/>
        </w:rPr>
        <w:t>不适用</w:t>
      </w:r>
    </w:p>
    <w:p w14:paraId="7B7E7CED"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公司报告期未发生资产或股权收购、出售的关联交易。</w:t>
      </w:r>
    </w:p>
    <w:p w14:paraId="3E8B95B2" w14:textId="77777777" w:rsidR="006C011D" w:rsidRPr="005A284F" w:rsidRDefault="00000000">
      <w:pPr>
        <w:pStyle w:val="3"/>
        <w:spacing w:line="280" w:lineRule="exact"/>
        <w:jc w:val="left"/>
        <w:rPr>
          <w:rFonts w:ascii="Times New Roman" w:hAnsi="Times New Roman" w:cs="Times New Roman"/>
          <w:b/>
          <w:bCs/>
        </w:rPr>
      </w:pPr>
      <w:bookmarkStart w:id="62" w:name="_Toc988951"/>
      <w:r w:rsidRPr="005A284F">
        <w:rPr>
          <w:rFonts w:ascii="Times New Roman" w:hAnsi="Times New Roman" w:cs="Times New Roman"/>
          <w:b/>
          <w:bCs/>
        </w:rPr>
        <w:t>3</w:t>
      </w:r>
      <w:r w:rsidRPr="005A284F">
        <w:rPr>
          <w:rFonts w:ascii="Times New Roman" w:hAnsi="Times New Roman" w:cs="Times New Roman"/>
          <w:b/>
          <w:bCs/>
        </w:rPr>
        <w:t>、共同对外投资的关联交易</w:t>
      </w:r>
      <w:bookmarkEnd w:id="62"/>
    </w:p>
    <w:p w14:paraId="0BFAA269" w14:textId="77777777" w:rsidR="006C011D" w:rsidRPr="00576663" w:rsidRDefault="00000000" w:rsidP="00576663">
      <w:pPr>
        <w:spacing w:before="40" w:after="40" w:line="240" w:lineRule="exact"/>
        <w:rPr>
          <w:rFonts w:ascii="宋体" w:eastAsia="宋体" w:hAnsi="宋体" w:cs="Times New Roman" w:hint="eastAsia"/>
          <w:sz w:val="18"/>
          <w:szCs w:val="18"/>
        </w:rPr>
      </w:pPr>
      <w:r w:rsidRPr="00576663">
        <w:rPr>
          <w:rFonts w:ascii="宋体" w:eastAsia="宋体" w:hAnsi="宋体" w:cs="Times New Roman"/>
          <w:sz w:val="18"/>
          <w:szCs w:val="18"/>
        </w:rPr>
        <w:t xml:space="preserve">□适用 </w:t>
      </w:r>
      <w:r w:rsidRPr="00576663">
        <w:rPr>
          <w:rFonts w:ascii="宋体" w:eastAsia="宋体" w:hAnsi="宋体" w:cs="Times New Roman"/>
          <w:sz w:val="18"/>
          <w:szCs w:val="18"/>
        </w:rPr>
        <w:sym w:font="Wingdings 2" w:char="F052"/>
      </w:r>
      <w:r w:rsidRPr="00576663">
        <w:rPr>
          <w:rFonts w:ascii="宋体" w:eastAsia="宋体" w:hAnsi="宋体" w:cs="Times New Roman"/>
          <w:sz w:val="18"/>
          <w:szCs w:val="18"/>
        </w:rPr>
        <w:t>不适用</w:t>
      </w:r>
    </w:p>
    <w:p w14:paraId="29355A55"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公司报告期未发生共同对外投资的关联交易。</w:t>
      </w:r>
    </w:p>
    <w:p w14:paraId="7ED72D97" w14:textId="77777777" w:rsidR="006C011D" w:rsidRPr="005A284F" w:rsidRDefault="00000000">
      <w:pPr>
        <w:pStyle w:val="3"/>
        <w:spacing w:line="280" w:lineRule="exact"/>
        <w:jc w:val="left"/>
        <w:rPr>
          <w:rFonts w:ascii="Times New Roman" w:hAnsi="Times New Roman" w:cs="Times New Roman"/>
          <w:b/>
          <w:bCs/>
        </w:rPr>
      </w:pPr>
      <w:bookmarkStart w:id="63" w:name="_Toc988952"/>
      <w:r w:rsidRPr="005A284F">
        <w:rPr>
          <w:rFonts w:ascii="Times New Roman" w:hAnsi="Times New Roman" w:cs="Times New Roman"/>
          <w:b/>
          <w:bCs/>
        </w:rPr>
        <w:t>4</w:t>
      </w:r>
      <w:r w:rsidRPr="005A284F">
        <w:rPr>
          <w:rFonts w:ascii="Times New Roman" w:hAnsi="Times New Roman" w:cs="Times New Roman"/>
          <w:b/>
          <w:bCs/>
        </w:rPr>
        <w:t>、关联债权债务往来</w:t>
      </w:r>
      <w:bookmarkEnd w:id="63"/>
    </w:p>
    <w:p w14:paraId="1FFCFB55" w14:textId="77777777" w:rsidR="006C011D" w:rsidRPr="00576663" w:rsidRDefault="00000000" w:rsidP="00576663">
      <w:pPr>
        <w:spacing w:before="40" w:after="40" w:line="240" w:lineRule="exact"/>
        <w:rPr>
          <w:rFonts w:ascii="宋体" w:eastAsia="宋体" w:hAnsi="宋体" w:cs="Times New Roman" w:hint="eastAsia"/>
          <w:sz w:val="18"/>
          <w:szCs w:val="18"/>
        </w:rPr>
      </w:pPr>
      <w:r w:rsidRPr="00576663">
        <w:rPr>
          <w:rFonts w:ascii="宋体" w:eastAsia="宋体" w:hAnsi="宋体" w:cs="Times New Roman"/>
          <w:sz w:val="18"/>
          <w:szCs w:val="18"/>
        </w:rPr>
        <w:t xml:space="preserve">□适用 </w:t>
      </w:r>
      <w:r w:rsidRPr="00576663">
        <w:rPr>
          <w:rFonts w:ascii="宋体" w:eastAsia="宋体" w:hAnsi="宋体" w:cs="Times New Roman"/>
          <w:sz w:val="18"/>
          <w:szCs w:val="18"/>
        </w:rPr>
        <w:sym w:font="Wingdings 2" w:char="F052"/>
      </w:r>
      <w:r w:rsidRPr="00576663">
        <w:rPr>
          <w:rFonts w:ascii="宋体" w:eastAsia="宋体" w:hAnsi="宋体" w:cs="Times New Roman"/>
          <w:sz w:val="18"/>
          <w:szCs w:val="18"/>
        </w:rPr>
        <w:t>不适用</w:t>
      </w:r>
    </w:p>
    <w:p w14:paraId="4742C0EC"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公司报告期不存在关联债权债务往来。</w:t>
      </w:r>
    </w:p>
    <w:p w14:paraId="66EFFDCA" w14:textId="77777777" w:rsidR="006C011D" w:rsidRPr="005A284F" w:rsidRDefault="00000000">
      <w:pPr>
        <w:pStyle w:val="3"/>
        <w:spacing w:line="280" w:lineRule="exact"/>
        <w:jc w:val="left"/>
        <w:rPr>
          <w:rFonts w:ascii="Times New Roman" w:hAnsi="Times New Roman" w:cs="Times New Roman"/>
          <w:b/>
          <w:bCs/>
        </w:rPr>
      </w:pPr>
      <w:bookmarkStart w:id="64" w:name="_Toc988953"/>
      <w:r w:rsidRPr="005A284F">
        <w:rPr>
          <w:rFonts w:ascii="Times New Roman" w:hAnsi="Times New Roman" w:cs="Times New Roman"/>
          <w:b/>
          <w:bCs/>
        </w:rPr>
        <w:t>5</w:t>
      </w:r>
      <w:r w:rsidRPr="005A284F">
        <w:rPr>
          <w:rFonts w:ascii="Times New Roman" w:hAnsi="Times New Roman" w:cs="Times New Roman"/>
          <w:b/>
          <w:bCs/>
        </w:rPr>
        <w:t>、与存在关联关系的财务公司的往来情况</w:t>
      </w:r>
      <w:bookmarkEnd w:id="64"/>
    </w:p>
    <w:p w14:paraId="1FE82958" w14:textId="77777777" w:rsidR="006C011D" w:rsidRPr="00576663" w:rsidRDefault="00000000" w:rsidP="00576663">
      <w:pPr>
        <w:spacing w:before="40" w:after="40" w:line="240" w:lineRule="exact"/>
        <w:rPr>
          <w:rFonts w:ascii="宋体" w:eastAsia="宋体" w:hAnsi="宋体" w:cs="Times New Roman" w:hint="eastAsia"/>
          <w:sz w:val="18"/>
          <w:szCs w:val="18"/>
        </w:rPr>
      </w:pPr>
      <w:r w:rsidRPr="00576663">
        <w:rPr>
          <w:rFonts w:ascii="宋体" w:eastAsia="宋体" w:hAnsi="宋体" w:cs="Times New Roman"/>
          <w:sz w:val="18"/>
          <w:szCs w:val="18"/>
        </w:rPr>
        <w:t xml:space="preserve">□适用 </w:t>
      </w:r>
      <w:r w:rsidRPr="00576663">
        <w:rPr>
          <w:rFonts w:ascii="宋体" w:eastAsia="宋体" w:hAnsi="宋体" w:cs="Times New Roman"/>
          <w:sz w:val="18"/>
          <w:szCs w:val="18"/>
        </w:rPr>
        <w:sym w:font="Wingdings 2" w:char="F052"/>
      </w:r>
      <w:r w:rsidRPr="00576663">
        <w:rPr>
          <w:rFonts w:ascii="宋体" w:eastAsia="宋体" w:hAnsi="宋体" w:cs="Times New Roman"/>
          <w:sz w:val="18"/>
          <w:szCs w:val="18"/>
        </w:rPr>
        <w:t>不适用</w:t>
      </w:r>
    </w:p>
    <w:p w14:paraId="2886CB38"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公司与存在关联关系的财务公司与关联方之间不存在存款、贷款、授信或其他金融业务。</w:t>
      </w:r>
    </w:p>
    <w:p w14:paraId="562EEA4D" w14:textId="77777777" w:rsidR="006C011D" w:rsidRPr="005A284F" w:rsidRDefault="00000000">
      <w:pPr>
        <w:pStyle w:val="3"/>
        <w:spacing w:line="280" w:lineRule="exact"/>
        <w:jc w:val="left"/>
        <w:rPr>
          <w:rFonts w:ascii="Times New Roman" w:hAnsi="Times New Roman" w:cs="Times New Roman"/>
          <w:b/>
          <w:bCs/>
        </w:rPr>
      </w:pPr>
      <w:bookmarkStart w:id="65" w:name="_Toc988954"/>
      <w:r w:rsidRPr="005A284F">
        <w:rPr>
          <w:rFonts w:ascii="Times New Roman" w:hAnsi="Times New Roman" w:cs="Times New Roman"/>
          <w:b/>
          <w:bCs/>
        </w:rPr>
        <w:t>6</w:t>
      </w:r>
      <w:r w:rsidRPr="005A284F">
        <w:rPr>
          <w:rFonts w:ascii="Times New Roman" w:hAnsi="Times New Roman" w:cs="Times New Roman"/>
          <w:b/>
          <w:bCs/>
        </w:rPr>
        <w:t>、公司控股的财务公司与关联方的往来情况</w:t>
      </w:r>
      <w:bookmarkEnd w:id="65"/>
    </w:p>
    <w:p w14:paraId="60DF6656" w14:textId="77777777" w:rsidR="006C011D" w:rsidRPr="00576663" w:rsidRDefault="00000000" w:rsidP="00576663">
      <w:pPr>
        <w:spacing w:before="40" w:after="40" w:line="240" w:lineRule="exact"/>
        <w:rPr>
          <w:rFonts w:ascii="宋体" w:eastAsia="宋体" w:hAnsi="宋体" w:cs="Times New Roman" w:hint="eastAsia"/>
          <w:sz w:val="18"/>
          <w:szCs w:val="18"/>
        </w:rPr>
      </w:pPr>
      <w:r w:rsidRPr="00576663">
        <w:rPr>
          <w:rFonts w:ascii="宋体" w:eastAsia="宋体" w:hAnsi="宋体" w:cs="Times New Roman"/>
          <w:sz w:val="18"/>
          <w:szCs w:val="18"/>
        </w:rPr>
        <w:t xml:space="preserve">□适用 </w:t>
      </w:r>
      <w:r w:rsidRPr="00576663">
        <w:rPr>
          <w:rFonts w:ascii="宋体" w:eastAsia="宋体" w:hAnsi="宋体" w:cs="Times New Roman"/>
          <w:sz w:val="18"/>
          <w:szCs w:val="18"/>
        </w:rPr>
        <w:sym w:font="Wingdings 2" w:char="F052"/>
      </w:r>
      <w:r w:rsidRPr="00576663">
        <w:rPr>
          <w:rFonts w:ascii="宋体" w:eastAsia="宋体" w:hAnsi="宋体" w:cs="Times New Roman"/>
          <w:sz w:val="18"/>
          <w:szCs w:val="18"/>
        </w:rPr>
        <w:t>不适用</w:t>
      </w:r>
    </w:p>
    <w:p w14:paraId="7565CD53"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公司控股的财务公司与关联方之间不存在存款、贷款、授信或其他金融业务。</w:t>
      </w:r>
    </w:p>
    <w:p w14:paraId="5D82F26B" w14:textId="77777777" w:rsidR="006C011D" w:rsidRPr="005A284F" w:rsidRDefault="00000000">
      <w:pPr>
        <w:pStyle w:val="3"/>
        <w:spacing w:line="280" w:lineRule="exact"/>
        <w:jc w:val="left"/>
        <w:rPr>
          <w:rFonts w:ascii="Times New Roman" w:hAnsi="Times New Roman" w:cs="Times New Roman"/>
          <w:b/>
          <w:bCs/>
        </w:rPr>
      </w:pPr>
      <w:bookmarkStart w:id="66" w:name="_Toc988955"/>
      <w:r w:rsidRPr="005A284F">
        <w:rPr>
          <w:rFonts w:ascii="Times New Roman" w:hAnsi="Times New Roman" w:cs="Times New Roman"/>
          <w:b/>
          <w:bCs/>
        </w:rPr>
        <w:t>7</w:t>
      </w:r>
      <w:r w:rsidRPr="005A284F">
        <w:rPr>
          <w:rFonts w:ascii="Times New Roman" w:hAnsi="Times New Roman" w:cs="Times New Roman"/>
          <w:b/>
          <w:bCs/>
        </w:rPr>
        <w:t>、其他重大关联交易</w:t>
      </w:r>
      <w:bookmarkEnd w:id="66"/>
    </w:p>
    <w:p w14:paraId="039AEA16" w14:textId="77777777" w:rsidR="006C011D" w:rsidRPr="00576663" w:rsidRDefault="00000000" w:rsidP="00576663">
      <w:pPr>
        <w:spacing w:before="40" w:after="40" w:line="240" w:lineRule="exact"/>
        <w:rPr>
          <w:rFonts w:ascii="宋体" w:eastAsia="宋体" w:hAnsi="宋体" w:cs="Times New Roman" w:hint="eastAsia"/>
          <w:sz w:val="18"/>
          <w:szCs w:val="18"/>
        </w:rPr>
      </w:pPr>
      <w:r w:rsidRPr="00576663">
        <w:rPr>
          <w:rFonts w:ascii="宋体" w:eastAsia="宋体" w:hAnsi="宋体" w:cs="Times New Roman"/>
          <w:sz w:val="18"/>
          <w:szCs w:val="18"/>
        </w:rPr>
        <w:t xml:space="preserve">□适用 </w:t>
      </w:r>
      <w:r w:rsidRPr="00576663">
        <w:rPr>
          <w:rFonts w:ascii="宋体" w:eastAsia="宋体" w:hAnsi="宋体" w:cs="Times New Roman"/>
          <w:sz w:val="18"/>
          <w:szCs w:val="18"/>
        </w:rPr>
        <w:sym w:font="Wingdings 2" w:char="F052"/>
      </w:r>
      <w:r w:rsidRPr="00576663">
        <w:rPr>
          <w:rFonts w:ascii="宋体" w:eastAsia="宋体" w:hAnsi="宋体" w:cs="Times New Roman"/>
          <w:sz w:val="18"/>
          <w:szCs w:val="18"/>
        </w:rPr>
        <w:t>不适用</w:t>
      </w:r>
    </w:p>
    <w:p w14:paraId="69130117"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公司报告期无其他重大关联交易。</w:t>
      </w:r>
    </w:p>
    <w:p w14:paraId="191DCAEA"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67" w:name="_Toc988956"/>
      <w:r w:rsidRPr="005A284F">
        <w:rPr>
          <w:rFonts w:ascii="Times New Roman" w:eastAsia="宋体" w:hAnsi="Times New Roman" w:cs="Times New Roman"/>
          <w:b/>
          <w:bCs/>
          <w:sz w:val="24"/>
          <w:szCs w:val="24"/>
        </w:rPr>
        <w:t>十二、重大合同及其履行情况</w:t>
      </w:r>
      <w:bookmarkEnd w:id="67"/>
    </w:p>
    <w:p w14:paraId="26FE3AA4" w14:textId="77777777" w:rsidR="006C011D" w:rsidRPr="005A284F" w:rsidRDefault="00000000">
      <w:pPr>
        <w:pStyle w:val="3"/>
        <w:spacing w:line="280" w:lineRule="exact"/>
        <w:jc w:val="left"/>
        <w:rPr>
          <w:rFonts w:ascii="Times New Roman" w:hAnsi="Times New Roman" w:cs="Times New Roman"/>
          <w:b/>
          <w:bCs/>
        </w:rPr>
      </w:pPr>
      <w:bookmarkStart w:id="68" w:name="_Toc988957"/>
      <w:r w:rsidRPr="005A284F">
        <w:rPr>
          <w:rFonts w:ascii="Times New Roman" w:hAnsi="Times New Roman" w:cs="Times New Roman"/>
          <w:b/>
          <w:bCs/>
        </w:rPr>
        <w:t>1</w:t>
      </w:r>
      <w:r w:rsidRPr="005A284F">
        <w:rPr>
          <w:rFonts w:ascii="Times New Roman" w:hAnsi="Times New Roman" w:cs="Times New Roman"/>
          <w:b/>
          <w:bCs/>
        </w:rPr>
        <w:t>、托管、承包、租赁事项情况</w:t>
      </w:r>
      <w:bookmarkEnd w:id="68"/>
    </w:p>
    <w:p w14:paraId="021C71EF" w14:textId="77777777" w:rsidR="006C011D" w:rsidRPr="005A284F" w:rsidRDefault="00000000">
      <w:pPr>
        <w:keepNext/>
        <w:keepLines/>
        <w:spacing w:before="300" w:after="300" w:line="280" w:lineRule="exact"/>
        <w:outlineLvl w:val="3"/>
        <w:rPr>
          <w:rFonts w:ascii="Times New Roman" w:eastAsia="宋体" w:hAnsi="Times New Roman" w:cs="Times New Roman"/>
          <w:b/>
          <w:bCs/>
          <w:sz w:val="18"/>
          <w:szCs w:val="18"/>
        </w:rPr>
      </w:pPr>
      <w:bookmarkStart w:id="69" w:name="_Toc988958"/>
      <w:r w:rsidRPr="005A284F">
        <w:rPr>
          <w:rFonts w:ascii="Times New Roman" w:eastAsia="宋体" w:hAnsi="Times New Roman" w:cs="Times New Roman"/>
          <w:b/>
          <w:bCs/>
          <w:sz w:val="18"/>
          <w:szCs w:val="18"/>
        </w:rPr>
        <w:t>（</w:t>
      </w:r>
      <w:r w:rsidRPr="005A284F">
        <w:rPr>
          <w:rFonts w:ascii="Times New Roman" w:eastAsia="宋体" w:hAnsi="Times New Roman" w:cs="Times New Roman"/>
          <w:b/>
          <w:bCs/>
          <w:sz w:val="18"/>
          <w:szCs w:val="18"/>
        </w:rPr>
        <w:t>1</w:t>
      </w:r>
      <w:r w:rsidRPr="005A284F">
        <w:rPr>
          <w:rFonts w:ascii="Times New Roman" w:eastAsia="宋体" w:hAnsi="Times New Roman" w:cs="Times New Roman"/>
          <w:b/>
          <w:bCs/>
          <w:sz w:val="18"/>
          <w:szCs w:val="18"/>
        </w:rPr>
        <w:t>）</w:t>
      </w:r>
      <w:r w:rsidRPr="005A284F">
        <w:rPr>
          <w:rFonts w:ascii="Times New Roman" w:eastAsia="宋体" w:hAnsi="Times New Roman" w:cs="Times New Roman"/>
          <w:b/>
          <w:bCs/>
          <w:sz w:val="18"/>
          <w:szCs w:val="18"/>
        </w:rPr>
        <w:t xml:space="preserve"> </w:t>
      </w:r>
      <w:r w:rsidRPr="005A284F">
        <w:rPr>
          <w:rFonts w:ascii="Times New Roman" w:eastAsia="宋体" w:hAnsi="Times New Roman" w:cs="Times New Roman"/>
          <w:b/>
          <w:bCs/>
          <w:sz w:val="18"/>
          <w:szCs w:val="18"/>
        </w:rPr>
        <w:t>托管情况</w:t>
      </w:r>
      <w:bookmarkEnd w:id="69"/>
    </w:p>
    <w:p w14:paraId="184B94D3" w14:textId="77777777" w:rsidR="006C011D" w:rsidRPr="00576663" w:rsidRDefault="00000000" w:rsidP="00576663">
      <w:pPr>
        <w:spacing w:before="40" w:after="40" w:line="240" w:lineRule="exact"/>
        <w:rPr>
          <w:rFonts w:ascii="宋体" w:eastAsia="宋体" w:hAnsi="宋体" w:cs="Times New Roman" w:hint="eastAsia"/>
          <w:sz w:val="18"/>
          <w:szCs w:val="18"/>
        </w:rPr>
      </w:pPr>
      <w:r w:rsidRPr="00576663">
        <w:rPr>
          <w:rFonts w:ascii="宋体" w:eastAsia="宋体" w:hAnsi="宋体" w:cs="Times New Roman"/>
          <w:sz w:val="18"/>
          <w:szCs w:val="18"/>
        </w:rPr>
        <w:sym w:font="Wingdings 2" w:char="F052"/>
      </w:r>
      <w:r w:rsidRPr="00576663">
        <w:rPr>
          <w:rFonts w:ascii="宋体" w:eastAsia="宋体" w:hAnsi="宋体" w:cs="Times New Roman"/>
          <w:sz w:val="18"/>
          <w:szCs w:val="18"/>
        </w:rPr>
        <w:t>适用 □不适用</w:t>
      </w:r>
    </w:p>
    <w:p w14:paraId="26992292"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托管情况说明</w:t>
      </w:r>
    </w:p>
    <w:p w14:paraId="5BD00332" w14:textId="6B6FDF20" w:rsidR="000309B5" w:rsidRPr="005A284F" w:rsidRDefault="00000000" w:rsidP="00576663">
      <w:pPr>
        <w:pStyle w:val="a3"/>
        <w:spacing w:before="0" w:beforeAutospacing="0" w:after="0" w:afterAutospacing="0" w:line="276" w:lineRule="auto"/>
        <w:ind w:firstLineChars="200" w:firstLine="360"/>
        <w:jc w:val="both"/>
        <w:divId w:val="63994232"/>
        <w:rPr>
          <w:rFonts w:ascii="Times New Roman" w:hAnsi="Times New Roman" w:cs="Times New Roman"/>
          <w:sz w:val="18"/>
          <w:szCs w:val="18"/>
        </w:rPr>
      </w:pPr>
      <w:r w:rsidRPr="005A284F">
        <w:rPr>
          <w:rFonts w:ascii="Times New Roman" w:hAnsi="Times New Roman" w:cs="Times New Roman"/>
          <w:sz w:val="18"/>
          <w:szCs w:val="18"/>
        </w:rPr>
        <w:t>公司与控股股东蓝润发展下属全资子公司五仓农牧集团有限公司因生猪养殖业务存在同业竞争。公司就控股股东及实际控制人避免同业竞争承诺事项于</w:t>
      </w:r>
      <w:r w:rsidRPr="005A284F">
        <w:rPr>
          <w:rFonts w:ascii="Times New Roman" w:hAnsi="Times New Roman" w:cs="Times New Roman"/>
          <w:sz w:val="18"/>
          <w:szCs w:val="18"/>
        </w:rPr>
        <w:t>2023</w:t>
      </w:r>
      <w:r w:rsidRPr="005A284F">
        <w:rPr>
          <w:rFonts w:ascii="Times New Roman" w:hAnsi="Times New Roman" w:cs="Times New Roman"/>
          <w:sz w:val="18"/>
          <w:szCs w:val="18"/>
        </w:rPr>
        <w:t>年</w:t>
      </w:r>
      <w:r w:rsidRPr="005A284F">
        <w:rPr>
          <w:rFonts w:ascii="Times New Roman" w:hAnsi="Times New Roman" w:cs="Times New Roman"/>
          <w:sz w:val="18"/>
          <w:szCs w:val="18"/>
        </w:rPr>
        <w:t>12</w:t>
      </w:r>
      <w:r w:rsidRPr="005A284F">
        <w:rPr>
          <w:rFonts w:ascii="Times New Roman" w:hAnsi="Times New Roman" w:cs="Times New Roman"/>
          <w:sz w:val="18"/>
          <w:szCs w:val="18"/>
        </w:rPr>
        <w:t>月</w:t>
      </w:r>
      <w:r w:rsidRPr="005A284F">
        <w:rPr>
          <w:rFonts w:ascii="Times New Roman" w:hAnsi="Times New Roman" w:cs="Times New Roman"/>
          <w:sz w:val="18"/>
          <w:szCs w:val="18"/>
        </w:rPr>
        <w:t>1</w:t>
      </w:r>
      <w:r w:rsidRPr="005A284F">
        <w:rPr>
          <w:rFonts w:ascii="Times New Roman" w:hAnsi="Times New Roman" w:cs="Times New Roman"/>
          <w:sz w:val="18"/>
          <w:szCs w:val="18"/>
        </w:rPr>
        <w:t>日召开第五届董事会第十九次会议，审议通过了《关于公司控股股东及实际控制人避免同业竞争承诺延期履行的议案》，同意控股股东及实际控制人对避免同业竞争承诺事项进行延期，并在解决同业竞争之前，控股股东将以股权托管的方式将五仓农牧股权委托公司代为管理。根据上述延期方案，公司董事会审议通过了《关于签署股权托管协议暨关联交易的议案》，同意控股股东将五仓农牧的股权委托给公司代为管理，直至相关资产注入上市公司或转让给无关联第三方，并签署《股权托管协议》。协议约定，托管期间，委托方应就委托管理期间受托方提供的委托管理服务向受托方支付委托管理费，委托管理费的计算方式为：</w:t>
      </w:r>
      <w:r w:rsidRPr="005A284F">
        <w:rPr>
          <w:rFonts w:ascii="Times New Roman" w:hAnsi="Times New Roman" w:cs="Times New Roman"/>
          <w:sz w:val="18"/>
          <w:szCs w:val="18"/>
        </w:rPr>
        <w:t>10</w:t>
      </w:r>
      <w:r w:rsidRPr="005A284F">
        <w:rPr>
          <w:rFonts w:ascii="Times New Roman" w:hAnsi="Times New Roman" w:cs="Times New Roman"/>
          <w:sz w:val="18"/>
          <w:szCs w:val="18"/>
        </w:rPr>
        <w:t>万元人民币</w:t>
      </w:r>
      <w:r w:rsidRPr="005A284F">
        <w:rPr>
          <w:rFonts w:ascii="Times New Roman" w:hAnsi="Times New Roman" w:cs="Times New Roman"/>
          <w:sz w:val="18"/>
          <w:szCs w:val="18"/>
        </w:rPr>
        <w:t>/</w:t>
      </w:r>
      <w:r w:rsidRPr="005A284F">
        <w:rPr>
          <w:rFonts w:ascii="Times New Roman" w:hAnsi="Times New Roman" w:cs="Times New Roman"/>
          <w:sz w:val="18"/>
          <w:szCs w:val="18"/>
        </w:rPr>
        <w:t>年。具体内容详见《山东龙大美食股份有限公司关于签署股权托管协议暨关联交易的公告》（公告编号</w:t>
      </w:r>
      <w:r w:rsidRPr="005A284F">
        <w:rPr>
          <w:rFonts w:ascii="Times New Roman" w:hAnsi="Times New Roman" w:cs="Times New Roman"/>
          <w:sz w:val="18"/>
          <w:szCs w:val="18"/>
        </w:rPr>
        <w:t>2023-092</w:t>
      </w:r>
      <w:r w:rsidRPr="005A284F">
        <w:rPr>
          <w:rFonts w:ascii="Times New Roman" w:hAnsi="Times New Roman" w:cs="Times New Roman"/>
          <w:sz w:val="18"/>
          <w:szCs w:val="18"/>
        </w:rPr>
        <w:t>）。</w:t>
      </w:r>
    </w:p>
    <w:p w14:paraId="56176BEE"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为公司带来的损益达到公司报告期利润总额</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以上的项目</w:t>
      </w:r>
    </w:p>
    <w:p w14:paraId="5B947056" w14:textId="77777777" w:rsidR="006C011D" w:rsidRPr="00576663" w:rsidRDefault="00000000">
      <w:pPr>
        <w:spacing w:before="100" w:after="100" w:line="240" w:lineRule="exact"/>
        <w:rPr>
          <w:rFonts w:ascii="宋体" w:eastAsia="宋体" w:hAnsi="宋体" w:cs="Times New Roman" w:hint="eastAsia"/>
          <w:sz w:val="18"/>
          <w:szCs w:val="18"/>
        </w:rPr>
      </w:pPr>
      <w:r w:rsidRPr="00576663">
        <w:rPr>
          <w:rFonts w:ascii="宋体" w:eastAsia="宋体" w:hAnsi="宋体" w:cs="Times New Roman"/>
          <w:sz w:val="18"/>
          <w:szCs w:val="18"/>
        </w:rPr>
        <w:t xml:space="preserve">□适用 </w:t>
      </w:r>
      <w:r w:rsidRPr="00576663">
        <w:rPr>
          <w:rFonts w:ascii="宋体" w:eastAsia="宋体" w:hAnsi="宋体" w:cs="Times New Roman"/>
          <w:sz w:val="18"/>
          <w:szCs w:val="18"/>
        </w:rPr>
        <w:sym w:font="Wingdings 2" w:char="F052"/>
      </w:r>
      <w:r w:rsidRPr="00576663">
        <w:rPr>
          <w:rFonts w:ascii="宋体" w:eastAsia="宋体" w:hAnsi="宋体" w:cs="Times New Roman"/>
          <w:sz w:val="18"/>
          <w:szCs w:val="18"/>
        </w:rPr>
        <w:t>不适用</w:t>
      </w:r>
    </w:p>
    <w:p w14:paraId="68A67C24"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公司报告期不存在为公司带来的损益达到公司报告期利润总额</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以上的托管项目。</w:t>
      </w:r>
    </w:p>
    <w:p w14:paraId="55F5564E" w14:textId="77777777" w:rsidR="006C011D" w:rsidRPr="005A284F" w:rsidRDefault="00000000">
      <w:pPr>
        <w:keepNext/>
        <w:keepLines/>
        <w:spacing w:before="300" w:after="300" w:line="280" w:lineRule="exact"/>
        <w:outlineLvl w:val="3"/>
        <w:rPr>
          <w:rFonts w:ascii="Times New Roman" w:eastAsia="宋体" w:hAnsi="Times New Roman" w:cs="Times New Roman"/>
          <w:b/>
          <w:bCs/>
          <w:sz w:val="18"/>
          <w:szCs w:val="18"/>
        </w:rPr>
      </w:pPr>
      <w:bookmarkStart w:id="70" w:name="_Toc988959"/>
      <w:r w:rsidRPr="005A284F">
        <w:rPr>
          <w:rFonts w:ascii="Times New Roman" w:eastAsia="宋体" w:hAnsi="Times New Roman" w:cs="Times New Roman"/>
          <w:b/>
          <w:bCs/>
          <w:sz w:val="18"/>
          <w:szCs w:val="18"/>
        </w:rPr>
        <w:t>（</w:t>
      </w:r>
      <w:r w:rsidRPr="005A284F">
        <w:rPr>
          <w:rFonts w:ascii="Times New Roman" w:eastAsia="宋体" w:hAnsi="Times New Roman" w:cs="Times New Roman"/>
          <w:b/>
          <w:bCs/>
          <w:sz w:val="18"/>
          <w:szCs w:val="18"/>
        </w:rPr>
        <w:t>2</w:t>
      </w:r>
      <w:r w:rsidRPr="005A284F">
        <w:rPr>
          <w:rFonts w:ascii="Times New Roman" w:eastAsia="宋体" w:hAnsi="Times New Roman" w:cs="Times New Roman"/>
          <w:b/>
          <w:bCs/>
          <w:sz w:val="18"/>
          <w:szCs w:val="18"/>
        </w:rPr>
        <w:t>）</w:t>
      </w:r>
      <w:r w:rsidRPr="005A284F">
        <w:rPr>
          <w:rFonts w:ascii="Times New Roman" w:eastAsia="宋体" w:hAnsi="Times New Roman" w:cs="Times New Roman"/>
          <w:b/>
          <w:bCs/>
          <w:sz w:val="18"/>
          <w:szCs w:val="18"/>
        </w:rPr>
        <w:t xml:space="preserve"> </w:t>
      </w:r>
      <w:r w:rsidRPr="005A284F">
        <w:rPr>
          <w:rFonts w:ascii="Times New Roman" w:eastAsia="宋体" w:hAnsi="Times New Roman" w:cs="Times New Roman"/>
          <w:b/>
          <w:bCs/>
          <w:sz w:val="18"/>
          <w:szCs w:val="18"/>
        </w:rPr>
        <w:t>承包情况</w:t>
      </w:r>
      <w:bookmarkEnd w:id="70"/>
    </w:p>
    <w:p w14:paraId="3FFCD763" w14:textId="77777777" w:rsidR="006C011D" w:rsidRPr="00576663" w:rsidRDefault="00000000">
      <w:pPr>
        <w:spacing w:before="100" w:after="100" w:line="240" w:lineRule="exact"/>
        <w:rPr>
          <w:rFonts w:ascii="宋体" w:eastAsia="宋体" w:hAnsi="宋体" w:cs="Times New Roman" w:hint="eastAsia"/>
          <w:sz w:val="18"/>
          <w:szCs w:val="18"/>
        </w:rPr>
      </w:pPr>
      <w:r w:rsidRPr="00576663">
        <w:rPr>
          <w:rFonts w:ascii="宋体" w:eastAsia="宋体" w:hAnsi="宋体" w:cs="Times New Roman"/>
          <w:sz w:val="18"/>
          <w:szCs w:val="18"/>
        </w:rPr>
        <w:t xml:space="preserve">□适用 </w:t>
      </w:r>
      <w:r w:rsidRPr="00576663">
        <w:rPr>
          <w:rFonts w:ascii="宋体" w:eastAsia="宋体" w:hAnsi="宋体" w:cs="Times New Roman"/>
          <w:sz w:val="18"/>
          <w:szCs w:val="18"/>
        </w:rPr>
        <w:sym w:font="Wingdings 2" w:char="F052"/>
      </w:r>
      <w:r w:rsidRPr="00576663">
        <w:rPr>
          <w:rFonts w:ascii="宋体" w:eastAsia="宋体" w:hAnsi="宋体" w:cs="Times New Roman"/>
          <w:sz w:val="18"/>
          <w:szCs w:val="18"/>
        </w:rPr>
        <w:t>不适用</w:t>
      </w:r>
    </w:p>
    <w:p w14:paraId="61DFBDC4"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公司报告期不存在承包情况。</w:t>
      </w:r>
    </w:p>
    <w:p w14:paraId="5F7FE902" w14:textId="77777777" w:rsidR="006C011D" w:rsidRPr="005A284F" w:rsidRDefault="00000000">
      <w:pPr>
        <w:keepNext/>
        <w:keepLines/>
        <w:spacing w:before="300" w:after="300" w:line="280" w:lineRule="exact"/>
        <w:outlineLvl w:val="3"/>
        <w:rPr>
          <w:rFonts w:ascii="Times New Roman" w:eastAsia="宋体" w:hAnsi="Times New Roman" w:cs="Times New Roman"/>
          <w:b/>
          <w:bCs/>
          <w:sz w:val="18"/>
          <w:szCs w:val="18"/>
        </w:rPr>
      </w:pPr>
      <w:bookmarkStart w:id="71" w:name="_Toc988960"/>
      <w:r w:rsidRPr="005A284F">
        <w:rPr>
          <w:rFonts w:ascii="Times New Roman" w:eastAsia="宋体" w:hAnsi="Times New Roman" w:cs="Times New Roman"/>
          <w:b/>
          <w:bCs/>
          <w:sz w:val="18"/>
          <w:szCs w:val="18"/>
        </w:rPr>
        <w:t>（</w:t>
      </w:r>
      <w:r w:rsidRPr="005A284F">
        <w:rPr>
          <w:rFonts w:ascii="Times New Roman" w:eastAsia="宋体" w:hAnsi="Times New Roman" w:cs="Times New Roman"/>
          <w:b/>
          <w:bCs/>
          <w:sz w:val="18"/>
          <w:szCs w:val="18"/>
        </w:rPr>
        <w:t>3</w:t>
      </w:r>
      <w:r w:rsidRPr="005A284F">
        <w:rPr>
          <w:rFonts w:ascii="Times New Roman" w:eastAsia="宋体" w:hAnsi="Times New Roman" w:cs="Times New Roman"/>
          <w:b/>
          <w:bCs/>
          <w:sz w:val="18"/>
          <w:szCs w:val="18"/>
        </w:rPr>
        <w:t>）</w:t>
      </w:r>
      <w:r w:rsidRPr="005A284F">
        <w:rPr>
          <w:rFonts w:ascii="Times New Roman" w:eastAsia="宋体" w:hAnsi="Times New Roman" w:cs="Times New Roman"/>
          <w:b/>
          <w:bCs/>
          <w:sz w:val="18"/>
          <w:szCs w:val="18"/>
        </w:rPr>
        <w:t xml:space="preserve"> </w:t>
      </w:r>
      <w:r w:rsidRPr="005A284F">
        <w:rPr>
          <w:rFonts w:ascii="Times New Roman" w:eastAsia="宋体" w:hAnsi="Times New Roman" w:cs="Times New Roman"/>
          <w:b/>
          <w:bCs/>
          <w:sz w:val="18"/>
          <w:szCs w:val="18"/>
        </w:rPr>
        <w:t>租赁情况</w:t>
      </w:r>
      <w:bookmarkEnd w:id="71"/>
    </w:p>
    <w:p w14:paraId="491AE5A4" w14:textId="77777777" w:rsidR="006C011D" w:rsidRPr="00576663" w:rsidRDefault="00000000">
      <w:pPr>
        <w:spacing w:before="100" w:after="100" w:line="240" w:lineRule="exact"/>
        <w:rPr>
          <w:rFonts w:ascii="宋体" w:eastAsia="宋体" w:hAnsi="宋体" w:cs="Times New Roman" w:hint="eastAsia"/>
          <w:sz w:val="18"/>
          <w:szCs w:val="18"/>
        </w:rPr>
      </w:pPr>
      <w:r w:rsidRPr="00576663">
        <w:rPr>
          <w:rFonts w:ascii="宋体" w:eastAsia="宋体" w:hAnsi="宋体" w:cs="Times New Roman"/>
          <w:sz w:val="18"/>
          <w:szCs w:val="18"/>
        </w:rPr>
        <w:t xml:space="preserve">□适用 </w:t>
      </w:r>
      <w:r w:rsidRPr="00576663">
        <w:rPr>
          <w:rFonts w:ascii="宋体" w:eastAsia="宋体" w:hAnsi="宋体" w:cs="Times New Roman"/>
          <w:sz w:val="18"/>
          <w:szCs w:val="18"/>
        </w:rPr>
        <w:sym w:font="Wingdings 2" w:char="F052"/>
      </w:r>
      <w:r w:rsidRPr="00576663">
        <w:rPr>
          <w:rFonts w:ascii="宋体" w:eastAsia="宋体" w:hAnsi="宋体" w:cs="Times New Roman"/>
          <w:sz w:val="18"/>
          <w:szCs w:val="18"/>
        </w:rPr>
        <w:t>不适用</w:t>
      </w:r>
    </w:p>
    <w:p w14:paraId="27E89E58"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公司报告期不存在租赁情况。</w:t>
      </w:r>
    </w:p>
    <w:p w14:paraId="220F60AD" w14:textId="77777777" w:rsidR="006C011D" w:rsidRPr="005A284F" w:rsidRDefault="00000000">
      <w:pPr>
        <w:pStyle w:val="3"/>
        <w:spacing w:line="280" w:lineRule="exact"/>
        <w:jc w:val="left"/>
        <w:rPr>
          <w:rFonts w:ascii="Times New Roman" w:hAnsi="Times New Roman" w:cs="Times New Roman"/>
          <w:b/>
          <w:bCs/>
        </w:rPr>
      </w:pPr>
      <w:bookmarkStart w:id="72" w:name="_Toc988961"/>
      <w:r w:rsidRPr="005A284F">
        <w:rPr>
          <w:rFonts w:ascii="Times New Roman" w:hAnsi="Times New Roman" w:cs="Times New Roman"/>
          <w:b/>
          <w:bCs/>
        </w:rPr>
        <w:t>2</w:t>
      </w:r>
      <w:r w:rsidRPr="005A284F">
        <w:rPr>
          <w:rFonts w:ascii="Times New Roman" w:hAnsi="Times New Roman" w:cs="Times New Roman"/>
          <w:b/>
          <w:bCs/>
        </w:rPr>
        <w:t>、重大担保</w:t>
      </w:r>
      <w:bookmarkEnd w:id="72"/>
    </w:p>
    <w:p w14:paraId="42FC83FF" w14:textId="77777777" w:rsidR="006C011D" w:rsidRPr="00576663" w:rsidRDefault="00000000">
      <w:pPr>
        <w:spacing w:before="100" w:after="100" w:line="240" w:lineRule="exact"/>
        <w:rPr>
          <w:rFonts w:ascii="宋体" w:eastAsia="宋体" w:hAnsi="宋体" w:cs="Times New Roman" w:hint="eastAsia"/>
          <w:sz w:val="18"/>
          <w:szCs w:val="18"/>
        </w:rPr>
      </w:pPr>
      <w:r w:rsidRPr="00576663">
        <w:rPr>
          <w:rFonts w:ascii="宋体" w:eastAsia="宋体" w:hAnsi="宋体" w:cs="Times New Roman"/>
          <w:sz w:val="18"/>
          <w:szCs w:val="18"/>
        </w:rPr>
        <w:sym w:font="Wingdings 2" w:char="F052"/>
      </w:r>
      <w:r w:rsidRPr="00576663">
        <w:rPr>
          <w:rFonts w:ascii="宋体" w:eastAsia="宋体" w:hAnsi="宋体" w:cs="Times New Roman"/>
          <w:sz w:val="18"/>
          <w:szCs w:val="18"/>
        </w:rPr>
        <w:t>适用 □不适用</w:t>
      </w:r>
    </w:p>
    <w:p w14:paraId="6C609B7C" w14:textId="77777777" w:rsidR="006C011D" w:rsidRPr="005A284F" w:rsidRDefault="00000000">
      <w:pPr>
        <w:spacing w:before="120" w:after="12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单位：万元</w:t>
      </w:r>
    </w:p>
    <w:tbl>
      <w:tblPr>
        <w:tblW w:w="10176"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0" w:type="dxa"/>
          <w:right w:w="0" w:type="dxa"/>
        </w:tblCellMar>
        <w:tblLook w:val="04A0" w:firstRow="1" w:lastRow="0" w:firstColumn="1" w:lastColumn="0" w:noHBand="0" w:noVBand="1"/>
      </w:tblPr>
      <w:tblGrid>
        <w:gridCol w:w="1273"/>
        <w:gridCol w:w="1144"/>
        <w:gridCol w:w="841"/>
        <w:gridCol w:w="1134"/>
        <w:gridCol w:w="850"/>
        <w:gridCol w:w="1134"/>
        <w:gridCol w:w="709"/>
        <w:gridCol w:w="718"/>
        <w:gridCol w:w="993"/>
        <w:gridCol w:w="708"/>
        <w:gridCol w:w="672"/>
      </w:tblGrid>
      <w:tr w:rsidR="006C011D" w:rsidRPr="005A284F" w14:paraId="3360EF4F" w14:textId="77777777" w:rsidTr="00D81019">
        <w:trPr>
          <w:trHeight w:val="240"/>
          <w:jc w:val="center"/>
        </w:trPr>
        <w:tc>
          <w:tcPr>
            <w:tcW w:w="10176"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14:paraId="5139D9A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公司及其子公司对外担保情况（不包括对子公司的担保）</w:t>
            </w:r>
          </w:p>
        </w:tc>
      </w:tr>
      <w:tr w:rsidR="00686B44" w:rsidRPr="005A284F" w14:paraId="4110D4AA"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shd w:val="clear" w:color="auto" w:fill="D3D3D3"/>
            <w:vAlign w:val="center"/>
          </w:tcPr>
          <w:p w14:paraId="28C9704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担保对象名称</w:t>
            </w:r>
          </w:p>
        </w:tc>
        <w:tc>
          <w:tcPr>
            <w:tcW w:w="1144" w:type="dxa"/>
            <w:tcBorders>
              <w:top w:val="single" w:sz="2" w:space="0" w:color="auto"/>
              <w:left w:val="single" w:sz="2" w:space="0" w:color="auto"/>
              <w:bottom w:val="single" w:sz="2" w:space="0" w:color="auto"/>
              <w:right w:val="single" w:sz="2" w:space="0" w:color="auto"/>
            </w:tcBorders>
            <w:shd w:val="clear" w:color="auto" w:fill="D3D3D3"/>
            <w:vAlign w:val="center"/>
          </w:tcPr>
          <w:p w14:paraId="52E5580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担保额度相关公告披露日期</w:t>
            </w:r>
          </w:p>
        </w:tc>
        <w:tc>
          <w:tcPr>
            <w:tcW w:w="841" w:type="dxa"/>
            <w:tcBorders>
              <w:top w:val="single" w:sz="2" w:space="0" w:color="auto"/>
              <w:left w:val="single" w:sz="2" w:space="0" w:color="auto"/>
              <w:bottom w:val="single" w:sz="2" w:space="0" w:color="auto"/>
              <w:right w:val="single" w:sz="2" w:space="0" w:color="auto"/>
            </w:tcBorders>
            <w:shd w:val="clear" w:color="auto" w:fill="D3D3D3"/>
            <w:vAlign w:val="center"/>
          </w:tcPr>
          <w:p w14:paraId="436F685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担保额度</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2402193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实际发生日期</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7F8D028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实际担保金额</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5FA6E8C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担保类型</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213E191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担保物（如有）</w:t>
            </w:r>
          </w:p>
        </w:tc>
        <w:tc>
          <w:tcPr>
            <w:tcW w:w="718" w:type="dxa"/>
            <w:tcBorders>
              <w:top w:val="single" w:sz="2" w:space="0" w:color="auto"/>
              <w:left w:val="single" w:sz="2" w:space="0" w:color="auto"/>
              <w:bottom w:val="single" w:sz="2" w:space="0" w:color="auto"/>
              <w:right w:val="single" w:sz="2" w:space="0" w:color="auto"/>
            </w:tcBorders>
            <w:shd w:val="clear" w:color="auto" w:fill="D3D3D3"/>
            <w:vAlign w:val="center"/>
          </w:tcPr>
          <w:p w14:paraId="6655D45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反担保情况（如有）</w:t>
            </w: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05C0A61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担保期</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14:paraId="4AAF891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是否履行完毕</w:t>
            </w:r>
          </w:p>
        </w:tc>
        <w:tc>
          <w:tcPr>
            <w:tcW w:w="672" w:type="dxa"/>
            <w:tcBorders>
              <w:top w:val="single" w:sz="2" w:space="0" w:color="auto"/>
              <w:left w:val="single" w:sz="2" w:space="0" w:color="auto"/>
              <w:bottom w:val="single" w:sz="2" w:space="0" w:color="auto"/>
              <w:right w:val="single" w:sz="2" w:space="0" w:color="auto"/>
            </w:tcBorders>
            <w:shd w:val="clear" w:color="auto" w:fill="D3D3D3"/>
            <w:vAlign w:val="center"/>
          </w:tcPr>
          <w:p w14:paraId="4B2AB93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是否为关联方担保</w:t>
            </w:r>
          </w:p>
        </w:tc>
      </w:tr>
      <w:tr w:rsidR="006C011D" w:rsidRPr="005A284F" w14:paraId="56D120CB" w14:textId="77777777" w:rsidTr="00D81019">
        <w:trPr>
          <w:trHeight w:val="240"/>
          <w:jc w:val="center"/>
        </w:trPr>
        <w:tc>
          <w:tcPr>
            <w:tcW w:w="241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DBB5B7E"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报告期内审批的对外担保额度合计（</w:t>
            </w:r>
            <w:r w:rsidRPr="005A284F">
              <w:rPr>
                <w:rFonts w:ascii="Times New Roman" w:eastAsia="宋体" w:hAnsi="Times New Roman" w:cs="Times New Roman"/>
                <w:sz w:val="18"/>
                <w:szCs w:val="18"/>
              </w:rPr>
              <w:t>A1</w:t>
            </w:r>
            <w:r w:rsidRPr="005A284F">
              <w:rPr>
                <w:rFonts w:ascii="Times New Roman" w:eastAsia="宋体" w:hAnsi="Times New Roman" w:cs="Times New Roman"/>
                <w:sz w:val="18"/>
                <w:szCs w:val="18"/>
              </w:rPr>
              <w:t>）</w:t>
            </w:r>
          </w:p>
        </w:tc>
        <w:tc>
          <w:tcPr>
            <w:tcW w:w="1975" w:type="dxa"/>
            <w:gridSpan w:val="2"/>
            <w:tcBorders>
              <w:top w:val="single" w:sz="2" w:space="0" w:color="auto"/>
              <w:left w:val="single" w:sz="2" w:space="0" w:color="auto"/>
              <w:bottom w:val="single" w:sz="2" w:space="0" w:color="auto"/>
              <w:right w:val="single" w:sz="2" w:space="0" w:color="auto"/>
            </w:tcBorders>
            <w:vAlign w:val="center"/>
          </w:tcPr>
          <w:p w14:paraId="57B1D38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198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C0CCB51"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报告期内对外担保实际发生额合计（</w:t>
            </w:r>
            <w:r w:rsidRPr="005A284F">
              <w:rPr>
                <w:rFonts w:ascii="Times New Roman" w:eastAsia="宋体" w:hAnsi="Times New Roman" w:cs="Times New Roman"/>
                <w:sz w:val="18"/>
                <w:szCs w:val="18"/>
              </w:rPr>
              <w:t>A2</w:t>
            </w:r>
            <w:r w:rsidRPr="005A284F">
              <w:rPr>
                <w:rFonts w:ascii="Times New Roman" w:eastAsia="宋体" w:hAnsi="Times New Roman" w:cs="Times New Roman"/>
                <w:sz w:val="18"/>
                <w:szCs w:val="18"/>
              </w:rPr>
              <w:t>）</w:t>
            </w:r>
          </w:p>
        </w:tc>
        <w:tc>
          <w:tcPr>
            <w:tcW w:w="3800" w:type="dxa"/>
            <w:gridSpan w:val="5"/>
            <w:tcBorders>
              <w:top w:val="single" w:sz="2" w:space="0" w:color="auto"/>
              <w:left w:val="single" w:sz="2" w:space="0" w:color="auto"/>
              <w:bottom w:val="single" w:sz="2" w:space="0" w:color="auto"/>
              <w:right w:val="single" w:sz="2" w:space="0" w:color="auto"/>
            </w:tcBorders>
            <w:vAlign w:val="center"/>
          </w:tcPr>
          <w:p w14:paraId="71E0C42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r>
      <w:tr w:rsidR="006C011D" w:rsidRPr="005A284F" w14:paraId="65345279" w14:textId="77777777" w:rsidTr="00D81019">
        <w:trPr>
          <w:trHeight w:val="240"/>
          <w:jc w:val="center"/>
        </w:trPr>
        <w:tc>
          <w:tcPr>
            <w:tcW w:w="241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FE400DC"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报告期末已审批的对外担保额度合计（</w:t>
            </w:r>
            <w:r w:rsidRPr="005A284F">
              <w:rPr>
                <w:rFonts w:ascii="Times New Roman" w:eastAsia="宋体" w:hAnsi="Times New Roman" w:cs="Times New Roman"/>
                <w:sz w:val="18"/>
                <w:szCs w:val="18"/>
              </w:rPr>
              <w:t>A3</w:t>
            </w:r>
            <w:r w:rsidRPr="005A284F">
              <w:rPr>
                <w:rFonts w:ascii="Times New Roman" w:eastAsia="宋体" w:hAnsi="Times New Roman" w:cs="Times New Roman"/>
                <w:sz w:val="18"/>
                <w:szCs w:val="18"/>
              </w:rPr>
              <w:t>）</w:t>
            </w:r>
          </w:p>
        </w:tc>
        <w:tc>
          <w:tcPr>
            <w:tcW w:w="1975" w:type="dxa"/>
            <w:gridSpan w:val="2"/>
            <w:tcBorders>
              <w:top w:val="single" w:sz="2" w:space="0" w:color="auto"/>
              <w:left w:val="single" w:sz="2" w:space="0" w:color="auto"/>
              <w:bottom w:val="single" w:sz="2" w:space="0" w:color="auto"/>
              <w:right w:val="single" w:sz="2" w:space="0" w:color="auto"/>
            </w:tcBorders>
            <w:vAlign w:val="center"/>
          </w:tcPr>
          <w:p w14:paraId="5901CE1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198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54C1DD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报告期末实际对外担保余额合计（</w:t>
            </w:r>
            <w:r w:rsidRPr="005A284F">
              <w:rPr>
                <w:rFonts w:ascii="Times New Roman" w:eastAsia="宋体" w:hAnsi="Times New Roman" w:cs="Times New Roman"/>
                <w:sz w:val="18"/>
                <w:szCs w:val="18"/>
              </w:rPr>
              <w:t>A4</w:t>
            </w:r>
            <w:r w:rsidRPr="005A284F">
              <w:rPr>
                <w:rFonts w:ascii="Times New Roman" w:eastAsia="宋体" w:hAnsi="Times New Roman" w:cs="Times New Roman"/>
                <w:sz w:val="18"/>
                <w:szCs w:val="18"/>
              </w:rPr>
              <w:t>）</w:t>
            </w:r>
          </w:p>
        </w:tc>
        <w:tc>
          <w:tcPr>
            <w:tcW w:w="3800" w:type="dxa"/>
            <w:gridSpan w:val="5"/>
            <w:tcBorders>
              <w:top w:val="single" w:sz="2" w:space="0" w:color="auto"/>
              <w:left w:val="single" w:sz="2" w:space="0" w:color="auto"/>
              <w:bottom w:val="single" w:sz="2" w:space="0" w:color="auto"/>
              <w:right w:val="single" w:sz="2" w:space="0" w:color="auto"/>
            </w:tcBorders>
            <w:vAlign w:val="center"/>
          </w:tcPr>
          <w:p w14:paraId="4421F15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r>
      <w:tr w:rsidR="006C011D" w:rsidRPr="005A284F" w14:paraId="540D8C1E" w14:textId="77777777" w:rsidTr="00D81019">
        <w:trPr>
          <w:trHeight w:val="240"/>
          <w:jc w:val="center"/>
        </w:trPr>
        <w:tc>
          <w:tcPr>
            <w:tcW w:w="10176"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14:paraId="234CCAD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公司对子公司的担保情况</w:t>
            </w:r>
          </w:p>
        </w:tc>
      </w:tr>
      <w:tr w:rsidR="00686B44" w:rsidRPr="005A284F" w14:paraId="4321B851"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shd w:val="clear" w:color="auto" w:fill="D3D3D3"/>
            <w:vAlign w:val="center"/>
          </w:tcPr>
          <w:p w14:paraId="26C52CB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担保对象名称</w:t>
            </w:r>
          </w:p>
        </w:tc>
        <w:tc>
          <w:tcPr>
            <w:tcW w:w="1144" w:type="dxa"/>
            <w:tcBorders>
              <w:top w:val="single" w:sz="2" w:space="0" w:color="auto"/>
              <w:left w:val="single" w:sz="2" w:space="0" w:color="auto"/>
              <w:bottom w:val="single" w:sz="2" w:space="0" w:color="auto"/>
              <w:right w:val="single" w:sz="2" w:space="0" w:color="auto"/>
            </w:tcBorders>
            <w:shd w:val="clear" w:color="auto" w:fill="D3D3D3"/>
            <w:vAlign w:val="center"/>
          </w:tcPr>
          <w:p w14:paraId="7551762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担保额度相关公告披露日期</w:t>
            </w:r>
          </w:p>
        </w:tc>
        <w:tc>
          <w:tcPr>
            <w:tcW w:w="841" w:type="dxa"/>
            <w:tcBorders>
              <w:top w:val="single" w:sz="2" w:space="0" w:color="auto"/>
              <w:left w:val="single" w:sz="2" w:space="0" w:color="auto"/>
              <w:bottom w:val="single" w:sz="2" w:space="0" w:color="auto"/>
              <w:right w:val="single" w:sz="2" w:space="0" w:color="auto"/>
            </w:tcBorders>
            <w:shd w:val="clear" w:color="auto" w:fill="D3D3D3"/>
            <w:vAlign w:val="center"/>
          </w:tcPr>
          <w:p w14:paraId="512F3BF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担保额度</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1C1C65B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实际发生日期</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0878234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实际担保金额</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03ED70C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担保类型</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470C0E9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担保物（如有）</w:t>
            </w:r>
          </w:p>
        </w:tc>
        <w:tc>
          <w:tcPr>
            <w:tcW w:w="718" w:type="dxa"/>
            <w:tcBorders>
              <w:top w:val="single" w:sz="2" w:space="0" w:color="auto"/>
              <w:left w:val="single" w:sz="2" w:space="0" w:color="auto"/>
              <w:bottom w:val="single" w:sz="2" w:space="0" w:color="auto"/>
              <w:right w:val="single" w:sz="2" w:space="0" w:color="auto"/>
            </w:tcBorders>
            <w:shd w:val="clear" w:color="auto" w:fill="D3D3D3"/>
            <w:vAlign w:val="center"/>
          </w:tcPr>
          <w:p w14:paraId="34983BE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反担保情况（如有）</w:t>
            </w: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4F3DE0B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担保期</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14:paraId="13E3566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是否履行完毕</w:t>
            </w:r>
          </w:p>
        </w:tc>
        <w:tc>
          <w:tcPr>
            <w:tcW w:w="672" w:type="dxa"/>
            <w:tcBorders>
              <w:top w:val="single" w:sz="2" w:space="0" w:color="auto"/>
              <w:left w:val="single" w:sz="2" w:space="0" w:color="auto"/>
              <w:bottom w:val="single" w:sz="2" w:space="0" w:color="auto"/>
              <w:right w:val="single" w:sz="2" w:space="0" w:color="auto"/>
            </w:tcBorders>
            <w:shd w:val="clear" w:color="auto" w:fill="D3D3D3"/>
            <w:vAlign w:val="center"/>
          </w:tcPr>
          <w:p w14:paraId="1376798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是否为关联方担保</w:t>
            </w:r>
          </w:p>
        </w:tc>
      </w:tr>
      <w:tr w:rsidR="00686B44" w:rsidRPr="005A284F" w14:paraId="49DD804E"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7FA8C7B3"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烟台龙大养殖有限公司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09021AC9"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2023</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01</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17</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30CA5521"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6,000</w:t>
            </w:r>
          </w:p>
        </w:tc>
        <w:tc>
          <w:tcPr>
            <w:tcW w:w="1134" w:type="dxa"/>
            <w:tcBorders>
              <w:top w:val="single" w:sz="2" w:space="0" w:color="auto"/>
              <w:left w:val="single" w:sz="2" w:space="0" w:color="auto"/>
              <w:bottom w:val="single" w:sz="2" w:space="0" w:color="auto"/>
              <w:right w:val="single" w:sz="2" w:space="0" w:color="auto"/>
            </w:tcBorders>
            <w:vAlign w:val="center"/>
          </w:tcPr>
          <w:p w14:paraId="5D30B119"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05</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06</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3006EB51"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6,000</w:t>
            </w:r>
          </w:p>
        </w:tc>
        <w:tc>
          <w:tcPr>
            <w:tcW w:w="1134" w:type="dxa"/>
            <w:tcBorders>
              <w:top w:val="single" w:sz="2" w:space="0" w:color="auto"/>
              <w:left w:val="single" w:sz="2" w:space="0" w:color="auto"/>
              <w:bottom w:val="single" w:sz="2" w:space="0" w:color="auto"/>
              <w:right w:val="single" w:sz="2" w:space="0" w:color="auto"/>
            </w:tcBorders>
            <w:vAlign w:val="center"/>
          </w:tcPr>
          <w:p w14:paraId="147E5719" w14:textId="617049BA"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4DE0174C"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28EAA7CF"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4D348AF0"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2024.05.07-2025.05.04</w:t>
            </w:r>
          </w:p>
        </w:tc>
        <w:tc>
          <w:tcPr>
            <w:tcW w:w="708" w:type="dxa"/>
            <w:tcBorders>
              <w:top w:val="single" w:sz="2" w:space="0" w:color="auto"/>
              <w:left w:val="single" w:sz="2" w:space="0" w:color="auto"/>
              <w:bottom w:val="single" w:sz="2" w:space="0" w:color="auto"/>
              <w:right w:val="single" w:sz="2" w:space="0" w:color="auto"/>
            </w:tcBorders>
            <w:vAlign w:val="center"/>
          </w:tcPr>
          <w:p w14:paraId="73C2F1C0"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是</w:t>
            </w:r>
          </w:p>
        </w:tc>
        <w:tc>
          <w:tcPr>
            <w:tcW w:w="672" w:type="dxa"/>
            <w:tcBorders>
              <w:top w:val="single" w:sz="2" w:space="0" w:color="auto"/>
              <w:left w:val="single" w:sz="2" w:space="0" w:color="auto"/>
              <w:bottom w:val="single" w:sz="2" w:space="0" w:color="auto"/>
              <w:right w:val="single" w:sz="2" w:space="0" w:color="auto"/>
            </w:tcBorders>
            <w:vAlign w:val="center"/>
          </w:tcPr>
          <w:p w14:paraId="18C1476B"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76817B7D"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518FFF29"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烟台龙大养殖有限公司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1C3CA508"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05</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14</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5D93F547"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6,000</w:t>
            </w:r>
          </w:p>
        </w:tc>
        <w:tc>
          <w:tcPr>
            <w:tcW w:w="1134" w:type="dxa"/>
            <w:tcBorders>
              <w:top w:val="single" w:sz="2" w:space="0" w:color="auto"/>
              <w:left w:val="single" w:sz="2" w:space="0" w:color="auto"/>
              <w:bottom w:val="single" w:sz="2" w:space="0" w:color="auto"/>
              <w:right w:val="single" w:sz="2" w:space="0" w:color="auto"/>
            </w:tcBorders>
            <w:vAlign w:val="center"/>
          </w:tcPr>
          <w:p w14:paraId="103588AD"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04</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24</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70C90D31"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6,000</w:t>
            </w:r>
          </w:p>
        </w:tc>
        <w:tc>
          <w:tcPr>
            <w:tcW w:w="1134" w:type="dxa"/>
            <w:tcBorders>
              <w:top w:val="single" w:sz="2" w:space="0" w:color="auto"/>
              <w:left w:val="single" w:sz="2" w:space="0" w:color="auto"/>
              <w:bottom w:val="single" w:sz="2" w:space="0" w:color="auto"/>
              <w:right w:val="single" w:sz="2" w:space="0" w:color="auto"/>
            </w:tcBorders>
            <w:vAlign w:val="center"/>
          </w:tcPr>
          <w:p w14:paraId="6C0C016A" w14:textId="2BC94E12"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239F4003"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2F677A59"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2FCD7835"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2025.04.24-2026.04.24</w:t>
            </w:r>
          </w:p>
        </w:tc>
        <w:tc>
          <w:tcPr>
            <w:tcW w:w="708" w:type="dxa"/>
            <w:tcBorders>
              <w:top w:val="single" w:sz="2" w:space="0" w:color="auto"/>
              <w:left w:val="single" w:sz="2" w:space="0" w:color="auto"/>
              <w:bottom w:val="single" w:sz="2" w:space="0" w:color="auto"/>
              <w:right w:val="single" w:sz="2" w:space="0" w:color="auto"/>
            </w:tcBorders>
            <w:vAlign w:val="center"/>
          </w:tcPr>
          <w:p w14:paraId="788954DA"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478939F6"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5D44C94C"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606B648B"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烟台龙大饲料有限公司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12FD0556"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04</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17</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0FC269BF"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1,000</w:t>
            </w:r>
          </w:p>
        </w:tc>
        <w:tc>
          <w:tcPr>
            <w:tcW w:w="1134" w:type="dxa"/>
            <w:tcBorders>
              <w:top w:val="single" w:sz="2" w:space="0" w:color="auto"/>
              <w:left w:val="single" w:sz="2" w:space="0" w:color="auto"/>
              <w:bottom w:val="single" w:sz="2" w:space="0" w:color="auto"/>
              <w:right w:val="single" w:sz="2" w:space="0" w:color="auto"/>
            </w:tcBorders>
            <w:vAlign w:val="center"/>
          </w:tcPr>
          <w:p w14:paraId="305F6C06"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04</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19</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57BFFF64"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1,000</w:t>
            </w:r>
          </w:p>
        </w:tc>
        <w:tc>
          <w:tcPr>
            <w:tcW w:w="1134" w:type="dxa"/>
            <w:tcBorders>
              <w:top w:val="single" w:sz="2" w:space="0" w:color="auto"/>
              <w:left w:val="single" w:sz="2" w:space="0" w:color="auto"/>
              <w:bottom w:val="single" w:sz="2" w:space="0" w:color="auto"/>
              <w:right w:val="single" w:sz="2" w:space="0" w:color="auto"/>
            </w:tcBorders>
            <w:vAlign w:val="center"/>
          </w:tcPr>
          <w:p w14:paraId="7BB577AA" w14:textId="64C4D8C9"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7BBCBAE0"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125A28FA"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27E2AD34"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2024.04.19-2025.04.08</w:t>
            </w:r>
          </w:p>
        </w:tc>
        <w:tc>
          <w:tcPr>
            <w:tcW w:w="708" w:type="dxa"/>
            <w:tcBorders>
              <w:top w:val="single" w:sz="2" w:space="0" w:color="auto"/>
              <w:left w:val="single" w:sz="2" w:space="0" w:color="auto"/>
              <w:bottom w:val="single" w:sz="2" w:space="0" w:color="auto"/>
              <w:right w:val="single" w:sz="2" w:space="0" w:color="auto"/>
            </w:tcBorders>
            <w:vAlign w:val="center"/>
          </w:tcPr>
          <w:p w14:paraId="3E1B6813"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是</w:t>
            </w:r>
          </w:p>
        </w:tc>
        <w:tc>
          <w:tcPr>
            <w:tcW w:w="672" w:type="dxa"/>
            <w:tcBorders>
              <w:top w:val="single" w:sz="2" w:space="0" w:color="auto"/>
              <w:left w:val="single" w:sz="2" w:space="0" w:color="auto"/>
              <w:bottom w:val="single" w:sz="2" w:space="0" w:color="auto"/>
              <w:right w:val="single" w:sz="2" w:space="0" w:color="auto"/>
            </w:tcBorders>
            <w:vAlign w:val="center"/>
          </w:tcPr>
          <w:p w14:paraId="3C7485FB"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00841D28"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32EB3DA7"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烟台龙大饲料有限公司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05A90FBB"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26</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41CD272A"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900</w:t>
            </w:r>
          </w:p>
        </w:tc>
        <w:tc>
          <w:tcPr>
            <w:tcW w:w="1134" w:type="dxa"/>
            <w:tcBorders>
              <w:top w:val="single" w:sz="2" w:space="0" w:color="auto"/>
              <w:left w:val="single" w:sz="2" w:space="0" w:color="auto"/>
              <w:bottom w:val="single" w:sz="2" w:space="0" w:color="auto"/>
              <w:right w:val="single" w:sz="2" w:space="0" w:color="auto"/>
            </w:tcBorders>
            <w:vAlign w:val="center"/>
          </w:tcPr>
          <w:p w14:paraId="766452DE"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22</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01CBFBF9"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900</w:t>
            </w:r>
          </w:p>
        </w:tc>
        <w:tc>
          <w:tcPr>
            <w:tcW w:w="1134" w:type="dxa"/>
            <w:tcBorders>
              <w:top w:val="single" w:sz="2" w:space="0" w:color="auto"/>
              <w:left w:val="single" w:sz="2" w:space="0" w:color="auto"/>
              <w:bottom w:val="single" w:sz="2" w:space="0" w:color="auto"/>
              <w:right w:val="single" w:sz="2" w:space="0" w:color="auto"/>
            </w:tcBorders>
            <w:vAlign w:val="center"/>
          </w:tcPr>
          <w:p w14:paraId="098E3389" w14:textId="6EBD8576"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2F5BCB77"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6F9963A4"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6A909036"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2024.08.22-2025.08.21</w:t>
            </w:r>
          </w:p>
        </w:tc>
        <w:tc>
          <w:tcPr>
            <w:tcW w:w="708" w:type="dxa"/>
            <w:tcBorders>
              <w:top w:val="single" w:sz="2" w:space="0" w:color="auto"/>
              <w:left w:val="single" w:sz="2" w:space="0" w:color="auto"/>
              <w:bottom w:val="single" w:sz="2" w:space="0" w:color="auto"/>
              <w:right w:val="single" w:sz="2" w:space="0" w:color="auto"/>
            </w:tcBorders>
            <w:vAlign w:val="center"/>
          </w:tcPr>
          <w:p w14:paraId="46F952FD"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65F198E9"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0BE67987"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675F3A55"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烟台龙大饲料有限公司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4B4DAE90"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7E2EADE4"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1,000</w:t>
            </w:r>
          </w:p>
        </w:tc>
        <w:tc>
          <w:tcPr>
            <w:tcW w:w="1134" w:type="dxa"/>
            <w:tcBorders>
              <w:top w:val="single" w:sz="2" w:space="0" w:color="auto"/>
              <w:left w:val="single" w:sz="2" w:space="0" w:color="auto"/>
              <w:bottom w:val="single" w:sz="2" w:space="0" w:color="auto"/>
              <w:right w:val="single" w:sz="2" w:space="0" w:color="auto"/>
            </w:tcBorders>
            <w:vAlign w:val="center"/>
          </w:tcPr>
          <w:p w14:paraId="5FD1ED07"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13</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137F0049"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1,000</w:t>
            </w:r>
          </w:p>
        </w:tc>
        <w:tc>
          <w:tcPr>
            <w:tcW w:w="1134" w:type="dxa"/>
            <w:tcBorders>
              <w:top w:val="single" w:sz="2" w:space="0" w:color="auto"/>
              <w:left w:val="single" w:sz="2" w:space="0" w:color="auto"/>
              <w:bottom w:val="single" w:sz="2" w:space="0" w:color="auto"/>
              <w:right w:val="single" w:sz="2" w:space="0" w:color="auto"/>
            </w:tcBorders>
            <w:vAlign w:val="center"/>
          </w:tcPr>
          <w:p w14:paraId="0A3AA2BA" w14:textId="77B5F607"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06816183"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2C868AF3"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408D5422"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2024.12.13-2025.12.10</w:t>
            </w:r>
          </w:p>
        </w:tc>
        <w:tc>
          <w:tcPr>
            <w:tcW w:w="708" w:type="dxa"/>
            <w:tcBorders>
              <w:top w:val="single" w:sz="2" w:space="0" w:color="auto"/>
              <w:left w:val="single" w:sz="2" w:space="0" w:color="auto"/>
              <w:bottom w:val="single" w:sz="2" w:space="0" w:color="auto"/>
              <w:right w:val="single" w:sz="2" w:space="0" w:color="auto"/>
            </w:tcBorders>
            <w:vAlign w:val="center"/>
          </w:tcPr>
          <w:p w14:paraId="08E17D9D"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4D9C9AAB"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6AF2A200"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23D0D6A2"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烟台龙大饲料有限公司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1DC6CD3C"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04</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15</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6EBC3C1A"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500</w:t>
            </w:r>
          </w:p>
        </w:tc>
        <w:tc>
          <w:tcPr>
            <w:tcW w:w="1134" w:type="dxa"/>
            <w:tcBorders>
              <w:top w:val="single" w:sz="2" w:space="0" w:color="auto"/>
              <w:left w:val="single" w:sz="2" w:space="0" w:color="auto"/>
              <w:bottom w:val="single" w:sz="2" w:space="0" w:color="auto"/>
              <w:right w:val="single" w:sz="2" w:space="0" w:color="auto"/>
            </w:tcBorders>
            <w:vAlign w:val="center"/>
          </w:tcPr>
          <w:p w14:paraId="465AB252"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04</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2077DDD1"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500</w:t>
            </w:r>
          </w:p>
        </w:tc>
        <w:tc>
          <w:tcPr>
            <w:tcW w:w="1134" w:type="dxa"/>
            <w:tcBorders>
              <w:top w:val="single" w:sz="2" w:space="0" w:color="auto"/>
              <w:left w:val="single" w:sz="2" w:space="0" w:color="auto"/>
              <w:bottom w:val="single" w:sz="2" w:space="0" w:color="auto"/>
              <w:right w:val="single" w:sz="2" w:space="0" w:color="auto"/>
            </w:tcBorders>
            <w:vAlign w:val="center"/>
          </w:tcPr>
          <w:p w14:paraId="31854F3A" w14:textId="1AAC559E"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623D35AA"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6140B38A"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0A34ADD9"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2025.04.10-2026.04.07</w:t>
            </w:r>
          </w:p>
        </w:tc>
        <w:tc>
          <w:tcPr>
            <w:tcW w:w="708" w:type="dxa"/>
            <w:tcBorders>
              <w:top w:val="single" w:sz="2" w:space="0" w:color="auto"/>
              <w:left w:val="single" w:sz="2" w:space="0" w:color="auto"/>
              <w:bottom w:val="single" w:sz="2" w:space="0" w:color="auto"/>
              <w:right w:val="single" w:sz="2" w:space="0" w:color="auto"/>
            </w:tcBorders>
            <w:vAlign w:val="center"/>
          </w:tcPr>
          <w:p w14:paraId="21FE02D9"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28C00E55"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76E9D4DC"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793DD302"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烟台龙大饲料有限公司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53D4DB0D"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25</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27E46E25"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600</w:t>
            </w:r>
          </w:p>
        </w:tc>
        <w:tc>
          <w:tcPr>
            <w:tcW w:w="1134" w:type="dxa"/>
            <w:tcBorders>
              <w:top w:val="single" w:sz="2" w:space="0" w:color="auto"/>
              <w:left w:val="single" w:sz="2" w:space="0" w:color="auto"/>
              <w:bottom w:val="single" w:sz="2" w:space="0" w:color="auto"/>
              <w:right w:val="single" w:sz="2" w:space="0" w:color="auto"/>
            </w:tcBorders>
            <w:vAlign w:val="center"/>
          </w:tcPr>
          <w:p w14:paraId="016254EA"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26</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346055D2"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500</w:t>
            </w:r>
          </w:p>
        </w:tc>
        <w:tc>
          <w:tcPr>
            <w:tcW w:w="1134" w:type="dxa"/>
            <w:tcBorders>
              <w:top w:val="single" w:sz="2" w:space="0" w:color="auto"/>
              <w:left w:val="single" w:sz="2" w:space="0" w:color="auto"/>
              <w:bottom w:val="single" w:sz="2" w:space="0" w:color="auto"/>
              <w:right w:val="single" w:sz="2" w:space="0" w:color="auto"/>
            </w:tcBorders>
            <w:vAlign w:val="center"/>
          </w:tcPr>
          <w:p w14:paraId="6EC937B3" w14:textId="605D579A"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386AAE46"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6FAC865F"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48ABEDA3"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2025.02.26-2026.02.25</w:t>
            </w:r>
          </w:p>
        </w:tc>
        <w:tc>
          <w:tcPr>
            <w:tcW w:w="708" w:type="dxa"/>
            <w:tcBorders>
              <w:top w:val="single" w:sz="2" w:space="0" w:color="auto"/>
              <w:left w:val="single" w:sz="2" w:space="0" w:color="auto"/>
              <w:bottom w:val="single" w:sz="2" w:space="0" w:color="auto"/>
              <w:right w:val="single" w:sz="2" w:space="0" w:color="auto"/>
            </w:tcBorders>
            <w:vAlign w:val="center"/>
          </w:tcPr>
          <w:p w14:paraId="06C85B43"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4F61D309"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6D8FF0C4"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0397FEE7"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潍坊振祥食品有限公司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791A8482"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2023</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05</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11</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095A6FF5"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2,000</w:t>
            </w:r>
          </w:p>
        </w:tc>
        <w:tc>
          <w:tcPr>
            <w:tcW w:w="1134" w:type="dxa"/>
            <w:tcBorders>
              <w:top w:val="single" w:sz="2" w:space="0" w:color="auto"/>
              <w:left w:val="single" w:sz="2" w:space="0" w:color="auto"/>
              <w:bottom w:val="single" w:sz="2" w:space="0" w:color="auto"/>
              <w:right w:val="single" w:sz="2" w:space="0" w:color="auto"/>
            </w:tcBorders>
            <w:vAlign w:val="center"/>
          </w:tcPr>
          <w:p w14:paraId="6D85BFE0"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05</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15</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3F1EE538"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2,000</w:t>
            </w:r>
          </w:p>
        </w:tc>
        <w:tc>
          <w:tcPr>
            <w:tcW w:w="1134" w:type="dxa"/>
            <w:tcBorders>
              <w:top w:val="single" w:sz="2" w:space="0" w:color="auto"/>
              <w:left w:val="single" w:sz="2" w:space="0" w:color="auto"/>
              <w:bottom w:val="single" w:sz="2" w:space="0" w:color="auto"/>
              <w:right w:val="single" w:sz="2" w:space="0" w:color="auto"/>
            </w:tcBorders>
            <w:vAlign w:val="center"/>
          </w:tcPr>
          <w:p w14:paraId="1F4C5E1A" w14:textId="77F69A8A"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4FC2CD3B"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7F483CB4"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114DB14A"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2024.05.15-2025.05.14</w:t>
            </w:r>
          </w:p>
        </w:tc>
        <w:tc>
          <w:tcPr>
            <w:tcW w:w="708" w:type="dxa"/>
            <w:tcBorders>
              <w:top w:val="single" w:sz="2" w:space="0" w:color="auto"/>
              <w:left w:val="single" w:sz="2" w:space="0" w:color="auto"/>
              <w:bottom w:val="single" w:sz="2" w:space="0" w:color="auto"/>
              <w:right w:val="single" w:sz="2" w:space="0" w:color="auto"/>
            </w:tcBorders>
            <w:vAlign w:val="center"/>
          </w:tcPr>
          <w:p w14:paraId="6C972CEF"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是</w:t>
            </w:r>
          </w:p>
        </w:tc>
        <w:tc>
          <w:tcPr>
            <w:tcW w:w="672" w:type="dxa"/>
            <w:tcBorders>
              <w:top w:val="single" w:sz="2" w:space="0" w:color="auto"/>
              <w:left w:val="single" w:sz="2" w:space="0" w:color="auto"/>
              <w:bottom w:val="single" w:sz="2" w:space="0" w:color="auto"/>
              <w:right w:val="single" w:sz="2" w:space="0" w:color="auto"/>
            </w:tcBorders>
            <w:vAlign w:val="center"/>
          </w:tcPr>
          <w:p w14:paraId="7EA3D0D8"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16F20B18"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46148A9C"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潍坊振祥食品有限公司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1D1662CF"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01</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7ED95465"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2,700</w:t>
            </w:r>
          </w:p>
        </w:tc>
        <w:tc>
          <w:tcPr>
            <w:tcW w:w="1134" w:type="dxa"/>
            <w:tcBorders>
              <w:top w:val="single" w:sz="2" w:space="0" w:color="auto"/>
              <w:left w:val="single" w:sz="2" w:space="0" w:color="auto"/>
              <w:bottom w:val="single" w:sz="2" w:space="0" w:color="auto"/>
              <w:right w:val="single" w:sz="2" w:space="0" w:color="auto"/>
            </w:tcBorders>
            <w:vAlign w:val="center"/>
          </w:tcPr>
          <w:p w14:paraId="7287A58B"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01</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58E6B344"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2,700</w:t>
            </w:r>
          </w:p>
        </w:tc>
        <w:tc>
          <w:tcPr>
            <w:tcW w:w="1134" w:type="dxa"/>
            <w:tcBorders>
              <w:top w:val="single" w:sz="2" w:space="0" w:color="auto"/>
              <w:left w:val="single" w:sz="2" w:space="0" w:color="auto"/>
              <w:bottom w:val="single" w:sz="2" w:space="0" w:color="auto"/>
              <w:right w:val="single" w:sz="2" w:space="0" w:color="auto"/>
            </w:tcBorders>
            <w:vAlign w:val="center"/>
          </w:tcPr>
          <w:p w14:paraId="25781597" w14:textId="4A939A0A"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0AE10C30"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769D481A"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0AE41645"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2024.08.01-2025.01.22</w:t>
            </w:r>
          </w:p>
        </w:tc>
        <w:tc>
          <w:tcPr>
            <w:tcW w:w="708" w:type="dxa"/>
            <w:tcBorders>
              <w:top w:val="single" w:sz="2" w:space="0" w:color="auto"/>
              <w:left w:val="single" w:sz="2" w:space="0" w:color="auto"/>
              <w:bottom w:val="single" w:sz="2" w:space="0" w:color="auto"/>
              <w:right w:val="single" w:sz="2" w:space="0" w:color="auto"/>
            </w:tcBorders>
            <w:vAlign w:val="center"/>
          </w:tcPr>
          <w:p w14:paraId="6B36FC40"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是</w:t>
            </w:r>
          </w:p>
        </w:tc>
        <w:tc>
          <w:tcPr>
            <w:tcW w:w="672" w:type="dxa"/>
            <w:tcBorders>
              <w:top w:val="single" w:sz="2" w:space="0" w:color="auto"/>
              <w:left w:val="single" w:sz="2" w:space="0" w:color="auto"/>
              <w:bottom w:val="single" w:sz="2" w:space="0" w:color="auto"/>
              <w:right w:val="single" w:sz="2" w:space="0" w:color="auto"/>
            </w:tcBorders>
            <w:vAlign w:val="center"/>
          </w:tcPr>
          <w:p w14:paraId="37782361"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01AFAD24"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5EA05CCD"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潍坊振祥食品有限公司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49151072"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01</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4824B570"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2,700</w:t>
            </w:r>
          </w:p>
        </w:tc>
        <w:tc>
          <w:tcPr>
            <w:tcW w:w="1134" w:type="dxa"/>
            <w:tcBorders>
              <w:top w:val="single" w:sz="2" w:space="0" w:color="auto"/>
              <w:left w:val="single" w:sz="2" w:space="0" w:color="auto"/>
              <w:bottom w:val="single" w:sz="2" w:space="0" w:color="auto"/>
              <w:right w:val="single" w:sz="2" w:space="0" w:color="auto"/>
            </w:tcBorders>
            <w:vAlign w:val="center"/>
          </w:tcPr>
          <w:p w14:paraId="4351633A"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01</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20</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2458843C"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2,700</w:t>
            </w:r>
          </w:p>
        </w:tc>
        <w:tc>
          <w:tcPr>
            <w:tcW w:w="1134" w:type="dxa"/>
            <w:tcBorders>
              <w:top w:val="single" w:sz="2" w:space="0" w:color="auto"/>
              <w:left w:val="single" w:sz="2" w:space="0" w:color="auto"/>
              <w:bottom w:val="single" w:sz="2" w:space="0" w:color="auto"/>
              <w:right w:val="single" w:sz="2" w:space="0" w:color="auto"/>
            </w:tcBorders>
            <w:vAlign w:val="center"/>
          </w:tcPr>
          <w:p w14:paraId="72D5B54E" w14:textId="1B895FDB"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0B99646E"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16AE8371"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3FF5315C"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2025.01.20-2025.07.20</w:t>
            </w:r>
          </w:p>
        </w:tc>
        <w:tc>
          <w:tcPr>
            <w:tcW w:w="708" w:type="dxa"/>
            <w:tcBorders>
              <w:top w:val="single" w:sz="2" w:space="0" w:color="auto"/>
              <w:left w:val="single" w:sz="2" w:space="0" w:color="auto"/>
              <w:bottom w:val="single" w:sz="2" w:space="0" w:color="auto"/>
              <w:right w:val="single" w:sz="2" w:space="0" w:color="auto"/>
            </w:tcBorders>
            <w:vAlign w:val="center"/>
          </w:tcPr>
          <w:p w14:paraId="3C736FD0"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33954CCA"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0E9B9935"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4B91E3B1"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蓬莱富龙肉食品有限公司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36D8DE30"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38D09C99"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1,000</w:t>
            </w:r>
          </w:p>
        </w:tc>
        <w:tc>
          <w:tcPr>
            <w:tcW w:w="1134" w:type="dxa"/>
            <w:tcBorders>
              <w:top w:val="single" w:sz="2" w:space="0" w:color="auto"/>
              <w:left w:val="single" w:sz="2" w:space="0" w:color="auto"/>
              <w:bottom w:val="single" w:sz="2" w:space="0" w:color="auto"/>
              <w:right w:val="single" w:sz="2" w:space="0" w:color="auto"/>
            </w:tcBorders>
            <w:vAlign w:val="center"/>
          </w:tcPr>
          <w:p w14:paraId="36146629"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13</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479FFECC"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1,000</w:t>
            </w:r>
          </w:p>
        </w:tc>
        <w:tc>
          <w:tcPr>
            <w:tcW w:w="1134" w:type="dxa"/>
            <w:tcBorders>
              <w:top w:val="single" w:sz="2" w:space="0" w:color="auto"/>
              <w:left w:val="single" w:sz="2" w:space="0" w:color="auto"/>
              <w:bottom w:val="single" w:sz="2" w:space="0" w:color="auto"/>
              <w:right w:val="single" w:sz="2" w:space="0" w:color="auto"/>
            </w:tcBorders>
            <w:vAlign w:val="center"/>
          </w:tcPr>
          <w:p w14:paraId="5FFEB206" w14:textId="002F0F75"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490068D2"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2FC2158F"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43C1DD8D"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2024.12.13-2025.12.10</w:t>
            </w:r>
          </w:p>
        </w:tc>
        <w:tc>
          <w:tcPr>
            <w:tcW w:w="708" w:type="dxa"/>
            <w:tcBorders>
              <w:top w:val="single" w:sz="2" w:space="0" w:color="auto"/>
              <w:left w:val="single" w:sz="2" w:space="0" w:color="auto"/>
              <w:bottom w:val="single" w:sz="2" w:space="0" w:color="auto"/>
              <w:right w:val="single" w:sz="2" w:space="0" w:color="auto"/>
            </w:tcBorders>
            <w:vAlign w:val="center"/>
          </w:tcPr>
          <w:p w14:paraId="7F5D3273"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356569E0"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11A4FEF4"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02515023"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蓬莱富龙肉食品有限公司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047C05F1"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25</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24FC9D03"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600</w:t>
            </w:r>
          </w:p>
        </w:tc>
        <w:tc>
          <w:tcPr>
            <w:tcW w:w="1134" w:type="dxa"/>
            <w:tcBorders>
              <w:top w:val="single" w:sz="2" w:space="0" w:color="auto"/>
              <w:left w:val="single" w:sz="2" w:space="0" w:color="auto"/>
              <w:bottom w:val="single" w:sz="2" w:space="0" w:color="auto"/>
              <w:right w:val="single" w:sz="2" w:space="0" w:color="auto"/>
            </w:tcBorders>
            <w:vAlign w:val="center"/>
          </w:tcPr>
          <w:p w14:paraId="0A2037E0"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26</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110C5505"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500</w:t>
            </w:r>
          </w:p>
        </w:tc>
        <w:tc>
          <w:tcPr>
            <w:tcW w:w="1134" w:type="dxa"/>
            <w:tcBorders>
              <w:top w:val="single" w:sz="2" w:space="0" w:color="auto"/>
              <w:left w:val="single" w:sz="2" w:space="0" w:color="auto"/>
              <w:bottom w:val="single" w:sz="2" w:space="0" w:color="auto"/>
              <w:right w:val="single" w:sz="2" w:space="0" w:color="auto"/>
            </w:tcBorders>
            <w:vAlign w:val="center"/>
          </w:tcPr>
          <w:p w14:paraId="21266B56" w14:textId="2870A624"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59F07B26"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79B14C23"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21C2CF75"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2025.02.26-2026.02.25</w:t>
            </w:r>
          </w:p>
        </w:tc>
        <w:tc>
          <w:tcPr>
            <w:tcW w:w="708" w:type="dxa"/>
            <w:tcBorders>
              <w:top w:val="single" w:sz="2" w:space="0" w:color="auto"/>
              <w:left w:val="single" w:sz="2" w:space="0" w:color="auto"/>
              <w:bottom w:val="single" w:sz="2" w:space="0" w:color="auto"/>
              <w:right w:val="single" w:sz="2" w:space="0" w:color="auto"/>
            </w:tcBorders>
            <w:vAlign w:val="center"/>
          </w:tcPr>
          <w:p w14:paraId="499D6EFB"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37B764DB"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59BBF185"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01D57E82"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聊城龙大肉食品有限公司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7662E69D"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05</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31</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4B360761"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5,000</w:t>
            </w:r>
          </w:p>
        </w:tc>
        <w:tc>
          <w:tcPr>
            <w:tcW w:w="1134" w:type="dxa"/>
            <w:tcBorders>
              <w:top w:val="single" w:sz="2" w:space="0" w:color="auto"/>
              <w:left w:val="single" w:sz="2" w:space="0" w:color="auto"/>
              <w:bottom w:val="single" w:sz="2" w:space="0" w:color="auto"/>
              <w:right w:val="single" w:sz="2" w:space="0" w:color="auto"/>
            </w:tcBorders>
            <w:vAlign w:val="center"/>
          </w:tcPr>
          <w:p w14:paraId="72C5E5D5"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02</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2D0F152A"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2,000</w:t>
            </w:r>
          </w:p>
        </w:tc>
        <w:tc>
          <w:tcPr>
            <w:tcW w:w="1134" w:type="dxa"/>
            <w:tcBorders>
              <w:top w:val="single" w:sz="2" w:space="0" w:color="auto"/>
              <w:left w:val="single" w:sz="2" w:space="0" w:color="auto"/>
              <w:bottom w:val="single" w:sz="2" w:space="0" w:color="auto"/>
              <w:right w:val="single" w:sz="2" w:space="0" w:color="auto"/>
            </w:tcBorders>
            <w:vAlign w:val="center"/>
          </w:tcPr>
          <w:p w14:paraId="36ABBE9B" w14:textId="04A2741F"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75BC0BAF"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4A192E70"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43174DE3"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2024.12.02-2025.06.02</w:t>
            </w:r>
          </w:p>
        </w:tc>
        <w:tc>
          <w:tcPr>
            <w:tcW w:w="708" w:type="dxa"/>
            <w:tcBorders>
              <w:top w:val="single" w:sz="2" w:space="0" w:color="auto"/>
              <w:left w:val="single" w:sz="2" w:space="0" w:color="auto"/>
              <w:bottom w:val="single" w:sz="2" w:space="0" w:color="auto"/>
              <w:right w:val="single" w:sz="2" w:space="0" w:color="auto"/>
            </w:tcBorders>
            <w:vAlign w:val="center"/>
          </w:tcPr>
          <w:p w14:paraId="7013D714"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是</w:t>
            </w:r>
          </w:p>
        </w:tc>
        <w:tc>
          <w:tcPr>
            <w:tcW w:w="672" w:type="dxa"/>
            <w:tcBorders>
              <w:top w:val="single" w:sz="2" w:space="0" w:color="auto"/>
              <w:left w:val="single" w:sz="2" w:space="0" w:color="auto"/>
              <w:bottom w:val="single" w:sz="2" w:space="0" w:color="auto"/>
              <w:right w:val="single" w:sz="2" w:space="0" w:color="auto"/>
            </w:tcBorders>
            <w:vAlign w:val="center"/>
          </w:tcPr>
          <w:p w14:paraId="442EFD65"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1699BC69"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1A2D4F63"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聊城龙大肉食品有限公司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574B5B29"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28</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00F517B4"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2,000</w:t>
            </w:r>
          </w:p>
        </w:tc>
        <w:tc>
          <w:tcPr>
            <w:tcW w:w="1134" w:type="dxa"/>
            <w:tcBorders>
              <w:top w:val="single" w:sz="2" w:space="0" w:color="auto"/>
              <w:left w:val="single" w:sz="2" w:space="0" w:color="auto"/>
              <w:bottom w:val="single" w:sz="2" w:space="0" w:color="auto"/>
              <w:right w:val="single" w:sz="2" w:space="0" w:color="auto"/>
            </w:tcBorders>
            <w:vAlign w:val="center"/>
          </w:tcPr>
          <w:p w14:paraId="559B05C4"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03</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14</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373924F2"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2,000</w:t>
            </w:r>
          </w:p>
        </w:tc>
        <w:tc>
          <w:tcPr>
            <w:tcW w:w="1134" w:type="dxa"/>
            <w:tcBorders>
              <w:top w:val="single" w:sz="2" w:space="0" w:color="auto"/>
              <w:left w:val="single" w:sz="2" w:space="0" w:color="auto"/>
              <w:bottom w:val="single" w:sz="2" w:space="0" w:color="auto"/>
              <w:right w:val="single" w:sz="2" w:space="0" w:color="auto"/>
            </w:tcBorders>
            <w:vAlign w:val="center"/>
          </w:tcPr>
          <w:p w14:paraId="264B16B5" w14:textId="674D7E3C"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29B2D979"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4D4DC7E1"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3BF9E32C"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2024.03.14-2025.03.14</w:t>
            </w:r>
          </w:p>
        </w:tc>
        <w:tc>
          <w:tcPr>
            <w:tcW w:w="708" w:type="dxa"/>
            <w:tcBorders>
              <w:top w:val="single" w:sz="2" w:space="0" w:color="auto"/>
              <w:left w:val="single" w:sz="2" w:space="0" w:color="auto"/>
              <w:bottom w:val="single" w:sz="2" w:space="0" w:color="auto"/>
              <w:right w:val="single" w:sz="2" w:space="0" w:color="auto"/>
            </w:tcBorders>
            <w:vAlign w:val="center"/>
          </w:tcPr>
          <w:p w14:paraId="7C8CE00E"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是</w:t>
            </w:r>
          </w:p>
        </w:tc>
        <w:tc>
          <w:tcPr>
            <w:tcW w:w="672" w:type="dxa"/>
            <w:tcBorders>
              <w:top w:val="single" w:sz="2" w:space="0" w:color="auto"/>
              <w:left w:val="single" w:sz="2" w:space="0" w:color="auto"/>
              <w:bottom w:val="single" w:sz="2" w:space="0" w:color="auto"/>
              <w:right w:val="single" w:sz="2" w:space="0" w:color="auto"/>
            </w:tcBorders>
            <w:vAlign w:val="center"/>
          </w:tcPr>
          <w:p w14:paraId="437C6775"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1D615177"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22DDD7DF"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聊城龙大肉食品有限公司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33AF43AE"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05</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31</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65C4307E"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5,000</w:t>
            </w:r>
          </w:p>
        </w:tc>
        <w:tc>
          <w:tcPr>
            <w:tcW w:w="1134" w:type="dxa"/>
            <w:tcBorders>
              <w:top w:val="single" w:sz="2" w:space="0" w:color="auto"/>
              <w:left w:val="single" w:sz="2" w:space="0" w:color="auto"/>
              <w:bottom w:val="single" w:sz="2" w:space="0" w:color="auto"/>
              <w:right w:val="single" w:sz="2" w:space="0" w:color="auto"/>
            </w:tcBorders>
            <w:vAlign w:val="center"/>
          </w:tcPr>
          <w:p w14:paraId="32853A26"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07</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3C149E9E"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3,000</w:t>
            </w:r>
          </w:p>
        </w:tc>
        <w:tc>
          <w:tcPr>
            <w:tcW w:w="1134" w:type="dxa"/>
            <w:tcBorders>
              <w:top w:val="single" w:sz="2" w:space="0" w:color="auto"/>
              <w:left w:val="single" w:sz="2" w:space="0" w:color="auto"/>
              <w:bottom w:val="single" w:sz="2" w:space="0" w:color="auto"/>
              <w:right w:val="single" w:sz="2" w:space="0" w:color="auto"/>
            </w:tcBorders>
            <w:vAlign w:val="center"/>
          </w:tcPr>
          <w:p w14:paraId="7E15F2EE" w14:textId="22F0ADBF"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2B158501"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739C4A9B"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4DE714F1"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2024.07.12-2025.07.12</w:t>
            </w:r>
          </w:p>
        </w:tc>
        <w:tc>
          <w:tcPr>
            <w:tcW w:w="708" w:type="dxa"/>
            <w:tcBorders>
              <w:top w:val="single" w:sz="2" w:space="0" w:color="auto"/>
              <w:left w:val="single" w:sz="2" w:space="0" w:color="auto"/>
              <w:bottom w:val="single" w:sz="2" w:space="0" w:color="auto"/>
              <w:right w:val="single" w:sz="2" w:space="0" w:color="auto"/>
            </w:tcBorders>
            <w:vAlign w:val="center"/>
          </w:tcPr>
          <w:p w14:paraId="351B4C79"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73519F83"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66F52D4A"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397EF2DC"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聊城龙大肉食品有限公司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5637B757"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18</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32816125"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2,000</w:t>
            </w:r>
          </w:p>
        </w:tc>
        <w:tc>
          <w:tcPr>
            <w:tcW w:w="1134" w:type="dxa"/>
            <w:tcBorders>
              <w:top w:val="single" w:sz="2" w:space="0" w:color="auto"/>
              <w:left w:val="single" w:sz="2" w:space="0" w:color="auto"/>
              <w:bottom w:val="single" w:sz="2" w:space="0" w:color="auto"/>
              <w:right w:val="single" w:sz="2" w:space="0" w:color="auto"/>
            </w:tcBorders>
            <w:vAlign w:val="center"/>
          </w:tcPr>
          <w:p w14:paraId="2878886F"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20</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3316C272"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2,000</w:t>
            </w:r>
          </w:p>
        </w:tc>
        <w:tc>
          <w:tcPr>
            <w:tcW w:w="1134" w:type="dxa"/>
            <w:tcBorders>
              <w:top w:val="single" w:sz="2" w:space="0" w:color="auto"/>
              <w:left w:val="single" w:sz="2" w:space="0" w:color="auto"/>
              <w:bottom w:val="single" w:sz="2" w:space="0" w:color="auto"/>
              <w:right w:val="single" w:sz="2" w:space="0" w:color="auto"/>
            </w:tcBorders>
            <w:vAlign w:val="center"/>
          </w:tcPr>
          <w:p w14:paraId="0B2E6B21" w14:textId="06464C16"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0ED0910E"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7259852C"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6F56E6F0"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2025.02.20-2026.02.20</w:t>
            </w:r>
          </w:p>
        </w:tc>
        <w:tc>
          <w:tcPr>
            <w:tcW w:w="708" w:type="dxa"/>
            <w:tcBorders>
              <w:top w:val="single" w:sz="2" w:space="0" w:color="auto"/>
              <w:left w:val="single" w:sz="2" w:space="0" w:color="auto"/>
              <w:bottom w:val="single" w:sz="2" w:space="0" w:color="auto"/>
              <w:right w:val="single" w:sz="2" w:space="0" w:color="auto"/>
            </w:tcBorders>
            <w:vAlign w:val="center"/>
          </w:tcPr>
          <w:p w14:paraId="73E66C10"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69CC8AC9"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31BD55F6"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66D75BC7"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聊城龙大肉食品有限公司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6EE8D0B5"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05</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14</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749BB3C6"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5,000</w:t>
            </w:r>
          </w:p>
        </w:tc>
        <w:tc>
          <w:tcPr>
            <w:tcW w:w="1134" w:type="dxa"/>
            <w:tcBorders>
              <w:top w:val="single" w:sz="2" w:space="0" w:color="auto"/>
              <w:left w:val="single" w:sz="2" w:space="0" w:color="auto"/>
              <w:bottom w:val="single" w:sz="2" w:space="0" w:color="auto"/>
              <w:right w:val="single" w:sz="2" w:space="0" w:color="auto"/>
            </w:tcBorders>
            <w:vAlign w:val="center"/>
          </w:tcPr>
          <w:p w14:paraId="144CB53C"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06</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03</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5DD16D7A"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2,000</w:t>
            </w:r>
          </w:p>
        </w:tc>
        <w:tc>
          <w:tcPr>
            <w:tcW w:w="1134" w:type="dxa"/>
            <w:tcBorders>
              <w:top w:val="single" w:sz="2" w:space="0" w:color="auto"/>
              <w:left w:val="single" w:sz="2" w:space="0" w:color="auto"/>
              <w:bottom w:val="single" w:sz="2" w:space="0" w:color="auto"/>
              <w:right w:val="single" w:sz="2" w:space="0" w:color="auto"/>
            </w:tcBorders>
            <w:vAlign w:val="center"/>
          </w:tcPr>
          <w:p w14:paraId="4661C161" w14:textId="51E19759"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2F447AD5"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712919FD"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50D6EC3B"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2025.06.03-2025.12.03</w:t>
            </w:r>
          </w:p>
        </w:tc>
        <w:tc>
          <w:tcPr>
            <w:tcW w:w="708" w:type="dxa"/>
            <w:tcBorders>
              <w:top w:val="single" w:sz="2" w:space="0" w:color="auto"/>
              <w:left w:val="single" w:sz="2" w:space="0" w:color="auto"/>
              <w:bottom w:val="single" w:sz="2" w:space="0" w:color="auto"/>
              <w:right w:val="single" w:sz="2" w:space="0" w:color="auto"/>
            </w:tcBorders>
            <w:vAlign w:val="center"/>
          </w:tcPr>
          <w:p w14:paraId="60316DDF"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6350E711"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5A7E2A86"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47978F97"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山东龙大美食贸易有限公司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1C6C69CD"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19</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06239E11"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1,000</w:t>
            </w:r>
          </w:p>
        </w:tc>
        <w:tc>
          <w:tcPr>
            <w:tcW w:w="1134" w:type="dxa"/>
            <w:tcBorders>
              <w:top w:val="single" w:sz="2" w:space="0" w:color="auto"/>
              <w:left w:val="single" w:sz="2" w:space="0" w:color="auto"/>
              <w:bottom w:val="single" w:sz="2" w:space="0" w:color="auto"/>
              <w:right w:val="single" w:sz="2" w:space="0" w:color="auto"/>
            </w:tcBorders>
            <w:vAlign w:val="center"/>
          </w:tcPr>
          <w:p w14:paraId="1F739552"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20</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30342589"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1,000</w:t>
            </w:r>
          </w:p>
        </w:tc>
        <w:tc>
          <w:tcPr>
            <w:tcW w:w="1134" w:type="dxa"/>
            <w:tcBorders>
              <w:top w:val="single" w:sz="2" w:space="0" w:color="auto"/>
              <w:left w:val="single" w:sz="2" w:space="0" w:color="auto"/>
              <w:bottom w:val="single" w:sz="2" w:space="0" w:color="auto"/>
              <w:right w:val="single" w:sz="2" w:space="0" w:color="auto"/>
            </w:tcBorders>
            <w:vAlign w:val="center"/>
          </w:tcPr>
          <w:p w14:paraId="5B90BBD4" w14:textId="56780361"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5A82A3A8"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60CD5698"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407FFB02"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2024.12.20-2025.12.10</w:t>
            </w:r>
          </w:p>
        </w:tc>
        <w:tc>
          <w:tcPr>
            <w:tcW w:w="708" w:type="dxa"/>
            <w:tcBorders>
              <w:top w:val="single" w:sz="2" w:space="0" w:color="auto"/>
              <w:left w:val="single" w:sz="2" w:space="0" w:color="auto"/>
              <w:bottom w:val="single" w:sz="2" w:space="0" w:color="auto"/>
              <w:right w:val="single" w:sz="2" w:space="0" w:color="auto"/>
            </w:tcBorders>
            <w:vAlign w:val="center"/>
          </w:tcPr>
          <w:p w14:paraId="08CD43E3"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45B20BDE"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6E0ACE8B"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35323F95"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莱阳龙瑞食品有限公司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63BDF5FE"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04</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0992FA54"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500</w:t>
            </w:r>
          </w:p>
        </w:tc>
        <w:tc>
          <w:tcPr>
            <w:tcW w:w="1134" w:type="dxa"/>
            <w:tcBorders>
              <w:top w:val="single" w:sz="2" w:space="0" w:color="auto"/>
              <w:left w:val="single" w:sz="2" w:space="0" w:color="auto"/>
              <w:bottom w:val="single" w:sz="2" w:space="0" w:color="auto"/>
              <w:right w:val="single" w:sz="2" w:space="0" w:color="auto"/>
            </w:tcBorders>
            <w:vAlign w:val="center"/>
          </w:tcPr>
          <w:p w14:paraId="669A0EF4"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04</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11</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3F3C8773"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500</w:t>
            </w:r>
          </w:p>
        </w:tc>
        <w:tc>
          <w:tcPr>
            <w:tcW w:w="1134" w:type="dxa"/>
            <w:tcBorders>
              <w:top w:val="single" w:sz="2" w:space="0" w:color="auto"/>
              <w:left w:val="single" w:sz="2" w:space="0" w:color="auto"/>
              <w:bottom w:val="single" w:sz="2" w:space="0" w:color="auto"/>
              <w:right w:val="single" w:sz="2" w:space="0" w:color="auto"/>
            </w:tcBorders>
            <w:vAlign w:val="center"/>
          </w:tcPr>
          <w:p w14:paraId="10251455" w14:textId="5526761B"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7989B447"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32D5F8DC"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55B8ED82"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2024.04.11-2025.04.08</w:t>
            </w:r>
          </w:p>
        </w:tc>
        <w:tc>
          <w:tcPr>
            <w:tcW w:w="708" w:type="dxa"/>
            <w:tcBorders>
              <w:top w:val="single" w:sz="2" w:space="0" w:color="auto"/>
              <w:left w:val="single" w:sz="2" w:space="0" w:color="auto"/>
              <w:bottom w:val="single" w:sz="2" w:space="0" w:color="auto"/>
              <w:right w:val="single" w:sz="2" w:space="0" w:color="auto"/>
            </w:tcBorders>
            <w:vAlign w:val="center"/>
          </w:tcPr>
          <w:p w14:paraId="327C690C"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是</w:t>
            </w:r>
          </w:p>
        </w:tc>
        <w:tc>
          <w:tcPr>
            <w:tcW w:w="672" w:type="dxa"/>
            <w:tcBorders>
              <w:top w:val="single" w:sz="2" w:space="0" w:color="auto"/>
              <w:left w:val="single" w:sz="2" w:space="0" w:color="auto"/>
              <w:bottom w:val="single" w:sz="2" w:space="0" w:color="auto"/>
              <w:right w:val="single" w:sz="2" w:space="0" w:color="auto"/>
            </w:tcBorders>
            <w:vAlign w:val="center"/>
          </w:tcPr>
          <w:p w14:paraId="69D6BC83"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6EB16E35"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2FA2AC59"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莱阳龙瑞食品有限公司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0EBAA3EF"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19</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292FB3E2"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500</w:t>
            </w:r>
          </w:p>
        </w:tc>
        <w:tc>
          <w:tcPr>
            <w:tcW w:w="1134" w:type="dxa"/>
            <w:tcBorders>
              <w:top w:val="single" w:sz="2" w:space="0" w:color="auto"/>
              <w:left w:val="single" w:sz="2" w:space="0" w:color="auto"/>
              <w:bottom w:val="single" w:sz="2" w:space="0" w:color="auto"/>
              <w:right w:val="single" w:sz="2" w:space="0" w:color="auto"/>
            </w:tcBorders>
            <w:vAlign w:val="center"/>
          </w:tcPr>
          <w:p w14:paraId="2614B773"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20</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03CE8229"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500</w:t>
            </w:r>
          </w:p>
        </w:tc>
        <w:tc>
          <w:tcPr>
            <w:tcW w:w="1134" w:type="dxa"/>
            <w:tcBorders>
              <w:top w:val="single" w:sz="2" w:space="0" w:color="auto"/>
              <w:left w:val="single" w:sz="2" w:space="0" w:color="auto"/>
              <w:bottom w:val="single" w:sz="2" w:space="0" w:color="auto"/>
              <w:right w:val="single" w:sz="2" w:space="0" w:color="auto"/>
            </w:tcBorders>
            <w:vAlign w:val="center"/>
          </w:tcPr>
          <w:p w14:paraId="24640808" w14:textId="3F8DC9CB"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2C94EA08"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67E3078D"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0BA5937A"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2024.12.20-2025.12.10</w:t>
            </w:r>
          </w:p>
        </w:tc>
        <w:tc>
          <w:tcPr>
            <w:tcW w:w="708" w:type="dxa"/>
            <w:tcBorders>
              <w:top w:val="single" w:sz="2" w:space="0" w:color="auto"/>
              <w:left w:val="single" w:sz="2" w:space="0" w:color="auto"/>
              <w:bottom w:val="single" w:sz="2" w:space="0" w:color="auto"/>
              <w:right w:val="single" w:sz="2" w:space="0" w:color="auto"/>
            </w:tcBorders>
            <w:vAlign w:val="center"/>
          </w:tcPr>
          <w:p w14:paraId="6A176E55"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1FF0A9DE"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5DD94CA5"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27DDC8D0"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莱阳龙瑞食品有限公司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026D9A39"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01</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23</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41C23B33"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500</w:t>
            </w:r>
          </w:p>
        </w:tc>
        <w:tc>
          <w:tcPr>
            <w:tcW w:w="1134" w:type="dxa"/>
            <w:tcBorders>
              <w:top w:val="single" w:sz="2" w:space="0" w:color="auto"/>
              <w:left w:val="single" w:sz="2" w:space="0" w:color="auto"/>
              <w:bottom w:val="single" w:sz="2" w:space="0" w:color="auto"/>
              <w:right w:val="single" w:sz="2" w:space="0" w:color="auto"/>
            </w:tcBorders>
            <w:vAlign w:val="center"/>
          </w:tcPr>
          <w:p w14:paraId="5365D9BD"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01</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26</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055EF9B6"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500</w:t>
            </w:r>
          </w:p>
        </w:tc>
        <w:tc>
          <w:tcPr>
            <w:tcW w:w="1134" w:type="dxa"/>
            <w:tcBorders>
              <w:top w:val="single" w:sz="2" w:space="0" w:color="auto"/>
              <w:left w:val="single" w:sz="2" w:space="0" w:color="auto"/>
              <w:bottom w:val="single" w:sz="2" w:space="0" w:color="auto"/>
              <w:right w:val="single" w:sz="2" w:space="0" w:color="auto"/>
            </w:tcBorders>
            <w:vAlign w:val="center"/>
          </w:tcPr>
          <w:p w14:paraId="279E6AA0" w14:textId="3D833E5F"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036D35C0"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0FB3AE04"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7B2789D2"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2025.01.26-2026.01.10</w:t>
            </w:r>
          </w:p>
        </w:tc>
        <w:tc>
          <w:tcPr>
            <w:tcW w:w="708" w:type="dxa"/>
            <w:tcBorders>
              <w:top w:val="single" w:sz="2" w:space="0" w:color="auto"/>
              <w:left w:val="single" w:sz="2" w:space="0" w:color="auto"/>
              <w:bottom w:val="single" w:sz="2" w:space="0" w:color="auto"/>
              <w:right w:val="single" w:sz="2" w:space="0" w:color="auto"/>
            </w:tcBorders>
            <w:vAlign w:val="center"/>
          </w:tcPr>
          <w:p w14:paraId="36DF2A3C"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2A641DD5"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409920D1"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745E2EBB"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莱阳龙瑞食品有限公司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5C339F23"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04</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15</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436CEE70"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500</w:t>
            </w:r>
          </w:p>
        </w:tc>
        <w:tc>
          <w:tcPr>
            <w:tcW w:w="1134" w:type="dxa"/>
            <w:tcBorders>
              <w:top w:val="single" w:sz="2" w:space="0" w:color="auto"/>
              <w:left w:val="single" w:sz="2" w:space="0" w:color="auto"/>
              <w:bottom w:val="single" w:sz="2" w:space="0" w:color="auto"/>
              <w:right w:val="single" w:sz="2" w:space="0" w:color="auto"/>
            </w:tcBorders>
            <w:vAlign w:val="center"/>
          </w:tcPr>
          <w:p w14:paraId="450407AB"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04</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46A701D0"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500</w:t>
            </w:r>
          </w:p>
        </w:tc>
        <w:tc>
          <w:tcPr>
            <w:tcW w:w="1134" w:type="dxa"/>
            <w:tcBorders>
              <w:top w:val="single" w:sz="2" w:space="0" w:color="auto"/>
              <w:left w:val="single" w:sz="2" w:space="0" w:color="auto"/>
              <w:bottom w:val="single" w:sz="2" w:space="0" w:color="auto"/>
              <w:right w:val="single" w:sz="2" w:space="0" w:color="auto"/>
            </w:tcBorders>
            <w:vAlign w:val="center"/>
          </w:tcPr>
          <w:p w14:paraId="0FFD6879" w14:textId="6EFCA33E"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079DB09E"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478D5BE3"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150B000A"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2025.04.10-2026.04.07</w:t>
            </w:r>
          </w:p>
        </w:tc>
        <w:tc>
          <w:tcPr>
            <w:tcW w:w="708" w:type="dxa"/>
            <w:tcBorders>
              <w:top w:val="single" w:sz="2" w:space="0" w:color="auto"/>
              <w:left w:val="single" w:sz="2" w:space="0" w:color="auto"/>
              <w:bottom w:val="single" w:sz="2" w:space="0" w:color="auto"/>
              <w:right w:val="single" w:sz="2" w:space="0" w:color="auto"/>
            </w:tcBorders>
            <w:vAlign w:val="center"/>
          </w:tcPr>
          <w:p w14:paraId="620D3AAD"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3090DDC8"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32726016"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4D8CBFA0"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江苏龙大沁侬食品有限公司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2BA044D4"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28</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3E7D3B7A"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6,000</w:t>
            </w:r>
          </w:p>
        </w:tc>
        <w:tc>
          <w:tcPr>
            <w:tcW w:w="1134" w:type="dxa"/>
            <w:tcBorders>
              <w:top w:val="single" w:sz="2" w:space="0" w:color="auto"/>
              <w:left w:val="single" w:sz="2" w:space="0" w:color="auto"/>
              <w:bottom w:val="single" w:sz="2" w:space="0" w:color="auto"/>
              <w:right w:val="single" w:sz="2" w:space="0" w:color="auto"/>
            </w:tcBorders>
            <w:vAlign w:val="center"/>
          </w:tcPr>
          <w:p w14:paraId="655F9594"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06</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1EFA3BF0"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4,585.02</w:t>
            </w:r>
          </w:p>
        </w:tc>
        <w:tc>
          <w:tcPr>
            <w:tcW w:w="1134" w:type="dxa"/>
            <w:tcBorders>
              <w:top w:val="single" w:sz="2" w:space="0" w:color="auto"/>
              <w:left w:val="single" w:sz="2" w:space="0" w:color="auto"/>
              <w:bottom w:val="single" w:sz="2" w:space="0" w:color="auto"/>
              <w:right w:val="single" w:sz="2" w:space="0" w:color="auto"/>
            </w:tcBorders>
            <w:vAlign w:val="center"/>
          </w:tcPr>
          <w:p w14:paraId="00DA329E" w14:textId="6D0F6E77"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4DD4955D"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6F72F2F1"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27DEEAE8"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2024.02.06-2027.02.06</w:t>
            </w:r>
          </w:p>
        </w:tc>
        <w:tc>
          <w:tcPr>
            <w:tcW w:w="708" w:type="dxa"/>
            <w:tcBorders>
              <w:top w:val="single" w:sz="2" w:space="0" w:color="auto"/>
              <w:left w:val="single" w:sz="2" w:space="0" w:color="auto"/>
              <w:bottom w:val="single" w:sz="2" w:space="0" w:color="auto"/>
              <w:right w:val="single" w:sz="2" w:space="0" w:color="auto"/>
            </w:tcBorders>
            <w:vAlign w:val="center"/>
          </w:tcPr>
          <w:p w14:paraId="2DE69ABA"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02CAA040"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1A5F9277"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68DD059B"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江苏龙大沁侬食品有限公司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022D0572"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2023</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06</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05</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14369CBD"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2,900</w:t>
            </w:r>
          </w:p>
        </w:tc>
        <w:tc>
          <w:tcPr>
            <w:tcW w:w="1134" w:type="dxa"/>
            <w:tcBorders>
              <w:top w:val="single" w:sz="2" w:space="0" w:color="auto"/>
              <w:left w:val="single" w:sz="2" w:space="0" w:color="auto"/>
              <w:bottom w:val="single" w:sz="2" w:space="0" w:color="auto"/>
              <w:right w:val="single" w:sz="2" w:space="0" w:color="auto"/>
            </w:tcBorders>
            <w:vAlign w:val="center"/>
          </w:tcPr>
          <w:p w14:paraId="0E27CC97"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2023</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05</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25</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27E083BD"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2,700</w:t>
            </w:r>
          </w:p>
        </w:tc>
        <w:tc>
          <w:tcPr>
            <w:tcW w:w="1134" w:type="dxa"/>
            <w:tcBorders>
              <w:top w:val="single" w:sz="2" w:space="0" w:color="auto"/>
              <w:left w:val="single" w:sz="2" w:space="0" w:color="auto"/>
              <w:bottom w:val="single" w:sz="2" w:space="0" w:color="auto"/>
              <w:right w:val="single" w:sz="2" w:space="0" w:color="auto"/>
            </w:tcBorders>
            <w:vAlign w:val="center"/>
          </w:tcPr>
          <w:p w14:paraId="6B2ABD0E" w14:textId="040DCFA2"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61A3A24B"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5D95F9C6"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5D9C1BA9"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2023.05.25-2028.05.23</w:t>
            </w:r>
          </w:p>
        </w:tc>
        <w:tc>
          <w:tcPr>
            <w:tcW w:w="708" w:type="dxa"/>
            <w:tcBorders>
              <w:top w:val="single" w:sz="2" w:space="0" w:color="auto"/>
              <w:left w:val="single" w:sz="2" w:space="0" w:color="auto"/>
              <w:bottom w:val="single" w:sz="2" w:space="0" w:color="auto"/>
              <w:right w:val="single" w:sz="2" w:space="0" w:color="auto"/>
            </w:tcBorders>
            <w:vAlign w:val="center"/>
          </w:tcPr>
          <w:p w14:paraId="48DE1077"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0A2A788E"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59790BB2"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5F829F84"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江苏龙大沁侬食品有限公司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312E8550"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06</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03</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60BD194A"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3,000</w:t>
            </w:r>
          </w:p>
        </w:tc>
        <w:tc>
          <w:tcPr>
            <w:tcW w:w="1134" w:type="dxa"/>
            <w:tcBorders>
              <w:top w:val="single" w:sz="2" w:space="0" w:color="auto"/>
              <w:left w:val="single" w:sz="2" w:space="0" w:color="auto"/>
              <w:bottom w:val="single" w:sz="2" w:space="0" w:color="auto"/>
              <w:right w:val="single" w:sz="2" w:space="0" w:color="auto"/>
            </w:tcBorders>
            <w:vAlign w:val="center"/>
          </w:tcPr>
          <w:p w14:paraId="518013CF"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07</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11</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3984C391"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3,000</w:t>
            </w:r>
          </w:p>
        </w:tc>
        <w:tc>
          <w:tcPr>
            <w:tcW w:w="1134" w:type="dxa"/>
            <w:tcBorders>
              <w:top w:val="single" w:sz="2" w:space="0" w:color="auto"/>
              <w:left w:val="single" w:sz="2" w:space="0" w:color="auto"/>
              <w:bottom w:val="single" w:sz="2" w:space="0" w:color="auto"/>
              <w:right w:val="single" w:sz="2" w:space="0" w:color="auto"/>
            </w:tcBorders>
            <w:vAlign w:val="center"/>
          </w:tcPr>
          <w:p w14:paraId="354F6393" w14:textId="20E32BD5"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41ABC655"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75E4931A"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5CEC3FAF"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2025.05.27-2028.05.26</w:t>
            </w:r>
          </w:p>
        </w:tc>
        <w:tc>
          <w:tcPr>
            <w:tcW w:w="708" w:type="dxa"/>
            <w:tcBorders>
              <w:top w:val="single" w:sz="2" w:space="0" w:color="auto"/>
              <w:left w:val="single" w:sz="2" w:space="0" w:color="auto"/>
              <w:bottom w:val="single" w:sz="2" w:space="0" w:color="auto"/>
              <w:right w:val="single" w:sz="2" w:space="0" w:color="auto"/>
            </w:tcBorders>
            <w:vAlign w:val="center"/>
          </w:tcPr>
          <w:p w14:paraId="6E54047F"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283D79DE"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21FE6C21"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13C28189"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河南龙大牧原肉食品有限公司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27F01E64"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03</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28</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41CAAFF4"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7,000</w:t>
            </w:r>
          </w:p>
        </w:tc>
        <w:tc>
          <w:tcPr>
            <w:tcW w:w="1134" w:type="dxa"/>
            <w:tcBorders>
              <w:top w:val="single" w:sz="2" w:space="0" w:color="auto"/>
              <w:left w:val="single" w:sz="2" w:space="0" w:color="auto"/>
              <w:bottom w:val="single" w:sz="2" w:space="0" w:color="auto"/>
              <w:right w:val="single" w:sz="2" w:space="0" w:color="auto"/>
            </w:tcBorders>
            <w:vAlign w:val="center"/>
          </w:tcPr>
          <w:p w14:paraId="17CD0460"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03</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26</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2F2D9D75"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6,000</w:t>
            </w:r>
          </w:p>
        </w:tc>
        <w:tc>
          <w:tcPr>
            <w:tcW w:w="1134" w:type="dxa"/>
            <w:tcBorders>
              <w:top w:val="single" w:sz="2" w:space="0" w:color="auto"/>
              <w:left w:val="single" w:sz="2" w:space="0" w:color="auto"/>
              <w:bottom w:val="single" w:sz="2" w:space="0" w:color="auto"/>
              <w:right w:val="single" w:sz="2" w:space="0" w:color="auto"/>
            </w:tcBorders>
            <w:vAlign w:val="center"/>
          </w:tcPr>
          <w:p w14:paraId="03FE6F65" w14:textId="461543C6"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530419A8"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5F592310"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79A2FF44"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2024.03.26-2025.03.18</w:t>
            </w:r>
          </w:p>
        </w:tc>
        <w:tc>
          <w:tcPr>
            <w:tcW w:w="708" w:type="dxa"/>
            <w:tcBorders>
              <w:top w:val="single" w:sz="2" w:space="0" w:color="auto"/>
              <w:left w:val="single" w:sz="2" w:space="0" w:color="auto"/>
              <w:bottom w:val="single" w:sz="2" w:space="0" w:color="auto"/>
              <w:right w:val="single" w:sz="2" w:space="0" w:color="auto"/>
            </w:tcBorders>
            <w:vAlign w:val="center"/>
          </w:tcPr>
          <w:p w14:paraId="7D27C777"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是</w:t>
            </w:r>
          </w:p>
        </w:tc>
        <w:tc>
          <w:tcPr>
            <w:tcW w:w="672" w:type="dxa"/>
            <w:tcBorders>
              <w:top w:val="single" w:sz="2" w:space="0" w:color="auto"/>
              <w:left w:val="single" w:sz="2" w:space="0" w:color="auto"/>
              <w:bottom w:val="single" w:sz="2" w:space="0" w:color="auto"/>
              <w:right w:val="single" w:sz="2" w:space="0" w:color="auto"/>
            </w:tcBorders>
            <w:vAlign w:val="center"/>
          </w:tcPr>
          <w:p w14:paraId="7A1C127E"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4FFD6F24"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3886E74F"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河南龙大牧原肉食品有限公司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2A6499D1"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03</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706DB1C7"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5,000</w:t>
            </w:r>
          </w:p>
        </w:tc>
        <w:tc>
          <w:tcPr>
            <w:tcW w:w="1134" w:type="dxa"/>
            <w:tcBorders>
              <w:top w:val="single" w:sz="2" w:space="0" w:color="auto"/>
              <w:left w:val="single" w:sz="2" w:space="0" w:color="auto"/>
              <w:bottom w:val="single" w:sz="2" w:space="0" w:color="auto"/>
              <w:right w:val="single" w:sz="2" w:space="0" w:color="auto"/>
            </w:tcBorders>
            <w:vAlign w:val="center"/>
          </w:tcPr>
          <w:p w14:paraId="3B4A0ABE"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14</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228AE0C9"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2,750</w:t>
            </w:r>
          </w:p>
        </w:tc>
        <w:tc>
          <w:tcPr>
            <w:tcW w:w="1134" w:type="dxa"/>
            <w:tcBorders>
              <w:top w:val="single" w:sz="2" w:space="0" w:color="auto"/>
              <w:left w:val="single" w:sz="2" w:space="0" w:color="auto"/>
              <w:bottom w:val="single" w:sz="2" w:space="0" w:color="auto"/>
              <w:right w:val="single" w:sz="2" w:space="0" w:color="auto"/>
            </w:tcBorders>
            <w:vAlign w:val="center"/>
          </w:tcPr>
          <w:p w14:paraId="44DE369E" w14:textId="38D5E204"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1BE21CB3"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4C73B593"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0E09AB3C"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2024.10.14-2025.04.14</w:t>
            </w:r>
          </w:p>
        </w:tc>
        <w:tc>
          <w:tcPr>
            <w:tcW w:w="708" w:type="dxa"/>
            <w:tcBorders>
              <w:top w:val="single" w:sz="2" w:space="0" w:color="auto"/>
              <w:left w:val="single" w:sz="2" w:space="0" w:color="auto"/>
              <w:bottom w:val="single" w:sz="2" w:space="0" w:color="auto"/>
              <w:right w:val="single" w:sz="2" w:space="0" w:color="auto"/>
            </w:tcBorders>
            <w:vAlign w:val="center"/>
          </w:tcPr>
          <w:p w14:paraId="23FAE6AE"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是</w:t>
            </w:r>
          </w:p>
        </w:tc>
        <w:tc>
          <w:tcPr>
            <w:tcW w:w="672" w:type="dxa"/>
            <w:tcBorders>
              <w:top w:val="single" w:sz="2" w:space="0" w:color="auto"/>
              <w:left w:val="single" w:sz="2" w:space="0" w:color="auto"/>
              <w:bottom w:val="single" w:sz="2" w:space="0" w:color="auto"/>
              <w:right w:val="single" w:sz="2" w:space="0" w:color="auto"/>
            </w:tcBorders>
            <w:vAlign w:val="center"/>
          </w:tcPr>
          <w:p w14:paraId="6B70586E"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0FDC0BA7"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489DA998"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河南龙大牧原肉食品有限公司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63800D2D"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03</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428652D6"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5,000</w:t>
            </w:r>
          </w:p>
        </w:tc>
        <w:tc>
          <w:tcPr>
            <w:tcW w:w="1134" w:type="dxa"/>
            <w:tcBorders>
              <w:top w:val="single" w:sz="2" w:space="0" w:color="auto"/>
              <w:left w:val="single" w:sz="2" w:space="0" w:color="auto"/>
              <w:bottom w:val="single" w:sz="2" w:space="0" w:color="auto"/>
              <w:right w:val="single" w:sz="2" w:space="0" w:color="auto"/>
            </w:tcBorders>
            <w:vAlign w:val="center"/>
          </w:tcPr>
          <w:p w14:paraId="3624AD44"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21</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3817D528"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2,249.5</w:t>
            </w:r>
          </w:p>
        </w:tc>
        <w:tc>
          <w:tcPr>
            <w:tcW w:w="1134" w:type="dxa"/>
            <w:tcBorders>
              <w:top w:val="single" w:sz="2" w:space="0" w:color="auto"/>
              <w:left w:val="single" w:sz="2" w:space="0" w:color="auto"/>
              <w:bottom w:val="single" w:sz="2" w:space="0" w:color="auto"/>
              <w:right w:val="single" w:sz="2" w:space="0" w:color="auto"/>
            </w:tcBorders>
            <w:vAlign w:val="center"/>
          </w:tcPr>
          <w:p w14:paraId="05593601" w14:textId="004C7A31"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4A796901"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2EBE1E63"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4EA07955"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2024.10.21-2025.04.21</w:t>
            </w:r>
          </w:p>
        </w:tc>
        <w:tc>
          <w:tcPr>
            <w:tcW w:w="708" w:type="dxa"/>
            <w:tcBorders>
              <w:top w:val="single" w:sz="2" w:space="0" w:color="auto"/>
              <w:left w:val="single" w:sz="2" w:space="0" w:color="auto"/>
              <w:bottom w:val="single" w:sz="2" w:space="0" w:color="auto"/>
              <w:right w:val="single" w:sz="2" w:space="0" w:color="auto"/>
            </w:tcBorders>
            <w:vAlign w:val="center"/>
          </w:tcPr>
          <w:p w14:paraId="7D5B82A6"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是</w:t>
            </w:r>
          </w:p>
        </w:tc>
        <w:tc>
          <w:tcPr>
            <w:tcW w:w="672" w:type="dxa"/>
            <w:tcBorders>
              <w:top w:val="single" w:sz="2" w:space="0" w:color="auto"/>
              <w:left w:val="single" w:sz="2" w:space="0" w:color="auto"/>
              <w:bottom w:val="single" w:sz="2" w:space="0" w:color="auto"/>
              <w:right w:val="single" w:sz="2" w:space="0" w:color="auto"/>
            </w:tcBorders>
            <w:vAlign w:val="center"/>
          </w:tcPr>
          <w:p w14:paraId="3AB0132A"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03C70887"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07B7AD89"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河南龙大牧原肉食品有限公司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2C890629"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07</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05</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1FBE1EE0"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2,000</w:t>
            </w:r>
          </w:p>
        </w:tc>
        <w:tc>
          <w:tcPr>
            <w:tcW w:w="1134" w:type="dxa"/>
            <w:tcBorders>
              <w:top w:val="single" w:sz="2" w:space="0" w:color="auto"/>
              <w:left w:val="single" w:sz="2" w:space="0" w:color="auto"/>
              <w:bottom w:val="single" w:sz="2" w:space="0" w:color="auto"/>
              <w:right w:val="single" w:sz="2" w:space="0" w:color="auto"/>
            </w:tcBorders>
            <w:vAlign w:val="center"/>
          </w:tcPr>
          <w:p w14:paraId="5BB331E5"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07</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048DF2B7"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2,000</w:t>
            </w:r>
          </w:p>
        </w:tc>
        <w:tc>
          <w:tcPr>
            <w:tcW w:w="1134" w:type="dxa"/>
            <w:tcBorders>
              <w:top w:val="single" w:sz="2" w:space="0" w:color="auto"/>
              <w:left w:val="single" w:sz="2" w:space="0" w:color="auto"/>
              <w:bottom w:val="single" w:sz="2" w:space="0" w:color="auto"/>
              <w:right w:val="single" w:sz="2" w:space="0" w:color="auto"/>
            </w:tcBorders>
            <w:vAlign w:val="center"/>
          </w:tcPr>
          <w:p w14:paraId="54A505C2" w14:textId="10F848E6"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59DAD4EB"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3B27155C"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656B4A07"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2024.07.10-2025.01.10</w:t>
            </w:r>
          </w:p>
        </w:tc>
        <w:tc>
          <w:tcPr>
            <w:tcW w:w="708" w:type="dxa"/>
            <w:tcBorders>
              <w:top w:val="single" w:sz="2" w:space="0" w:color="auto"/>
              <w:left w:val="single" w:sz="2" w:space="0" w:color="auto"/>
              <w:bottom w:val="single" w:sz="2" w:space="0" w:color="auto"/>
              <w:right w:val="single" w:sz="2" w:space="0" w:color="auto"/>
            </w:tcBorders>
            <w:vAlign w:val="center"/>
          </w:tcPr>
          <w:p w14:paraId="6003E60D"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是</w:t>
            </w:r>
          </w:p>
        </w:tc>
        <w:tc>
          <w:tcPr>
            <w:tcW w:w="672" w:type="dxa"/>
            <w:tcBorders>
              <w:top w:val="single" w:sz="2" w:space="0" w:color="auto"/>
              <w:left w:val="single" w:sz="2" w:space="0" w:color="auto"/>
              <w:bottom w:val="single" w:sz="2" w:space="0" w:color="auto"/>
              <w:right w:val="single" w:sz="2" w:space="0" w:color="auto"/>
            </w:tcBorders>
            <w:vAlign w:val="center"/>
          </w:tcPr>
          <w:p w14:paraId="109D7610"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7272CA1B"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059EC5D0"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河南龙大牧原肉食品有限公司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37177AD4"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09</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29</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1ACFEEAF"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3,000</w:t>
            </w:r>
          </w:p>
        </w:tc>
        <w:tc>
          <w:tcPr>
            <w:tcW w:w="1134" w:type="dxa"/>
            <w:tcBorders>
              <w:top w:val="single" w:sz="2" w:space="0" w:color="auto"/>
              <w:left w:val="single" w:sz="2" w:space="0" w:color="auto"/>
              <w:bottom w:val="single" w:sz="2" w:space="0" w:color="auto"/>
              <w:right w:val="single" w:sz="2" w:space="0" w:color="auto"/>
            </w:tcBorders>
            <w:vAlign w:val="center"/>
          </w:tcPr>
          <w:p w14:paraId="360476FB"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09</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30</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645558FE"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3,000</w:t>
            </w:r>
          </w:p>
        </w:tc>
        <w:tc>
          <w:tcPr>
            <w:tcW w:w="1134" w:type="dxa"/>
            <w:tcBorders>
              <w:top w:val="single" w:sz="2" w:space="0" w:color="auto"/>
              <w:left w:val="single" w:sz="2" w:space="0" w:color="auto"/>
              <w:bottom w:val="single" w:sz="2" w:space="0" w:color="auto"/>
              <w:right w:val="single" w:sz="2" w:space="0" w:color="auto"/>
            </w:tcBorders>
            <w:vAlign w:val="center"/>
          </w:tcPr>
          <w:p w14:paraId="3943F1FF" w14:textId="201161A5"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7EA7A8C9"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01032F78"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7240B93A"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2024.09.30-2025.03.30</w:t>
            </w:r>
          </w:p>
        </w:tc>
        <w:tc>
          <w:tcPr>
            <w:tcW w:w="708" w:type="dxa"/>
            <w:tcBorders>
              <w:top w:val="single" w:sz="2" w:space="0" w:color="auto"/>
              <w:left w:val="single" w:sz="2" w:space="0" w:color="auto"/>
              <w:bottom w:val="single" w:sz="2" w:space="0" w:color="auto"/>
              <w:right w:val="single" w:sz="2" w:space="0" w:color="auto"/>
            </w:tcBorders>
            <w:vAlign w:val="center"/>
          </w:tcPr>
          <w:p w14:paraId="380ECD79"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是</w:t>
            </w:r>
          </w:p>
        </w:tc>
        <w:tc>
          <w:tcPr>
            <w:tcW w:w="672" w:type="dxa"/>
            <w:tcBorders>
              <w:top w:val="single" w:sz="2" w:space="0" w:color="auto"/>
              <w:left w:val="single" w:sz="2" w:space="0" w:color="auto"/>
              <w:bottom w:val="single" w:sz="2" w:space="0" w:color="auto"/>
              <w:right w:val="single" w:sz="2" w:space="0" w:color="auto"/>
            </w:tcBorders>
            <w:vAlign w:val="center"/>
          </w:tcPr>
          <w:p w14:paraId="2AED7373"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22827AE6"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38C06B04"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河南龙大牧原肉食品有限公司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48D64002"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07</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05</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5E627879"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2,000</w:t>
            </w:r>
          </w:p>
        </w:tc>
        <w:tc>
          <w:tcPr>
            <w:tcW w:w="1134" w:type="dxa"/>
            <w:tcBorders>
              <w:top w:val="single" w:sz="2" w:space="0" w:color="auto"/>
              <w:left w:val="single" w:sz="2" w:space="0" w:color="auto"/>
              <w:bottom w:val="single" w:sz="2" w:space="0" w:color="auto"/>
              <w:right w:val="single" w:sz="2" w:space="0" w:color="auto"/>
            </w:tcBorders>
            <w:vAlign w:val="center"/>
          </w:tcPr>
          <w:p w14:paraId="02B49B71"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01</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15</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65BBFD97"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2,000</w:t>
            </w:r>
          </w:p>
        </w:tc>
        <w:tc>
          <w:tcPr>
            <w:tcW w:w="1134" w:type="dxa"/>
            <w:tcBorders>
              <w:top w:val="single" w:sz="2" w:space="0" w:color="auto"/>
              <w:left w:val="single" w:sz="2" w:space="0" w:color="auto"/>
              <w:bottom w:val="single" w:sz="2" w:space="0" w:color="auto"/>
              <w:right w:val="single" w:sz="2" w:space="0" w:color="auto"/>
            </w:tcBorders>
            <w:vAlign w:val="center"/>
          </w:tcPr>
          <w:p w14:paraId="77FC64E5" w14:textId="55DBC0BA"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28B78A45"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24405442"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52ED1DA0"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2025.01.15-2025.07.15</w:t>
            </w:r>
          </w:p>
        </w:tc>
        <w:tc>
          <w:tcPr>
            <w:tcW w:w="708" w:type="dxa"/>
            <w:tcBorders>
              <w:top w:val="single" w:sz="2" w:space="0" w:color="auto"/>
              <w:left w:val="single" w:sz="2" w:space="0" w:color="auto"/>
              <w:bottom w:val="single" w:sz="2" w:space="0" w:color="auto"/>
              <w:right w:val="single" w:sz="2" w:space="0" w:color="auto"/>
            </w:tcBorders>
            <w:vAlign w:val="center"/>
          </w:tcPr>
          <w:p w14:paraId="6D965F0F"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3CC9BDC8"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6EED887D"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02B189D9"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河南龙大牧原肉食品有限公司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7001F776"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03</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21</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167F5B77"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7,000</w:t>
            </w:r>
          </w:p>
        </w:tc>
        <w:tc>
          <w:tcPr>
            <w:tcW w:w="1134" w:type="dxa"/>
            <w:tcBorders>
              <w:top w:val="single" w:sz="2" w:space="0" w:color="auto"/>
              <w:left w:val="single" w:sz="2" w:space="0" w:color="auto"/>
              <w:bottom w:val="single" w:sz="2" w:space="0" w:color="auto"/>
              <w:right w:val="single" w:sz="2" w:space="0" w:color="auto"/>
            </w:tcBorders>
            <w:vAlign w:val="center"/>
          </w:tcPr>
          <w:p w14:paraId="2EE49682"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03</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17</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126ECE80"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6,000</w:t>
            </w:r>
          </w:p>
        </w:tc>
        <w:tc>
          <w:tcPr>
            <w:tcW w:w="1134" w:type="dxa"/>
            <w:tcBorders>
              <w:top w:val="single" w:sz="2" w:space="0" w:color="auto"/>
              <w:left w:val="single" w:sz="2" w:space="0" w:color="auto"/>
              <w:bottom w:val="single" w:sz="2" w:space="0" w:color="auto"/>
              <w:right w:val="single" w:sz="2" w:space="0" w:color="auto"/>
            </w:tcBorders>
            <w:vAlign w:val="center"/>
          </w:tcPr>
          <w:p w14:paraId="3FF4ACBD" w14:textId="6A7D7E0D"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289396E5"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41108690"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32072512"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2025.03.17-2026.03.17</w:t>
            </w:r>
          </w:p>
        </w:tc>
        <w:tc>
          <w:tcPr>
            <w:tcW w:w="708" w:type="dxa"/>
            <w:tcBorders>
              <w:top w:val="single" w:sz="2" w:space="0" w:color="auto"/>
              <w:left w:val="single" w:sz="2" w:space="0" w:color="auto"/>
              <w:bottom w:val="single" w:sz="2" w:space="0" w:color="auto"/>
              <w:right w:val="single" w:sz="2" w:space="0" w:color="auto"/>
            </w:tcBorders>
            <w:vAlign w:val="center"/>
          </w:tcPr>
          <w:p w14:paraId="5725E673"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6406AB7B"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223EA9F5"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299A1873"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河南龙大牧原肉食品有限公司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17A8C321"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04</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15</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40528A2D"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3,000</w:t>
            </w:r>
          </w:p>
        </w:tc>
        <w:tc>
          <w:tcPr>
            <w:tcW w:w="1134" w:type="dxa"/>
            <w:tcBorders>
              <w:top w:val="single" w:sz="2" w:space="0" w:color="auto"/>
              <w:left w:val="single" w:sz="2" w:space="0" w:color="auto"/>
              <w:bottom w:val="single" w:sz="2" w:space="0" w:color="auto"/>
              <w:right w:val="single" w:sz="2" w:space="0" w:color="auto"/>
            </w:tcBorders>
            <w:vAlign w:val="center"/>
          </w:tcPr>
          <w:p w14:paraId="398BBB3D"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04</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16</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409AD34D"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3,000</w:t>
            </w:r>
          </w:p>
        </w:tc>
        <w:tc>
          <w:tcPr>
            <w:tcW w:w="1134" w:type="dxa"/>
            <w:tcBorders>
              <w:top w:val="single" w:sz="2" w:space="0" w:color="auto"/>
              <w:left w:val="single" w:sz="2" w:space="0" w:color="auto"/>
              <w:bottom w:val="single" w:sz="2" w:space="0" w:color="auto"/>
              <w:right w:val="single" w:sz="2" w:space="0" w:color="auto"/>
            </w:tcBorders>
            <w:vAlign w:val="center"/>
          </w:tcPr>
          <w:p w14:paraId="0EA8F709" w14:textId="6B59BACC"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0319C161"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0E1C670E"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72AA3C22"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2025.04.16-2025.10.16</w:t>
            </w:r>
          </w:p>
        </w:tc>
        <w:tc>
          <w:tcPr>
            <w:tcW w:w="708" w:type="dxa"/>
            <w:tcBorders>
              <w:top w:val="single" w:sz="2" w:space="0" w:color="auto"/>
              <w:left w:val="single" w:sz="2" w:space="0" w:color="auto"/>
              <w:bottom w:val="single" w:sz="2" w:space="0" w:color="auto"/>
              <w:right w:val="single" w:sz="2" w:space="0" w:color="auto"/>
            </w:tcBorders>
            <w:vAlign w:val="center"/>
          </w:tcPr>
          <w:p w14:paraId="07D1D01A"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172930B7"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7BE5E197"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590AEECC"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成都龙大肉食品有限公司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1377FD4D"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22</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7D3D29BE"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35,000</w:t>
            </w:r>
          </w:p>
        </w:tc>
        <w:tc>
          <w:tcPr>
            <w:tcW w:w="1134" w:type="dxa"/>
            <w:tcBorders>
              <w:top w:val="single" w:sz="2" w:space="0" w:color="auto"/>
              <w:left w:val="single" w:sz="2" w:space="0" w:color="auto"/>
              <w:bottom w:val="single" w:sz="2" w:space="0" w:color="auto"/>
              <w:right w:val="single" w:sz="2" w:space="0" w:color="auto"/>
            </w:tcBorders>
            <w:vAlign w:val="center"/>
          </w:tcPr>
          <w:p w14:paraId="2E7755C3"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23</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3321D782"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35,000</w:t>
            </w:r>
          </w:p>
        </w:tc>
        <w:tc>
          <w:tcPr>
            <w:tcW w:w="1134" w:type="dxa"/>
            <w:tcBorders>
              <w:top w:val="single" w:sz="2" w:space="0" w:color="auto"/>
              <w:left w:val="single" w:sz="2" w:space="0" w:color="auto"/>
              <w:bottom w:val="single" w:sz="2" w:space="0" w:color="auto"/>
              <w:right w:val="single" w:sz="2" w:space="0" w:color="auto"/>
            </w:tcBorders>
            <w:vAlign w:val="center"/>
          </w:tcPr>
          <w:p w14:paraId="34555C83" w14:textId="6C600A89"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49CACF9A"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048B21C3"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689AEF02"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2024.10.23-2025.10.21</w:t>
            </w:r>
          </w:p>
        </w:tc>
        <w:tc>
          <w:tcPr>
            <w:tcW w:w="708" w:type="dxa"/>
            <w:tcBorders>
              <w:top w:val="single" w:sz="2" w:space="0" w:color="auto"/>
              <w:left w:val="single" w:sz="2" w:space="0" w:color="auto"/>
              <w:bottom w:val="single" w:sz="2" w:space="0" w:color="auto"/>
              <w:right w:val="single" w:sz="2" w:space="0" w:color="auto"/>
            </w:tcBorders>
            <w:vAlign w:val="center"/>
          </w:tcPr>
          <w:p w14:paraId="1AD01045"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3B0CFA2A"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107A8C35"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3D0C50DF"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黑龙江龙大肉食品有限公司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1C874DF6"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2022</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25</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0DC68CC5"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2,000</w:t>
            </w:r>
          </w:p>
        </w:tc>
        <w:tc>
          <w:tcPr>
            <w:tcW w:w="1134" w:type="dxa"/>
            <w:tcBorders>
              <w:top w:val="single" w:sz="2" w:space="0" w:color="auto"/>
              <w:left w:val="single" w:sz="2" w:space="0" w:color="auto"/>
              <w:bottom w:val="single" w:sz="2" w:space="0" w:color="auto"/>
              <w:right w:val="single" w:sz="2" w:space="0" w:color="auto"/>
            </w:tcBorders>
            <w:vAlign w:val="center"/>
          </w:tcPr>
          <w:p w14:paraId="1513101A"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09</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175D6135"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400</w:t>
            </w:r>
          </w:p>
        </w:tc>
        <w:tc>
          <w:tcPr>
            <w:tcW w:w="1134" w:type="dxa"/>
            <w:tcBorders>
              <w:top w:val="single" w:sz="2" w:space="0" w:color="auto"/>
              <w:left w:val="single" w:sz="2" w:space="0" w:color="auto"/>
              <w:bottom w:val="single" w:sz="2" w:space="0" w:color="auto"/>
              <w:right w:val="single" w:sz="2" w:space="0" w:color="auto"/>
            </w:tcBorders>
            <w:vAlign w:val="center"/>
          </w:tcPr>
          <w:p w14:paraId="7466E4B9" w14:textId="3B810F4C"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2A618F6F"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7BC86379"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519D041B"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2024.10.09-2025.08.18</w:t>
            </w:r>
          </w:p>
        </w:tc>
        <w:tc>
          <w:tcPr>
            <w:tcW w:w="708" w:type="dxa"/>
            <w:tcBorders>
              <w:top w:val="single" w:sz="2" w:space="0" w:color="auto"/>
              <w:left w:val="single" w:sz="2" w:space="0" w:color="auto"/>
              <w:bottom w:val="single" w:sz="2" w:space="0" w:color="auto"/>
              <w:right w:val="single" w:sz="2" w:space="0" w:color="auto"/>
            </w:tcBorders>
            <w:vAlign w:val="center"/>
          </w:tcPr>
          <w:p w14:paraId="0FB3500F"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6D131787"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1C86AF34"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486191F7"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黑龙江龙大肉食品有限公司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622979DC"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2022</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25</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6C34D18C"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2,000</w:t>
            </w:r>
          </w:p>
        </w:tc>
        <w:tc>
          <w:tcPr>
            <w:tcW w:w="1134" w:type="dxa"/>
            <w:tcBorders>
              <w:top w:val="single" w:sz="2" w:space="0" w:color="auto"/>
              <w:left w:val="single" w:sz="2" w:space="0" w:color="auto"/>
              <w:bottom w:val="single" w:sz="2" w:space="0" w:color="auto"/>
              <w:right w:val="single" w:sz="2" w:space="0" w:color="auto"/>
            </w:tcBorders>
            <w:vAlign w:val="center"/>
          </w:tcPr>
          <w:p w14:paraId="4157E5E4"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641B2362"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100</w:t>
            </w:r>
          </w:p>
        </w:tc>
        <w:tc>
          <w:tcPr>
            <w:tcW w:w="1134" w:type="dxa"/>
            <w:tcBorders>
              <w:top w:val="single" w:sz="2" w:space="0" w:color="auto"/>
              <w:left w:val="single" w:sz="2" w:space="0" w:color="auto"/>
              <w:bottom w:val="single" w:sz="2" w:space="0" w:color="auto"/>
              <w:right w:val="single" w:sz="2" w:space="0" w:color="auto"/>
            </w:tcBorders>
            <w:vAlign w:val="center"/>
          </w:tcPr>
          <w:p w14:paraId="0029525A" w14:textId="6134B53E"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4C4901D0"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27D76E78"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0EB5B4A8"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2024.10.10-2025.08.18</w:t>
            </w:r>
          </w:p>
        </w:tc>
        <w:tc>
          <w:tcPr>
            <w:tcW w:w="708" w:type="dxa"/>
            <w:tcBorders>
              <w:top w:val="single" w:sz="2" w:space="0" w:color="auto"/>
              <w:left w:val="single" w:sz="2" w:space="0" w:color="auto"/>
              <w:bottom w:val="single" w:sz="2" w:space="0" w:color="auto"/>
              <w:right w:val="single" w:sz="2" w:space="0" w:color="auto"/>
            </w:tcBorders>
            <w:vAlign w:val="center"/>
          </w:tcPr>
          <w:p w14:paraId="6BE05A4F"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18F57B44"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07B3B27D"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75FC2D03"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黑龙江龙大肉食品有限公司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6657C519"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2022</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25</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50313768"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2,000</w:t>
            </w:r>
          </w:p>
        </w:tc>
        <w:tc>
          <w:tcPr>
            <w:tcW w:w="1134" w:type="dxa"/>
            <w:tcBorders>
              <w:top w:val="single" w:sz="2" w:space="0" w:color="auto"/>
              <w:left w:val="single" w:sz="2" w:space="0" w:color="auto"/>
              <w:bottom w:val="single" w:sz="2" w:space="0" w:color="auto"/>
              <w:right w:val="single" w:sz="2" w:space="0" w:color="auto"/>
            </w:tcBorders>
            <w:vAlign w:val="center"/>
          </w:tcPr>
          <w:p w14:paraId="0B277D22"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24</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04F8277E"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300</w:t>
            </w:r>
          </w:p>
        </w:tc>
        <w:tc>
          <w:tcPr>
            <w:tcW w:w="1134" w:type="dxa"/>
            <w:tcBorders>
              <w:top w:val="single" w:sz="2" w:space="0" w:color="auto"/>
              <w:left w:val="single" w:sz="2" w:space="0" w:color="auto"/>
              <w:bottom w:val="single" w:sz="2" w:space="0" w:color="auto"/>
              <w:right w:val="single" w:sz="2" w:space="0" w:color="auto"/>
            </w:tcBorders>
            <w:vAlign w:val="center"/>
          </w:tcPr>
          <w:p w14:paraId="3F0FD1B5" w14:textId="3E19F52C"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5CECEACA"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07F81FA7"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54E2FC18"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2024.10.24-2025.08.18</w:t>
            </w:r>
          </w:p>
        </w:tc>
        <w:tc>
          <w:tcPr>
            <w:tcW w:w="708" w:type="dxa"/>
            <w:tcBorders>
              <w:top w:val="single" w:sz="2" w:space="0" w:color="auto"/>
              <w:left w:val="single" w:sz="2" w:space="0" w:color="auto"/>
              <w:bottom w:val="single" w:sz="2" w:space="0" w:color="auto"/>
              <w:right w:val="single" w:sz="2" w:space="0" w:color="auto"/>
            </w:tcBorders>
            <w:vAlign w:val="center"/>
          </w:tcPr>
          <w:p w14:paraId="22EE07ED"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20B2D575"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59C43DD5"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13D315BE"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黑龙江龙大肉食品有限公司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23F5D392"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2022</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25</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28C24EB3"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2,000</w:t>
            </w:r>
          </w:p>
        </w:tc>
        <w:tc>
          <w:tcPr>
            <w:tcW w:w="1134" w:type="dxa"/>
            <w:tcBorders>
              <w:top w:val="single" w:sz="2" w:space="0" w:color="auto"/>
              <w:left w:val="single" w:sz="2" w:space="0" w:color="auto"/>
              <w:bottom w:val="single" w:sz="2" w:space="0" w:color="auto"/>
              <w:right w:val="single" w:sz="2" w:space="0" w:color="auto"/>
            </w:tcBorders>
            <w:vAlign w:val="center"/>
          </w:tcPr>
          <w:p w14:paraId="4151E785"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25</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7E2B9F85"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200</w:t>
            </w:r>
          </w:p>
        </w:tc>
        <w:tc>
          <w:tcPr>
            <w:tcW w:w="1134" w:type="dxa"/>
            <w:tcBorders>
              <w:top w:val="single" w:sz="2" w:space="0" w:color="auto"/>
              <w:left w:val="single" w:sz="2" w:space="0" w:color="auto"/>
              <w:bottom w:val="single" w:sz="2" w:space="0" w:color="auto"/>
              <w:right w:val="single" w:sz="2" w:space="0" w:color="auto"/>
            </w:tcBorders>
            <w:vAlign w:val="center"/>
          </w:tcPr>
          <w:p w14:paraId="6A93B916" w14:textId="04DF772C"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40305FED"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1ADCE642"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277A3FAE"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2024.10.25-2025.08.18</w:t>
            </w:r>
          </w:p>
        </w:tc>
        <w:tc>
          <w:tcPr>
            <w:tcW w:w="708" w:type="dxa"/>
            <w:tcBorders>
              <w:top w:val="single" w:sz="2" w:space="0" w:color="auto"/>
              <w:left w:val="single" w:sz="2" w:space="0" w:color="auto"/>
              <w:bottom w:val="single" w:sz="2" w:space="0" w:color="auto"/>
              <w:right w:val="single" w:sz="2" w:space="0" w:color="auto"/>
            </w:tcBorders>
            <w:vAlign w:val="center"/>
          </w:tcPr>
          <w:p w14:paraId="17E9B78D"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7C335EAE"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79D1D92A"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588501B3"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黑龙江龙大肉食品有限公司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019F0A65"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2022</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25</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4D5E7A6A"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2,000</w:t>
            </w:r>
          </w:p>
        </w:tc>
        <w:tc>
          <w:tcPr>
            <w:tcW w:w="1134" w:type="dxa"/>
            <w:tcBorders>
              <w:top w:val="single" w:sz="2" w:space="0" w:color="auto"/>
              <w:left w:val="single" w:sz="2" w:space="0" w:color="auto"/>
              <w:bottom w:val="single" w:sz="2" w:space="0" w:color="auto"/>
              <w:right w:val="single" w:sz="2" w:space="0" w:color="auto"/>
            </w:tcBorders>
            <w:vAlign w:val="center"/>
          </w:tcPr>
          <w:p w14:paraId="3C8B176A"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28</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3F0E19D2"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300</w:t>
            </w:r>
          </w:p>
        </w:tc>
        <w:tc>
          <w:tcPr>
            <w:tcW w:w="1134" w:type="dxa"/>
            <w:tcBorders>
              <w:top w:val="single" w:sz="2" w:space="0" w:color="auto"/>
              <w:left w:val="single" w:sz="2" w:space="0" w:color="auto"/>
              <w:bottom w:val="single" w:sz="2" w:space="0" w:color="auto"/>
              <w:right w:val="single" w:sz="2" w:space="0" w:color="auto"/>
            </w:tcBorders>
            <w:vAlign w:val="center"/>
          </w:tcPr>
          <w:p w14:paraId="1B015EBD" w14:textId="0BEB92D4"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1E9C3D26"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6AE28F07"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1095F08A"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2024.10.28-2025.08.18</w:t>
            </w:r>
          </w:p>
        </w:tc>
        <w:tc>
          <w:tcPr>
            <w:tcW w:w="708" w:type="dxa"/>
            <w:tcBorders>
              <w:top w:val="single" w:sz="2" w:space="0" w:color="auto"/>
              <w:left w:val="single" w:sz="2" w:space="0" w:color="auto"/>
              <w:bottom w:val="single" w:sz="2" w:space="0" w:color="auto"/>
              <w:right w:val="single" w:sz="2" w:space="0" w:color="auto"/>
            </w:tcBorders>
            <w:vAlign w:val="center"/>
          </w:tcPr>
          <w:p w14:paraId="63398E4F"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32156509"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7476ADB2"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02852ABB"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黑龙江龙大肉食品有限公司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49C4EED2"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2022</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25</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230AD28C"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2,000</w:t>
            </w:r>
          </w:p>
        </w:tc>
        <w:tc>
          <w:tcPr>
            <w:tcW w:w="1134" w:type="dxa"/>
            <w:tcBorders>
              <w:top w:val="single" w:sz="2" w:space="0" w:color="auto"/>
              <w:left w:val="single" w:sz="2" w:space="0" w:color="auto"/>
              <w:bottom w:val="single" w:sz="2" w:space="0" w:color="auto"/>
              <w:right w:val="single" w:sz="2" w:space="0" w:color="auto"/>
            </w:tcBorders>
            <w:vAlign w:val="center"/>
          </w:tcPr>
          <w:p w14:paraId="713C10AF"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29</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285902E3"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200</w:t>
            </w:r>
          </w:p>
        </w:tc>
        <w:tc>
          <w:tcPr>
            <w:tcW w:w="1134" w:type="dxa"/>
            <w:tcBorders>
              <w:top w:val="single" w:sz="2" w:space="0" w:color="auto"/>
              <w:left w:val="single" w:sz="2" w:space="0" w:color="auto"/>
              <w:bottom w:val="single" w:sz="2" w:space="0" w:color="auto"/>
              <w:right w:val="single" w:sz="2" w:space="0" w:color="auto"/>
            </w:tcBorders>
            <w:vAlign w:val="center"/>
          </w:tcPr>
          <w:p w14:paraId="79D074EF" w14:textId="676C7933"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4D22F70D"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516C7BDF"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49D90529"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2024.10.29-2025.08.18</w:t>
            </w:r>
          </w:p>
        </w:tc>
        <w:tc>
          <w:tcPr>
            <w:tcW w:w="708" w:type="dxa"/>
            <w:tcBorders>
              <w:top w:val="single" w:sz="2" w:space="0" w:color="auto"/>
              <w:left w:val="single" w:sz="2" w:space="0" w:color="auto"/>
              <w:bottom w:val="single" w:sz="2" w:space="0" w:color="auto"/>
              <w:right w:val="single" w:sz="2" w:space="0" w:color="auto"/>
            </w:tcBorders>
            <w:vAlign w:val="center"/>
          </w:tcPr>
          <w:p w14:paraId="25A7C5FF"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306381C8"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178BC5DE"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07F26FEB"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黑龙江龙大肉食品有限公司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7ABC2D5C"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2022</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25</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20251BF5"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2,000</w:t>
            </w:r>
          </w:p>
        </w:tc>
        <w:tc>
          <w:tcPr>
            <w:tcW w:w="1134" w:type="dxa"/>
            <w:tcBorders>
              <w:top w:val="single" w:sz="2" w:space="0" w:color="auto"/>
              <w:left w:val="single" w:sz="2" w:space="0" w:color="auto"/>
              <w:bottom w:val="single" w:sz="2" w:space="0" w:color="auto"/>
              <w:right w:val="single" w:sz="2" w:space="0" w:color="auto"/>
            </w:tcBorders>
            <w:vAlign w:val="center"/>
          </w:tcPr>
          <w:p w14:paraId="4AAE5175"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11</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01</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1C77CBF9"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300</w:t>
            </w:r>
          </w:p>
        </w:tc>
        <w:tc>
          <w:tcPr>
            <w:tcW w:w="1134" w:type="dxa"/>
            <w:tcBorders>
              <w:top w:val="single" w:sz="2" w:space="0" w:color="auto"/>
              <w:left w:val="single" w:sz="2" w:space="0" w:color="auto"/>
              <w:bottom w:val="single" w:sz="2" w:space="0" w:color="auto"/>
              <w:right w:val="single" w:sz="2" w:space="0" w:color="auto"/>
            </w:tcBorders>
            <w:vAlign w:val="center"/>
          </w:tcPr>
          <w:p w14:paraId="3AD8DA76" w14:textId="47727D7B"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2C41B3E4"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6F9EEF31"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3F4B21F0"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2024.11.01-2025.08.18</w:t>
            </w:r>
          </w:p>
        </w:tc>
        <w:tc>
          <w:tcPr>
            <w:tcW w:w="708" w:type="dxa"/>
            <w:tcBorders>
              <w:top w:val="single" w:sz="2" w:space="0" w:color="auto"/>
              <w:left w:val="single" w:sz="2" w:space="0" w:color="auto"/>
              <w:bottom w:val="single" w:sz="2" w:space="0" w:color="auto"/>
              <w:right w:val="single" w:sz="2" w:space="0" w:color="auto"/>
            </w:tcBorders>
            <w:vAlign w:val="center"/>
          </w:tcPr>
          <w:p w14:paraId="4061C6D5"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0215C0A2"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47F08525"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6832A646"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黑龙江龙大肉食品有限公司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7A21A6FD"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2022</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25</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781036C3"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2,000</w:t>
            </w:r>
          </w:p>
        </w:tc>
        <w:tc>
          <w:tcPr>
            <w:tcW w:w="1134" w:type="dxa"/>
            <w:tcBorders>
              <w:top w:val="single" w:sz="2" w:space="0" w:color="auto"/>
              <w:left w:val="single" w:sz="2" w:space="0" w:color="auto"/>
              <w:bottom w:val="single" w:sz="2" w:space="0" w:color="auto"/>
              <w:right w:val="single" w:sz="2" w:space="0" w:color="auto"/>
            </w:tcBorders>
            <w:vAlign w:val="center"/>
          </w:tcPr>
          <w:p w14:paraId="2111C49D"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11</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02</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41B0728F"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200</w:t>
            </w:r>
          </w:p>
        </w:tc>
        <w:tc>
          <w:tcPr>
            <w:tcW w:w="1134" w:type="dxa"/>
            <w:tcBorders>
              <w:top w:val="single" w:sz="2" w:space="0" w:color="auto"/>
              <w:left w:val="single" w:sz="2" w:space="0" w:color="auto"/>
              <w:bottom w:val="single" w:sz="2" w:space="0" w:color="auto"/>
              <w:right w:val="single" w:sz="2" w:space="0" w:color="auto"/>
            </w:tcBorders>
            <w:vAlign w:val="center"/>
          </w:tcPr>
          <w:p w14:paraId="2927A248" w14:textId="0E44BD5D"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70895ED3"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6107A71B"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7DA2AAB8"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2024.11.02-2025.08.18</w:t>
            </w:r>
          </w:p>
        </w:tc>
        <w:tc>
          <w:tcPr>
            <w:tcW w:w="708" w:type="dxa"/>
            <w:tcBorders>
              <w:top w:val="single" w:sz="2" w:space="0" w:color="auto"/>
              <w:left w:val="single" w:sz="2" w:space="0" w:color="auto"/>
              <w:bottom w:val="single" w:sz="2" w:space="0" w:color="auto"/>
              <w:right w:val="single" w:sz="2" w:space="0" w:color="auto"/>
            </w:tcBorders>
            <w:vAlign w:val="center"/>
          </w:tcPr>
          <w:p w14:paraId="647C54F8"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10D49F50"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3D884856"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7130C869"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黑龙江龙大肉食品有限公司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77855A87"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2023</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07</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20</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51EEECF2"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2,000</w:t>
            </w:r>
          </w:p>
        </w:tc>
        <w:tc>
          <w:tcPr>
            <w:tcW w:w="1134" w:type="dxa"/>
            <w:tcBorders>
              <w:top w:val="single" w:sz="2" w:space="0" w:color="auto"/>
              <w:left w:val="single" w:sz="2" w:space="0" w:color="auto"/>
              <w:bottom w:val="single" w:sz="2" w:space="0" w:color="auto"/>
              <w:right w:val="single" w:sz="2" w:space="0" w:color="auto"/>
            </w:tcBorders>
            <w:vAlign w:val="center"/>
          </w:tcPr>
          <w:p w14:paraId="5604DC26"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07</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25</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137E8EA6"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400</w:t>
            </w:r>
          </w:p>
        </w:tc>
        <w:tc>
          <w:tcPr>
            <w:tcW w:w="1134" w:type="dxa"/>
            <w:tcBorders>
              <w:top w:val="single" w:sz="2" w:space="0" w:color="auto"/>
              <w:left w:val="single" w:sz="2" w:space="0" w:color="auto"/>
              <w:bottom w:val="single" w:sz="2" w:space="0" w:color="auto"/>
              <w:right w:val="single" w:sz="2" w:space="0" w:color="auto"/>
            </w:tcBorders>
            <w:vAlign w:val="center"/>
          </w:tcPr>
          <w:p w14:paraId="79333EE8" w14:textId="7E215EEA"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3E014ADC"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52A1A812"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1EB9A5B0"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2024.07.25-2025.07.24</w:t>
            </w:r>
          </w:p>
        </w:tc>
        <w:tc>
          <w:tcPr>
            <w:tcW w:w="708" w:type="dxa"/>
            <w:tcBorders>
              <w:top w:val="single" w:sz="2" w:space="0" w:color="auto"/>
              <w:left w:val="single" w:sz="2" w:space="0" w:color="auto"/>
              <w:bottom w:val="single" w:sz="2" w:space="0" w:color="auto"/>
              <w:right w:val="single" w:sz="2" w:space="0" w:color="auto"/>
            </w:tcBorders>
            <w:vAlign w:val="center"/>
          </w:tcPr>
          <w:p w14:paraId="53162109"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12FE36C8"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3E712CA1"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304BCF21"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黑龙江龙大肉食品有限公司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6755EE31"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2023</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07</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20</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669FB965"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2,000</w:t>
            </w:r>
          </w:p>
        </w:tc>
        <w:tc>
          <w:tcPr>
            <w:tcW w:w="1134" w:type="dxa"/>
            <w:tcBorders>
              <w:top w:val="single" w:sz="2" w:space="0" w:color="auto"/>
              <w:left w:val="single" w:sz="2" w:space="0" w:color="auto"/>
              <w:bottom w:val="single" w:sz="2" w:space="0" w:color="auto"/>
              <w:right w:val="single" w:sz="2" w:space="0" w:color="auto"/>
            </w:tcBorders>
            <w:vAlign w:val="center"/>
          </w:tcPr>
          <w:p w14:paraId="1898519A"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07</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26</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267F48BA"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100</w:t>
            </w:r>
          </w:p>
        </w:tc>
        <w:tc>
          <w:tcPr>
            <w:tcW w:w="1134" w:type="dxa"/>
            <w:tcBorders>
              <w:top w:val="single" w:sz="2" w:space="0" w:color="auto"/>
              <w:left w:val="single" w:sz="2" w:space="0" w:color="auto"/>
              <w:bottom w:val="single" w:sz="2" w:space="0" w:color="auto"/>
              <w:right w:val="single" w:sz="2" w:space="0" w:color="auto"/>
            </w:tcBorders>
            <w:vAlign w:val="center"/>
          </w:tcPr>
          <w:p w14:paraId="7C15E1DB" w14:textId="614337CF"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6E868A0A"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3A6A88A9"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24098BF2"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2024.07.26-2025.07.25</w:t>
            </w:r>
          </w:p>
        </w:tc>
        <w:tc>
          <w:tcPr>
            <w:tcW w:w="708" w:type="dxa"/>
            <w:tcBorders>
              <w:top w:val="single" w:sz="2" w:space="0" w:color="auto"/>
              <w:left w:val="single" w:sz="2" w:space="0" w:color="auto"/>
              <w:bottom w:val="single" w:sz="2" w:space="0" w:color="auto"/>
              <w:right w:val="single" w:sz="2" w:space="0" w:color="auto"/>
            </w:tcBorders>
            <w:vAlign w:val="center"/>
          </w:tcPr>
          <w:p w14:paraId="1D4A8082"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4E30BA8A"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51556C53"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16C9F6EE"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黑龙江龙大肉食品有限公司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5D12C527"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2023</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07</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20</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342247F4"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2,000</w:t>
            </w:r>
          </w:p>
        </w:tc>
        <w:tc>
          <w:tcPr>
            <w:tcW w:w="1134" w:type="dxa"/>
            <w:tcBorders>
              <w:top w:val="single" w:sz="2" w:space="0" w:color="auto"/>
              <w:left w:val="single" w:sz="2" w:space="0" w:color="auto"/>
              <w:bottom w:val="single" w:sz="2" w:space="0" w:color="auto"/>
              <w:right w:val="single" w:sz="2" w:space="0" w:color="auto"/>
            </w:tcBorders>
            <w:vAlign w:val="center"/>
          </w:tcPr>
          <w:p w14:paraId="222F2CDD"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07</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29</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06D8F03B"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300</w:t>
            </w:r>
          </w:p>
        </w:tc>
        <w:tc>
          <w:tcPr>
            <w:tcW w:w="1134" w:type="dxa"/>
            <w:tcBorders>
              <w:top w:val="single" w:sz="2" w:space="0" w:color="auto"/>
              <w:left w:val="single" w:sz="2" w:space="0" w:color="auto"/>
              <w:bottom w:val="single" w:sz="2" w:space="0" w:color="auto"/>
              <w:right w:val="single" w:sz="2" w:space="0" w:color="auto"/>
            </w:tcBorders>
            <w:vAlign w:val="center"/>
          </w:tcPr>
          <w:p w14:paraId="4B84C805" w14:textId="6AC0E354"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3FFA57AF"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0202B5AF"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3D00BDA3"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2024.07.29-2025.07.28</w:t>
            </w:r>
          </w:p>
        </w:tc>
        <w:tc>
          <w:tcPr>
            <w:tcW w:w="708" w:type="dxa"/>
            <w:tcBorders>
              <w:top w:val="single" w:sz="2" w:space="0" w:color="auto"/>
              <w:left w:val="single" w:sz="2" w:space="0" w:color="auto"/>
              <w:bottom w:val="single" w:sz="2" w:space="0" w:color="auto"/>
              <w:right w:val="single" w:sz="2" w:space="0" w:color="auto"/>
            </w:tcBorders>
            <w:vAlign w:val="center"/>
          </w:tcPr>
          <w:p w14:paraId="6077DF7F"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71C5EE57"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1E016697"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55299B92"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黑龙江龙大肉食品有限公司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38420DB3"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2023</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07</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20</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591467D0"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2,000</w:t>
            </w:r>
          </w:p>
        </w:tc>
        <w:tc>
          <w:tcPr>
            <w:tcW w:w="1134" w:type="dxa"/>
            <w:tcBorders>
              <w:top w:val="single" w:sz="2" w:space="0" w:color="auto"/>
              <w:left w:val="single" w:sz="2" w:space="0" w:color="auto"/>
              <w:bottom w:val="single" w:sz="2" w:space="0" w:color="auto"/>
              <w:right w:val="single" w:sz="2" w:space="0" w:color="auto"/>
            </w:tcBorders>
            <w:vAlign w:val="center"/>
          </w:tcPr>
          <w:p w14:paraId="7EDF83F4"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07</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30</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5FD62F56"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200</w:t>
            </w:r>
          </w:p>
        </w:tc>
        <w:tc>
          <w:tcPr>
            <w:tcW w:w="1134" w:type="dxa"/>
            <w:tcBorders>
              <w:top w:val="single" w:sz="2" w:space="0" w:color="auto"/>
              <w:left w:val="single" w:sz="2" w:space="0" w:color="auto"/>
              <w:bottom w:val="single" w:sz="2" w:space="0" w:color="auto"/>
              <w:right w:val="single" w:sz="2" w:space="0" w:color="auto"/>
            </w:tcBorders>
            <w:vAlign w:val="center"/>
          </w:tcPr>
          <w:p w14:paraId="36E2CE49" w14:textId="04DDF346"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36108A68"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339A80FD"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49532F25"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2024.07.30-2025.07.29</w:t>
            </w:r>
          </w:p>
        </w:tc>
        <w:tc>
          <w:tcPr>
            <w:tcW w:w="708" w:type="dxa"/>
            <w:tcBorders>
              <w:top w:val="single" w:sz="2" w:space="0" w:color="auto"/>
              <w:left w:val="single" w:sz="2" w:space="0" w:color="auto"/>
              <w:bottom w:val="single" w:sz="2" w:space="0" w:color="auto"/>
              <w:right w:val="single" w:sz="2" w:space="0" w:color="auto"/>
            </w:tcBorders>
            <w:vAlign w:val="center"/>
          </w:tcPr>
          <w:p w14:paraId="174471FD"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37D5BEB1"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5F52302E"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36C983FA"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黑龙江龙大肉食品有限公司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6BD8CE7B"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2023</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07</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20</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77763B84"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2,000</w:t>
            </w:r>
          </w:p>
        </w:tc>
        <w:tc>
          <w:tcPr>
            <w:tcW w:w="1134" w:type="dxa"/>
            <w:tcBorders>
              <w:top w:val="single" w:sz="2" w:space="0" w:color="auto"/>
              <w:left w:val="single" w:sz="2" w:space="0" w:color="auto"/>
              <w:bottom w:val="single" w:sz="2" w:space="0" w:color="auto"/>
              <w:right w:val="single" w:sz="2" w:space="0" w:color="auto"/>
            </w:tcBorders>
            <w:vAlign w:val="center"/>
          </w:tcPr>
          <w:p w14:paraId="0DD63A75"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02</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6E8D4596"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450</w:t>
            </w:r>
          </w:p>
        </w:tc>
        <w:tc>
          <w:tcPr>
            <w:tcW w:w="1134" w:type="dxa"/>
            <w:tcBorders>
              <w:top w:val="single" w:sz="2" w:space="0" w:color="auto"/>
              <w:left w:val="single" w:sz="2" w:space="0" w:color="auto"/>
              <w:bottom w:val="single" w:sz="2" w:space="0" w:color="auto"/>
              <w:right w:val="single" w:sz="2" w:space="0" w:color="auto"/>
            </w:tcBorders>
            <w:vAlign w:val="center"/>
          </w:tcPr>
          <w:p w14:paraId="3CB37657" w14:textId="51CA6B2B"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4BCFC258"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7C5F8288"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771F9011"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2024.08.02-2025.08.01</w:t>
            </w:r>
          </w:p>
        </w:tc>
        <w:tc>
          <w:tcPr>
            <w:tcW w:w="708" w:type="dxa"/>
            <w:tcBorders>
              <w:top w:val="single" w:sz="2" w:space="0" w:color="auto"/>
              <w:left w:val="single" w:sz="2" w:space="0" w:color="auto"/>
              <w:bottom w:val="single" w:sz="2" w:space="0" w:color="auto"/>
              <w:right w:val="single" w:sz="2" w:space="0" w:color="auto"/>
            </w:tcBorders>
            <w:vAlign w:val="center"/>
          </w:tcPr>
          <w:p w14:paraId="10E6D557"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02931325"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5007ED90"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6F0F4853"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黑龙江龙大肉食品有限公司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38569369"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2023</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07</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20</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6C61F557"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2,000</w:t>
            </w:r>
          </w:p>
        </w:tc>
        <w:tc>
          <w:tcPr>
            <w:tcW w:w="1134" w:type="dxa"/>
            <w:tcBorders>
              <w:top w:val="single" w:sz="2" w:space="0" w:color="auto"/>
              <w:left w:val="single" w:sz="2" w:space="0" w:color="auto"/>
              <w:bottom w:val="single" w:sz="2" w:space="0" w:color="auto"/>
              <w:right w:val="single" w:sz="2" w:space="0" w:color="auto"/>
            </w:tcBorders>
            <w:vAlign w:val="center"/>
          </w:tcPr>
          <w:p w14:paraId="050DEE6A"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05</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028009E4"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450</w:t>
            </w:r>
          </w:p>
        </w:tc>
        <w:tc>
          <w:tcPr>
            <w:tcW w:w="1134" w:type="dxa"/>
            <w:tcBorders>
              <w:top w:val="single" w:sz="2" w:space="0" w:color="auto"/>
              <w:left w:val="single" w:sz="2" w:space="0" w:color="auto"/>
              <w:bottom w:val="single" w:sz="2" w:space="0" w:color="auto"/>
              <w:right w:val="single" w:sz="2" w:space="0" w:color="auto"/>
            </w:tcBorders>
            <w:vAlign w:val="center"/>
          </w:tcPr>
          <w:p w14:paraId="050817D8" w14:textId="5D7E26F0"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22876CCD"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4065A8D7"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170B096D"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2024.08.05-2025.08.04</w:t>
            </w:r>
          </w:p>
        </w:tc>
        <w:tc>
          <w:tcPr>
            <w:tcW w:w="708" w:type="dxa"/>
            <w:tcBorders>
              <w:top w:val="single" w:sz="2" w:space="0" w:color="auto"/>
              <w:left w:val="single" w:sz="2" w:space="0" w:color="auto"/>
              <w:bottom w:val="single" w:sz="2" w:space="0" w:color="auto"/>
              <w:right w:val="single" w:sz="2" w:space="0" w:color="auto"/>
            </w:tcBorders>
            <w:vAlign w:val="center"/>
          </w:tcPr>
          <w:p w14:paraId="1D755724"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399CD0ED"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47AD9F51"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5B318281"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黑龙江龙大肉食</w:t>
            </w:r>
            <w:r w:rsidRPr="005A284F">
              <w:rPr>
                <w:rFonts w:ascii="Times New Roman" w:eastAsia="宋体" w:hAnsi="Times New Roman" w:cs="Times New Roman"/>
                <w:sz w:val="18"/>
                <w:szCs w:val="18"/>
              </w:rPr>
              <w:lastRenderedPageBreak/>
              <w:t>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15687CDC"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2023</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07</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lastRenderedPageBreak/>
              <w:t>20</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648AD046"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2,000</w:t>
            </w:r>
          </w:p>
        </w:tc>
        <w:tc>
          <w:tcPr>
            <w:tcW w:w="1134" w:type="dxa"/>
            <w:tcBorders>
              <w:top w:val="single" w:sz="2" w:space="0" w:color="auto"/>
              <w:left w:val="single" w:sz="2" w:space="0" w:color="auto"/>
              <w:bottom w:val="single" w:sz="2" w:space="0" w:color="auto"/>
              <w:right w:val="single" w:sz="2" w:space="0" w:color="auto"/>
            </w:tcBorders>
            <w:vAlign w:val="center"/>
          </w:tcPr>
          <w:p w14:paraId="3C64EACA"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lastRenderedPageBreak/>
              <w:t>06</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06902DAA"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100</w:t>
            </w:r>
          </w:p>
        </w:tc>
        <w:tc>
          <w:tcPr>
            <w:tcW w:w="1134" w:type="dxa"/>
            <w:tcBorders>
              <w:top w:val="single" w:sz="2" w:space="0" w:color="auto"/>
              <w:left w:val="single" w:sz="2" w:space="0" w:color="auto"/>
              <w:bottom w:val="single" w:sz="2" w:space="0" w:color="auto"/>
              <w:right w:val="single" w:sz="2" w:space="0" w:color="auto"/>
            </w:tcBorders>
            <w:vAlign w:val="center"/>
          </w:tcPr>
          <w:p w14:paraId="643483E9" w14:textId="4BA8A89E"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4DB5617A"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42696B5F"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6149047C"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2024.08.06-</w:t>
            </w:r>
            <w:r w:rsidRPr="005A284F">
              <w:rPr>
                <w:rFonts w:ascii="Times New Roman" w:eastAsia="宋体" w:hAnsi="Times New Roman" w:cs="Times New Roman"/>
                <w:sz w:val="18"/>
                <w:szCs w:val="18"/>
              </w:rPr>
              <w:lastRenderedPageBreak/>
              <w:t>2025.08.05</w:t>
            </w:r>
          </w:p>
        </w:tc>
        <w:tc>
          <w:tcPr>
            <w:tcW w:w="708" w:type="dxa"/>
            <w:tcBorders>
              <w:top w:val="single" w:sz="2" w:space="0" w:color="auto"/>
              <w:left w:val="single" w:sz="2" w:space="0" w:color="auto"/>
              <w:bottom w:val="single" w:sz="2" w:space="0" w:color="auto"/>
              <w:right w:val="single" w:sz="2" w:space="0" w:color="auto"/>
            </w:tcBorders>
            <w:vAlign w:val="center"/>
          </w:tcPr>
          <w:p w14:paraId="493DF53E"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否</w:t>
            </w:r>
          </w:p>
        </w:tc>
        <w:tc>
          <w:tcPr>
            <w:tcW w:w="672" w:type="dxa"/>
            <w:tcBorders>
              <w:top w:val="single" w:sz="2" w:space="0" w:color="auto"/>
              <w:left w:val="single" w:sz="2" w:space="0" w:color="auto"/>
              <w:bottom w:val="single" w:sz="2" w:space="0" w:color="auto"/>
              <w:right w:val="single" w:sz="2" w:space="0" w:color="auto"/>
            </w:tcBorders>
            <w:vAlign w:val="center"/>
          </w:tcPr>
          <w:p w14:paraId="68F63073"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3D01262E"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6AC5C3B6"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黑龙江龙大肉食品有限公司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3FF1FC6D"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416DBD3C"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200</w:t>
            </w:r>
          </w:p>
        </w:tc>
        <w:tc>
          <w:tcPr>
            <w:tcW w:w="1134" w:type="dxa"/>
            <w:tcBorders>
              <w:top w:val="single" w:sz="2" w:space="0" w:color="auto"/>
              <w:left w:val="single" w:sz="2" w:space="0" w:color="auto"/>
              <w:bottom w:val="single" w:sz="2" w:space="0" w:color="auto"/>
              <w:right w:val="single" w:sz="2" w:space="0" w:color="auto"/>
            </w:tcBorders>
            <w:vAlign w:val="center"/>
          </w:tcPr>
          <w:p w14:paraId="2A018642"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09</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30</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17885531"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200</w:t>
            </w:r>
          </w:p>
        </w:tc>
        <w:tc>
          <w:tcPr>
            <w:tcW w:w="1134" w:type="dxa"/>
            <w:tcBorders>
              <w:top w:val="single" w:sz="2" w:space="0" w:color="auto"/>
              <w:left w:val="single" w:sz="2" w:space="0" w:color="auto"/>
              <w:bottom w:val="single" w:sz="2" w:space="0" w:color="auto"/>
              <w:right w:val="single" w:sz="2" w:space="0" w:color="auto"/>
            </w:tcBorders>
            <w:vAlign w:val="center"/>
          </w:tcPr>
          <w:p w14:paraId="6438E9A7" w14:textId="205990AA"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766895FD"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254F0173"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62F75A0A"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2024.09.30-2025.09.29</w:t>
            </w:r>
          </w:p>
        </w:tc>
        <w:tc>
          <w:tcPr>
            <w:tcW w:w="708" w:type="dxa"/>
            <w:tcBorders>
              <w:top w:val="single" w:sz="2" w:space="0" w:color="auto"/>
              <w:left w:val="single" w:sz="2" w:space="0" w:color="auto"/>
              <w:bottom w:val="single" w:sz="2" w:space="0" w:color="auto"/>
              <w:right w:val="single" w:sz="2" w:space="0" w:color="auto"/>
            </w:tcBorders>
            <w:vAlign w:val="center"/>
          </w:tcPr>
          <w:p w14:paraId="4646137D"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096684CB"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7363A7AA"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702282A8"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黑龙江龙大肉食品有限公司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76FB5FF6"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2023</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01</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13</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249D672A"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15,000</w:t>
            </w:r>
          </w:p>
        </w:tc>
        <w:tc>
          <w:tcPr>
            <w:tcW w:w="1134" w:type="dxa"/>
            <w:tcBorders>
              <w:top w:val="single" w:sz="2" w:space="0" w:color="auto"/>
              <w:left w:val="single" w:sz="2" w:space="0" w:color="auto"/>
              <w:bottom w:val="single" w:sz="2" w:space="0" w:color="auto"/>
              <w:right w:val="single" w:sz="2" w:space="0" w:color="auto"/>
            </w:tcBorders>
            <w:vAlign w:val="center"/>
          </w:tcPr>
          <w:p w14:paraId="458B8768"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2023</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03</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30</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14D66FC2"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7,000</w:t>
            </w:r>
          </w:p>
        </w:tc>
        <w:tc>
          <w:tcPr>
            <w:tcW w:w="1134" w:type="dxa"/>
            <w:tcBorders>
              <w:top w:val="single" w:sz="2" w:space="0" w:color="auto"/>
              <w:left w:val="single" w:sz="2" w:space="0" w:color="auto"/>
              <w:bottom w:val="single" w:sz="2" w:space="0" w:color="auto"/>
              <w:right w:val="single" w:sz="2" w:space="0" w:color="auto"/>
            </w:tcBorders>
            <w:vAlign w:val="center"/>
          </w:tcPr>
          <w:p w14:paraId="018A2A31" w14:textId="270F8660"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2C813C92"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74FD6B4E"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390A7281"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2023.03.30-2031.03.31</w:t>
            </w:r>
          </w:p>
        </w:tc>
        <w:tc>
          <w:tcPr>
            <w:tcW w:w="708" w:type="dxa"/>
            <w:tcBorders>
              <w:top w:val="single" w:sz="2" w:space="0" w:color="auto"/>
              <w:left w:val="single" w:sz="2" w:space="0" w:color="auto"/>
              <w:bottom w:val="single" w:sz="2" w:space="0" w:color="auto"/>
              <w:right w:val="single" w:sz="2" w:space="0" w:color="auto"/>
            </w:tcBorders>
            <w:vAlign w:val="center"/>
          </w:tcPr>
          <w:p w14:paraId="60D794F4"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497A4987"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097AFB31"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51242CFA"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黑龙江龙大肉食品有限公司</w:t>
            </w:r>
          </w:p>
        </w:tc>
        <w:tc>
          <w:tcPr>
            <w:tcW w:w="1144" w:type="dxa"/>
            <w:tcBorders>
              <w:top w:val="single" w:sz="2" w:space="0" w:color="auto"/>
              <w:left w:val="single" w:sz="2" w:space="0" w:color="auto"/>
              <w:bottom w:val="single" w:sz="2" w:space="0" w:color="auto"/>
              <w:right w:val="single" w:sz="2" w:space="0" w:color="auto"/>
            </w:tcBorders>
            <w:vAlign w:val="center"/>
          </w:tcPr>
          <w:p w14:paraId="73DE5559"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2023</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01</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13</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337D3211"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15,000</w:t>
            </w:r>
          </w:p>
        </w:tc>
        <w:tc>
          <w:tcPr>
            <w:tcW w:w="1134" w:type="dxa"/>
            <w:tcBorders>
              <w:top w:val="single" w:sz="2" w:space="0" w:color="auto"/>
              <w:left w:val="single" w:sz="2" w:space="0" w:color="auto"/>
              <w:bottom w:val="single" w:sz="2" w:space="0" w:color="auto"/>
              <w:right w:val="single" w:sz="2" w:space="0" w:color="auto"/>
            </w:tcBorders>
            <w:vAlign w:val="center"/>
          </w:tcPr>
          <w:p w14:paraId="64F67E08"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2023</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04</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27</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5F4DDA29"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3,000</w:t>
            </w:r>
          </w:p>
        </w:tc>
        <w:tc>
          <w:tcPr>
            <w:tcW w:w="1134" w:type="dxa"/>
            <w:tcBorders>
              <w:top w:val="single" w:sz="2" w:space="0" w:color="auto"/>
              <w:left w:val="single" w:sz="2" w:space="0" w:color="auto"/>
              <w:bottom w:val="single" w:sz="2" w:space="0" w:color="auto"/>
              <w:right w:val="single" w:sz="2" w:space="0" w:color="auto"/>
            </w:tcBorders>
            <w:vAlign w:val="center"/>
          </w:tcPr>
          <w:p w14:paraId="48B74E41" w14:textId="19A2E8B2"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3B41FB04"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6D479567"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6E3B7F29"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2023.04.27-2031.03.31</w:t>
            </w:r>
          </w:p>
        </w:tc>
        <w:tc>
          <w:tcPr>
            <w:tcW w:w="708" w:type="dxa"/>
            <w:tcBorders>
              <w:top w:val="single" w:sz="2" w:space="0" w:color="auto"/>
              <w:left w:val="single" w:sz="2" w:space="0" w:color="auto"/>
              <w:bottom w:val="single" w:sz="2" w:space="0" w:color="auto"/>
              <w:right w:val="single" w:sz="2" w:space="0" w:color="auto"/>
            </w:tcBorders>
            <w:vAlign w:val="center"/>
          </w:tcPr>
          <w:p w14:paraId="7B8A33B7"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7FEEDC00"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088BB830"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4E033EC6"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海南龙大美食有限责任公司</w:t>
            </w:r>
          </w:p>
        </w:tc>
        <w:tc>
          <w:tcPr>
            <w:tcW w:w="1144" w:type="dxa"/>
            <w:tcBorders>
              <w:top w:val="single" w:sz="2" w:space="0" w:color="auto"/>
              <w:left w:val="single" w:sz="2" w:space="0" w:color="auto"/>
              <w:bottom w:val="single" w:sz="2" w:space="0" w:color="auto"/>
              <w:right w:val="single" w:sz="2" w:space="0" w:color="auto"/>
            </w:tcBorders>
            <w:vAlign w:val="center"/>
          </w:tcPr>
          <w:p w14:paraId="6D8BFFB4"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2EDD8B10"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21,600</w:t>
            </w:r>
          </w:p>
        </w:tc>
        <w:tc>
          <w:tcPr>
            <w:tcW w:w="1134" w:type="dxa"/>
            <w:tcBorders>
              <w:top w:val="single" w:sz="2" w:space="0" w:color="auto"/>
              <w:left w:val="single" w:sz="2" w:space="0" w:color="auto"/>
              <w:bottom w:val="single" w:sz="2" w:space="0" w:color="auto"/>
              <w:right w:val="single" w:sz="2" w:space="0" w:color="auto"/>
            </w:tcBorders>
            <w:vAlign w:val="center"/>
          </w:tcPr>
          <w:p w14:paraId="042CA33B"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2023</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04</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03</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3F7ECDAC"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372.1</w:t>
            </w:r>
          </w:p>
        </w:tc>
        <w:tc>
          <w:tcPr>
            <w:tcW w:w="1134" w:type="dxa"/>
            <w:tcBorders>
              <w:top w:val="single" w:sz="2" w:space="0" w:color="auto"/>
              <w:left w:val="single" w:sz="2" w:space="0" w:color="auto"/>
              <w:bottom w:val="single" w:sz="2" w:space="0" w:color="auto"/>
              <w:right w:val="single" w:sz="2" w:space="0" w:color="auto"/>
            </w:tcBorders>
            <w:vAlign w:val="center"/>
          </w:tcPr>
          <w:p w14:paraId="7EA52502" w14:textId="19C5A3A6"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2089C2A7"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5FFD3D22"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111F3199"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2023.04.03-2030.06.21</w:t>
            </w:r>
          </w:p>
        </w:tc>
        <w:tc>
          <w:tcPr>
            <w:tcW w:w="708" w:type="dxa"/>
            <w:tcBorders>
              <w:top w:val="single" w:sz="2" w:space="0" w:color="auto"/>
              <w:left w:val="single" w:sz="2" w:space="0" w:color="auto"/>
              <w:bottom w:val="single" w:sz="2" w:space="0" w:color="auto"/>
              <w:right w:val="single" w:sz="2" w:space="0" w:color="auto"/>
            </w:tcBorders>
            <w:vAlign w:val="center"/>
          </w:tcPr>
          <w:p w14:paraId="74BE71CD"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是</w:t>
            </w:r>
          </w:p>
        </w:tc>
        <w:tc>
          <w:tcPr>
            <w:tcW w:w="672" w:type="dxa"/>
            <w:tcBorders>
              <w:top w:val="single" w:sz="2" w:space="0" w:color="auto"/>
              <w:left w:val="single" w:sz="2" w:space="0" w:color="auto"/>
              <w:bottom w:val="single" w:sz="2" w:space="0" w:color="auto"/>
              <w:right w:val="single" w:sz="2" w:space="0" w:color="auto"/>
            </w:tcBorders>
            <w:vAlign w:val="center"/>
          </w:tcPr>
          <w:p w14:paraId="4920C0A8"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410358F1"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7325C407"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海南龙大美食有限责任公司</w:t>
            </w:r>
          </w:p>
        </w:tc>
        <w:tc>
          <w:tcPr>
            <w:tcW w:w="1144" w:type="dxa"/>
            <w:tcBorders>
              <w:top w:val="single" w:sz="2" w:space="0" w:color="auto"/>
              <w:left w:val="single" w:sz="2" w:space="0" w:color="auto"/>
              <w:bottom w:val="single" w:sz="2" w:space="0" w:color="auto"/>
              <w:right w:val="single" w:sz="2" w:space="0" w:color="auto"/>
            </w:tcBorders>
            <w:vAlign w:val="center"/>
          </w:tcPr>
          <w:p w14:paraId="0ADE4266"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0BA5EE4B"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21,600</w:t>
            </w:r>
          </w:p>
        </w:tc>
        <w:tc>
          <w:tcPr>
            <w:tcW w:w="1134" w:type="dxa"/>
            <w:tcBorders>
              <w:top w:val="single" w:sz="2" w:space="0" w:color="auto"/>
              <w:left w:val="single" w:sz="2" w:space="0" w:color="auto"/>
              <w:bottom w:val="single" w:sz="2" w:space="0" w:color="auto"/>
              <w:right w:val="single" w:sz="2" w:space="0" w:color="auto"/>
            </w:tcBorders>
            <w:vAlign w:val="center"/>
          </w:tcPr>
          <w:p w14:paraId="77B35F4D"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2023</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04</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03</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375C05AF"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2,144.22</w:t>
            </w:r>
          </w:p>
        </w:tc>
        <w:tc>
          <w:tcPr>
            <w:tcW w:w="1134" w:type="dxa"/>
            <w:tcBorders>
              <w:top w:val="single" w:sz="2" w:space="0" w:color="auto"/>
              <w:left w:val="single" w:sz="2" w:space="0" w:color="auto"/>
              <w:bottom w:val="single" w:sz="2" w:space="0" w:color="auto"/>
              <w:right w:val="single" w:sz="2" w:space="0" w:color="auto"/>
            </w:tcBorders>
            <w:vAlign w:val="center"/>
          </w:tcPr>
          <w:p w14:paraId="6052D606" w14:textId="4E23C682"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64E9A102"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71D2BB17"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3C605ABD"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2023.04.03-2030.06.21</w:t>
            </w:r>
          </w:p>
        </w:tc>
        <w:tc>
          <w:tcPr>
            <w:tcW w:w="708" w:type="dxa"/>
            <w:tcBorders>
              <w:top w:val="single" w:sz="2" w:space="0" w:color="auto"/>
              <w:left w:val="single" w:sz="2" w:space="0" w:color="auto"/>
              <w:bottom w:val="single" w:sz="2" w:space="0" w:color="auto"/>
              <w:right w:val="single" w:sz="2" w:space="0" w:color="auto"/>
            </w:tcBorders>
            <w:vAlign w:val="center"/>
          </w:tcPr>
          <w:p w14:paraId="5785E863"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4731151A"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02D16B2F"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3877EEDE"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海南龙大美食有限责任公司</w:t>
            </w:r>
          </w:p>
        </w:tc>
        <w:tc>
          <w:tcPr>
            <w:tcW w:w="1144" w:type="dxa"/>
            <w:tcBorders>
              <w:top w:val="single" w:sz="2" w:space="0" w:color="auto"/>
              <w:left w:val="single" w:sz="2" w:space="0" w:color="auto"/>
              <w:bottom w:val="single" w:sz="2" w:space="0" w:color="auto"/>
              <w:right w:val="single" w:sz="2" w:space="0" w:color="auto"/>
            </w:tcBorders>
            <w:vAlign w:val="center"/>
          </w:tcPr>
          <w:p w14:paraId="6C1381E7"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436B7128"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21,600</w:t>
            </w:r>
          </w:p>
        </w:tc>
        <w:tc>
          <w:tcPr>
            <w:tcW w:w="1134" w:type="dxa"/>
            <w:tcBorders>
              <w:top w:val="single" w:sz="2" w:space="0" w:color="auto"/>
              <w:left w:val="single" w:sz="2" w:space="0" w:color="auto"/>
              <w:bottom w:val="single" w:sz="2" w:space="0" w:color="auto"/>
              <w:right w:val="single" w:sz="2" w:space="0" w:color="auto"/>
            </w:tcBorders>
            <w:vAlign w:val="center"/>
          </w:tcPr>
          <w:p w14:paraId="0BE0D74A"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2023</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05</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23</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4BAFD77F"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976.59</w:t>
            </w:r>
          </w:p>
        </w:tc>
        <w:tc>
          <w:tcPr>
            <w:tcW w:w="1134" w:type="dxa"/>
            <w:tcBorders>
              <w:top w:val="single" w:sz="2" w:space="0" w:color="auto"/>
              <w:left w:val="single" w:sz="2" w:space="0" w:color="auto"/>
              <w:bottom w:val="single" w:sz="2" w:space="0" w:color="auto"/>
              <w:right w:val="single" w:sz="2" w:space="0" w:color="auto"/>
            </w:tcBorders>
            <w:vAlign w:val="center"/>
          </w:tcPr>
          <w:p w14:paraId="33EB0405" w14:textId="4D8353B3"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5A060856"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347AA0E3"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5F7AEF8B"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2023.04.03-2030.06.21</w:t>
            </w:r>
          </w:p>
        </w:tc>
        <w:tc>
          <w:tcPr>
            <w:tcW w:w="708" w:type="dxa"/>
            <w:tcBorders>
              <w:top w:val="single" w:sz="2" w:space="0" w:color="auto"/>
              <w:left w:val="single" w:sz="2" w:space="0" w:color="auto"/>
              <w:bottom w:val="single" w:sz="2" w:space="0" w:color="auto"/>
              <w:right w:val="single" w:sz="2" w:space="0" w:color="auto"/>
            </w:tcBorders>
            <w:vAlign w:val="center"/>
          </w:tcPr>
          <w:p w14:paraId="0A44817D"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012851A9"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03E37F76"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370992B0"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海南龙大美食有限责任公司</w:t>
            </w:r>
          </w:p>
        </w:tc>
        <w:tc>
          <w:tcPr>
            <w:tcW w:w="1144" w:type="dxa"/>
            <w:tcBorders>
              <w:top w:val="single" w:sz="2" w:space="0" w:color="auto"/>
              <w:left w:val="single" w:sz="2" w:space="0" w:color="auto"/>
              <w:bottom w:val="single" w:sz="2" w:space="0" w:color="auto"/>
              <w:right w:val="single" w:sz="2" w:space="0" w:color="auto"/>
            </w:tcBorders>
            <w:vAlign w:val="center"/>
          </w:tcPr>
          <w:p w14:paraId="054D3A26"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7EBC849D"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21,600</w:t>
            </w:r>
          </w:p>
        </w:tc>
        <w:tc>
          <w:tcPr>
            <w:tcW w:w="1134" w:type="dxa"/>
            <w:tcBorders>
              <w:top w:val="single" w:sz="2" w:space="0" w:color="auto"/>
              <w:left w:val="single" w:sz="2" w:space="0" w:color="auto"/>
              <w:bottom w:val="single" w:sz="2" w:space="0" w:color="auto"/>
              <w:right w:val="single" w:sz="2" w:space="0" w:color="auto"/>
            </w:tcBorders>
            <w:vAlign w:val="center"/>
          </w:tcPr>
          <w:p w14:paraId="21387FCF"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2023</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06</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15</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0F8BFCF2"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1,258.01</w:t>
            </w:r>
          </w:p>
        </w:tc>
        <w:tc>
          <w:tcPr>
            <w:tcW w:w="1134" w:type="dxa"/>
            <w:tcBorders>
              <w:top w:val="single" w:sz="2" w:space="0" w:color="auto"/>
              <w:left w:val="single" w:sz="2" w:space="0" w:color="auto"/>
              <w:bottom w:val="single" w:sz="2" w:space="0" w:color="auto"/>
              <w:right w:val="single" w:sz="2" w:space="0" w:color="auto"/>
            </w:tcBorders>
            <w:vAlign w:val="center"/>
          </w:tcPr>
          <w:p w14:paraId="0873941A" w14:textId="422ED823"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55056829"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4B79C802"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19FAC9C6"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2023.04.03-2030.06.21</w:t>
            </w:r>
          </w:p>
        </w:tc>
        <w:tc>
          <w:tcPr>
            <w:tcW w:w="708" w:type="dxa"/>
            <w:tcBorders>
              <w:top w:val="single" w:sz="2" w:space="0" w:color="auto"/>
              <w:left w:val="single" w:sz="2" w:space="0" w:color="auto"/>
              <w:bottom w:val="single" w:sz="2" w:space="0" w:color="auto"/>
              <w:right w:val="single" w:sz="2" w:space="0" w:color="auto"/>
            </w:tcBorders>
            <w:vAlign w:val="center"/>
          </w:tcPr>
          <w:p w14:paraId="451B6AA0"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47D650B8"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58E4151E"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499D7276"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海南龙大美食有限责任公司</w:t>
            </w:r>
          </w:p>
        </w:tc>
        <w:tc>
          <w:tcPr>
            <w:tcW w:w="1144" w:type="dxa"/>
            <w:tcBorders>
              <w:top w:val="single" w:sz="2" w:space="0" w:color="auto"/>
              <w:left w:val="single" w:sz="2" w:space="0" w:color="auto"/>
              <w:bottom w:val="single" w:sz="2" w:space="0" w:color="auto"/>
              <w:right w:val="single" w:sz="2" w:space="0" w:color="auto"/>
            </w:tcBorders>
            <w:vAlign w:val="center"/>
          </w:tcPr>
          <w:p w14:paraId="383CF33B"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154BFA86"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21,600</w:t>
            </w:r>
          </w:p>
        </w:tc>
        <w:tc>
          <w:tcPr>
            <w:tcW w:w="1134" w:type="dxa"/>
            <w:tcBorders>
              <w:top w:val="single" w:sz="2" w:space="0" w:color="auto"/>
              <w:left w:val="single" w:sz="2" w:space="0" w:color="auto"/>
              <w:bottom w:val="single" w:sz="2" w:space="0" w:color="auto"/>
              <w:right w:val="single" w:sz="2" w:space="0" w:color="auto"/>
            </w:tcBorders>
            <w:vAlign w:val="center"/>
          </w:tcPr>
          <w:p w14:paraId="1ED6A339"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2023</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07</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25</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2B40928E"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731.82</w:t>
            </w:r>
          </w:p>
        </w:tc>
        <w:tc>
          <w:tcPr>
            <w:tcW w:w="1134" w:type="dxa"/>
            <w:tcBorders>
              <w:top w:val="single" w:sz="2" w:space="0" w:color="auto"/>
              <w:left w:val="single" w:sz="2" w:space="0" w:color="auto"/>
              <w:bottom w:val="single" w:sz="2" w:space="0" w:color="auto"/>
              <w:right w:val="single" w:sz="2" w:space="0" w:color="auto"/>
            </w:tcBorders>
            <w:vAlign w:val="center"/>
          </w:tcPr>
          <w:p w14:paraId="67432B0C" w14:textId="1A2695F4"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16D766EB"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60940D00"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2AC3ABB8"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2023.04.03-2030.06.21</w:t>
            </w:r>
          </w:p>
        </w:tc>
        <w:tc>
          <w:tcPr>
            <w:tcW w:w="708" w:type="dxa"/>
            <w:tcBorders>
              <w:top w:val="single" w:sz="2" w:space="0" w:color="auto"/>
              <w:left w:val="single" w:sz="2" w:space="0" w:color="auto"/>
              <w:bottom w:val="single" w:sz="2" w:space="0" w:color="auto"/>
              <w:right w:val="single" w:sz="2" w:space="0" w:color="auto"/>
            </w:tcBorders>
            <w:vAlign w:val="center"/>
          </w:tcPr>
          <w:p w14:paraId="2F9F68D8"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1185E663"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0649434B"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410AFFBB"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海南龙大美食有限责任公司</w:t>
            </w:r>
          </w:p>
        </w:tc>
        <w:tc>
          <w:tcPr>
            <w:tcW w:w="1144" w:type="dxa"/>
            <w:tcBorders>
              <w:top w:val="single" w:sz="2" w:space="0" w:color="auto"/>
              <w:left w:val="single" w:sz="2" w:space="0" w:color="auto"/>
              <w:bottom w:val="single" w:sz="2" w:space="0" w:color="auto"/>
              <w:right w:val="single" w:sz="2" w:space="0" w:color="auto"/>
            </w:tcBorders>
            <w:vAlign w:val="center"/>
          </w:tcPr>
          <w:p w14:paraId="5E018EFC"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7CD74285"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21,600</w:t>
            </w:r>
          </w:p>
        </w:tc>
        <w:tc>
          <w:tcPr>
            <w:tcW w:w="1134" w:type="dxa"/>
            <w:tcBorders>
              <w:top w:val="single" w:sz="2" w:space="0" w:color="auto"/>
              <w:left w:val="single" w:sz="2" w:space="0" w:color="auto"/>
              <w:bottom w:val="single" w:sz="2" w:space="0" w:color="auto"/>
              <w:right w:val="single" w:sz="2" w:space="0" w:color="auto"/>
            </w:tcBorders>
            <w:vAlign w:val="center"/>
          </w:tcPr>
          <w:p w14:paraId="691FD483"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2023</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22</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05288A86"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100.47</w:t>
            </w:r>
          </w:p>
        </w:tc>
        <w:tc>
          <w:tcPr>
            <w:tcW w:w="1134" w:type="dxa"/>
            <w:tcBorders>
              <w:top w:val="single" w:sz="2" w:space="0" w:color="auto"/>
              <w:left w:val="single" w:sz="2" w:space="0" w:color="auto"/>
              <w:bottom w:val="single" w:sz="2" w:space="0" w:color="auto"/>
              <w:right w:val="single" w:sz="2" w:space="0" w:color="auto"/>
            </w:tcBorders>
            <w:vAlign w:val="center"/>
          </w:tcPr>
          <w:p w14:paraId="7F56DD7D" w14:textId="55535FF2"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427C080F"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2B4E06D6"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6B68FBFB"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2023.04.03-2030.06.21</w:t>
            </w:r>
          </w:p>
        </w:tc>
        <w:tc>
          <w:tcPr>
            <w:tcW w:w="708" w:type="dxa"/>
            <w:tcBorders>
              <w:top w:val="single" w:sz="2" w:space="0" w:color="auto"/>
              <w:left w:val="single" w:sz="2" w:space="0" w:color="auto"/>
              <w:bottom w:val="single" w:sz="2" w:space="0" w:color="auto"/>
              <w:right w:val="single" w:sz="2" w:space="0" w:color="auto"/>
            </w:tcBorders>
            <w:vAlign w:val="center"/>
          </w:tcPr>
          <w:p w14:paraId="3597CDE3"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1BC24121"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3CC064DC"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43A73F7B"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海南龙大美食有限责任公司</w:t>
            </w:r>
          </w:p>
        </w:tc>
        <w:tc>
          <w:tcPr>
            <w:tcW w:w="1144" w:type="dxa"/>
            <w:tcBorders>
              <w:top w:val="single" w:sz="2" w:space="0" w:color="auto"/>
              <w:left w:val="single" w:sz="2" w:space="0" w:color="auto"/>
              <w:bottom w:val="single" w:sz="2" w:space="0" w:color="auto"/>
              <w:right w:val="single" w:sz="2" w:space="0" w:color="auto"/>
            </w:tcBorders>
            <w:vAlign w:val="center"/>
          </w:tcPr>
          <w:p w14:paraId="023B241C"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31E4F228"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21,600</w:t>
            </w:r>
          </w:p>
        </w:tc>
        <w:tc>
          <w:tcPr>
            <w:tcW w:w="1134" w:type="dxa"/>
            <w:tcBorders>
              <w:top w:val="single" w:sz="2" w:space="0" w:color="auto"/>
              <w:left w:val="single" w:sz="2" w:space="0" w:color="auto"/>
              <w:bottom w:val="single" w:sz="2" w:space="0" w:color="auto"/>
              <w:right w:val="single" w:sz="2" w:space="0" w:color="auto"/>
            </w:tcBorders>
            <w:vAlign w:val="center"/>
          </w:tcPr>
          <w:p w14:paraId="372AB3EA"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2023</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30</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7C44D825"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794.87</w:t>
            </w:r>
          </w:p>
        </w:tc>
        <w:tc>
          <w:tcPr>
            <w:tcW w:w="1134" w:type="dxa"/>
            <w:tcBorders>
              <w:top w:val="single" w:sz="2" w:space="0" w:color="auto"/>
              <w:left w:val="single" w:sz="2" w:space="0" w:color="auto"/>
              <w:bottom w:val="single" w:sz="2" w:space="0" w:color="auto"/>
              <w:right w:val="single" w:sz="2" w:space="0" w:color="auto"/>
            </w:tcBorders>
            <w:vAlign w:val="center"/>
          </w:tcPr>
          <w:p w14:paraId="7824EFDC" w14:textId="7A94AA7E"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3C12C4D5"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3715E73C"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5E54CA0D"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2023.04.03-2030.06.21</w:t>
            </w:r>
          </w:p>
        </w:tc>
        <w:tc>
          <w:tcPr>
            <w:tcW w:w="708" w:type="dxa"/>
            <w:tcBorders>
              <w:top w:val="single" w:sz="2" w:space="0" w:color="auto"/>
              <w:left w:val="single" w:sz="2" w:space="0" w:color="auto"/>
              <w:bottom w:val="single" w:sz="2" w:space="0" w:color="auto"/>
              <w:right w:val="single" w:sz="2" w:space="0" w:color="auto"/>
            </w:tcBorders>
            <w:vAlign w:val="center"/>
          </w:tcPr>
          <w:p w14:paraId="75D84C15"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05EBA909"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54B04E9C"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3BEA144E"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海南龙大美食有限责任公司</w:t>
            </w:r>
          </w:p>
        </w:tc>
        <w:tc>
          <w:tcPr>
            <w:tcW w:w="1144" w:type="dxa"/>
            <w:tcBorders>
              <w:top w:val="single" w:sz="2" w:space="0" w:color="auto"/>
              <w:left w:val="single" w:sz="2" w:space="0" w:color="auto"/>
              <w:bottom w:val="single" w:sz="2" w:space="0" w:color="auto"/>
              <w:right w:val="single" w:sz="2" w:space="0" w:color="auto"/>
            </w:tcBorders>
            <w:vAlign w:val="center"/>
          </w:tcPr>
          <w:p w14:paraId="1E19B9A6"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5BF3C974"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21,600</w:t>
            </w:r>
          </w:p>
        </w:tc>
        <w:tc>
          <w:tcPr>
            <w:tcW w:w="1134" w:type="dxa"/>
            <w:tcBorders>
              <w:top w:val="single" w:sz="2" w:space="0" w:color="auto"/>
              <w:left w:val="single" w:sz="2" w:space="0" w:color="auto"/>
              <w:bottom w:val="single" w:sz="2" w:space="0" w:color="auto"/>
              <w:right w:val="single" w:sz="2" w:space="0" w:color="auto"/>
            </w:tcBorders>
            <w:vAlign w:val="center"/>
          </w:tcPr>
          <w:p w14:paraId="3284512A"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01</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05</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192A92EC"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1,954.49</w:t>
            </w:r>
          </w:p>
        </w:tc>
        <w:tc>
          <w:tcPr>
            <w:tcW w:w="1134" w:type="dxa"/>
            <w:tcBorders>
              <w:top w:val="single" w:sz="2" w:space="0" w:color="auto"/>
              <w:left w:val="single" w:sz="2" w:space="0" w:color="auto"/>
              <w:bottom w:val="single" w:sz="2" w:space="0" w:color="auto"/>
              <w:right w:val="single" w:sz="2" w:space="0" w:color="auto"/>
            </w:tcBorders>
            <w:vAlign w:val="center"/>
          </w:tcPr>
          <w:p w14:paraId="11533956" w14:textId="345D8CF9"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40CB444D"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51081051"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3D66E52B"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2023.04.03-2030.06.21</w:t>
            </w:r>
          </w:p>
        </w:tc>
        <w:tc>
          <w:tcPr>
            <w:tcW w:w="708" w:type="dxa"/>
            <w:tcBorders>
              <w:top w:val="single" w:sz="2" w:space="0" w:color="auto"/>
              <w:left w:val="single" w:sz="2" w:space="0" w:color="auto"/>
              <w:bottom w:val="single" w:sz="2" w:space="0" w:color="auto"/>
              <w:right w:val="single" w:sz="2" w:space="0" w:color="auto"/>
            </w:tcBorders>
            <w:vAlign w:val="center"/>
          </w:tcPr>
          <w:p w14:paraId="2F72721F"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5490DE63"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7AE42B5A"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0AC49DED"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海南龙大美食有限责任公司</w:t>
            </w:r>
          </w:p>
        </w:tc>
        <w:tc>
          <w:tcPr>
            <w:tcW w:w="1144" w:type="dxa"/>
            <w:tcBorders>
              <w:top w:val="single" w:sz="2" w:space="0" w:color="auto"/>
              <w:left w:val="single" w:sz="2" w:space="0" w:color="auto"/>
              <w:bottom w:val="single" w:sz="2" w:space="0" w:color="auto"/>
              <w:right w:val="single" w:sz="2" w:space="0" w:color="auto"/>
            </w:tcBorders>
            <w:vAlign w:val="center"/>
          </w:tcPr>
          <w:p w14:paraId="33EB4C1D"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64D3C528"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21,600</w:t>
            </w:r>
          </w:p>
        </w:tc>
        <w:tc>
          <w:tcPr>
            <w:tcW w:w="1134" w:type="dxa"/>
            <w:tcBorders>
              <w:top w:val="single" w:sz="2" w:space="0" w:color="auto"/>
              <w:left w:val="single" w:sz="2" w:space="0" w:color="auto"/>
              <w:bottom w:val="single" w:sz="2" w:space="0" w:color="auto"/>
              <w:right w:val="single" w:sz="2" w:space="0" w:color="auto"/>
            </w:tcBorders>
            <w:vAlign w:val="center"/>
          </w:tcPr>
          <w:p w14:paraId="2B3F7A75"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02</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3D4995B3"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1,098.27</w:t>
            </w:r>
          </w:p>
        </w:tc>
        <w:tc>
          <w:tcPr>
            <w:tcW w:w="1134" w:type="dxa"/>
            <w:tcBorders>
              <w:top w:val="single" w:sz="2" w:space="0" w:color="auto"/>
              <w:left w:val="single" w:sz="2" w:space="0" w:color="auto"/>
              <w:bottom w:val="single" w:sz="2" w:space="0" w:color="auto"/>
              <w:right w:val="single" w:sz="2" w:space="0" w:color="auto"/>
            </w:tcBorders>
            <w:vAlign w:val="center"/>
          </w:tcPr>
          <w:p w14:paraId="4B00BA89" w14:textId="03F60733"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7600F0AF"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1D1E5E64"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3117DCB3"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2023.04.03-2030.06.21</w:t>
            </w:r>
          </w:p>
        </w:tc>
        <w:tc>
          <w:tcPr>
            <w:tcW w:w="708" w:type="dxa"/>
            <w:tcBorders>
              <w:top w:val="single" w:sz="2" w:space="0" w:color="auto"/>
              <w:left w:val="single" w:sz="2" w:space="0" w:color="auto"/>
              <w:bottom w:val="single" w:sz="2" w:space="0" w:color="auto"/>
              <w:right w:val="single" w:sz="2" w:space="0" w:color="auto"/>
            </w:tcBorders>
            <w:vAlign w:val="center"/>
          </w:tcPr>
          <w:p w14:paraId="7B7A859B"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26648F8F"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621313FC"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1E6003B3"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海南龙大美食有限责任公司</w:t>
            </w:r>
          </w:p>
        </w:tc>
        <w:tc>
          <w:tcPr>
            <w:tcW w:w="1144" w:type="dxa"/>
            <w:tcBorders>
              <w:top w:val="single" w:sz="2" w:space="0" w:color="auto"/>
              <w:left w:val="single" w:sz="2" w:space="0" w:color="auto"/>
              <w:bottom w:val="single" w:sz="2" w:space="0" w:color="auto"/>
              <w:right w:val="single" w:sz="2" w:space="0" w:color="auto"/>
            </w:tcBorders>
            <w:vAlign w:val="center"/>
          </w:tcPr>
          <w:p w14:paraId="647AA1FF"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4FA5A7C6"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21,600</w:t>
            </w:r>
          </w:p>
        </w:tc>
        <w:tc>
          <w:tcPr>
            <w:tcW w:w="1134" w:type="dxa"/>
            <w:tcBorders>
              <w:top w:val="single" w:sz="2" w:space="0" w:color="auto"/>
              <w:left w:val="single" w:sz="2" w:space="0" w:color="auto"/>
              <w:bottom w:val="single" w:sz="2" w:space="0" w:color="auto"/>
              <w:right w:val="single" w:sz="2" w:space="0" w:color="auto"/>
            </w:tcBorders>
            <w:vAlign w:val="center"/>
          </w:tcPr>
          <w:p w14:paraId="2122459A"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11</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3AD4E349"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135</w:t>
            </w:r>
          </w:p>
        </w:tc>
        <w:tc>
          <w:tcPr>
            <w:tcW w:w="1134" w:type="dxa"/>
            <w:tcBorders>
              <w:top w:val="single" w:sz="2" w:space="0" w:color="auto"/>
              <w:left w:val="single" w:sz="2" w:space="0" w:color="auto"/>
              <w:bottom w:val="single" w:sz="2" w:space="0" w:color="auto"/>
              <w:right w:val="single" w:sz="2" w:space="0" w:color="auto"/>
            </w:tcBorders>
            <w:vAlign w:val="center"/>
          </w:tcPr>
          <w:p w14:paraId="14204628" w14:textId="107EE1BC"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35302FD1"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14A7431D"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6FC66F5F"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2024.10.11-2025.10.09</w:t>
            </w:r>
          </w:p>
        </w:tc>
        <w:tc>
          <w:tcPr>
            <w:tcW w:w="708" w:type="dxa"/>
            <w:tcBorders>
              <w:top w:val="single" w:sz="2" w:space="0" w:color="auto"/>
              <w:left w:val="single" w:sz="2" w:space="0" w:color="auto"/>
              <w:bottom w:val="single" w:sz="2" w:space="0" w:color="auto"/>
              <w:right w:val="single" w:sz="2" w:space="0" w:color="auto"/>
            </w:tcBorders>
            <w:vAlign w:val="center"/>
          </w:tcPr>
          <w:p w14:paraId="2AAB866D"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1150C144"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3EF2980E"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10F292ED"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海南龙大美食有限责任公司</w:t>
            </w:r>
          </w:p>
        </w:tc>
        <w:tc>
          <w:tcPr>
            <w:tcW w:w="1144" w:type="dxa"/>
            <w:tcBorders>
              <w:top w:val="single" w:sz="2" w:space="0" w:color="auto"/>
              <w:left w:val="single" w:sz="2" w:space="0" w:color="auto"/>
              <w:bottom w:val="single" w:sz="2" w:space="0" w:color="auto"/>
              <w:right w:val="single" w:sz="2" w:space="0" w:color="auto"/>
            </w:tcBorders>
            <w:vAlign w:val="center"/>
          </w:tcPr>
          <w:p w14:paraId="44FB428C"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7634D464"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21,600</w:t>
            </w:r>
          </w:p>
        </w:tc>
        <w:tc>
          <w:tcPr>
            <w:tcW w:w="1134" w:type="dxa"/>
            <w:tcBorders>
              <w:top w:val="single" w:sz="2" w:space="0" w:color="auto"/>
              <w:left w:val="single" w:sz="2" w:space="0" w:color="auto"/>
              <w:bottom w:val="single" w:sz="2" w:space="0" w:color="auto"/>
              <w:right w:val="single" w:sz="2" w:space="0" w:color="auto"/>
            </w:tcBorders>
            <w:vAlign w:val="center"/>
          </w:tcPr>
          <w:p w14:paraId="63C4F0DE"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11</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15596E43"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60.43</w:t>
            </w:r>
          </w:p>
        </w:tc>
        <w:tc>
          <w:tcPr>
            <w:tcW w:w="1134" w:type="dxa"/>
            <w:tcBorders>
              <w:top w:val="single" w:sz="2" w:space="0" w:color="auto"/>
              <w:left w:val="single" w:sz="2" w:space="0" w:color="auto"/>
              <w:bottom w:val="single" w:sz="2" w:space="0" w:color="auto"/>
              <w:right w:val="single" w:sz="2" w:space="0" w:color="auto"/>
            </w:tcBorders>
            <w:vAlign w:val="center"/>
          </w:tcPr>
          <w:p w14:paraId="22E7AC40" w14:textId="6EA6913B"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2CC7D7A9"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09A94205"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3D566234"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2024.10.11-2025.10.09</w:t>
            </w:r>
          </w:p>
        </w:tc>
        <w:tc>
          <w:tcPr>
            <w:tcW w:w="708" w:type="dxa"/>
            <w:tcBorders>
              <w:top w:val="single" w:sz="2" w:space="0" w:color="auto"/>
              <w:left w:val="single" w:sz="2" w:space="0" w:color="auto"/>
              <w:bottom w:val="single" w:sz="2" w:space="0" w:color="auto"/>
              <w:right w:val="single" w:sz="2" w:space="0" w:color="auto"/>
            </w:tcBorders>
            <w:vAlign w:val="center"/>
          </w:tcPr>
          <w:p w14:paraId="36023B0F"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0EA083F2"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58CB9B7E"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7BC03350"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海南龙大美食有限责任公司</w:t>
            </w:r>
          </w:p>
        </w:tc>
        <w:tc>
          <w:tcPr>
            <w:tcW w:w="1144" w:type="dxa"/>
            <w:tcBorders>
              <w:top w:val="single" w:sz="2" w:space="0" w:color="auto"/>
              <w:left w:val="single" w:sz="2" w:space="0" w:color="auto"/>
              <w:bottom w:val="single" w:sz="2" w:space="0" w:color="auto"/>
              <w:right w:val="single" w:sz="2" w:space="0" w:color="auto"/>
            </w:tcBorders>
            <w:vAlign w:val="center"/>
          </w:tcPr>
          <w:p w14:paraId="177D894A"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46088DDC"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21,600</w:t>
            </w:r>
          </w:p>
        </w:tc>
        <w:tc>
          <w:tcPr>
            <w:tcW w:w="1134" w:type="dxa"/>
            <w:tcBorders>
              <w:top w:val="single" w:sz="2" w:space="0" w:color="auto"/>
              <w:left w:val="single" w:sz="2" w:space="0" w:color="auto"/>
              <w:bottom w:val="single" w:sz="2" w:space="0" w:color="auto"/>
              <w:right w:val="single" w:sz="2" w:space="0" w:color="auto"/>
            </w:tcBorders>
            <w:vAlign w:val="center"/>
          </w:tcPr>
          <w:p w14:paraId="513710AE"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11</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25</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4887C24B"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72.33</w:t>
            </w:r>
          </w:p>
        </w:tc>
        <w:tc>
          <w:tcPr>
            <w:tcW w:w="1134" w:type="dxa"/>
            <w:tcBorders>
              <w:top w:val="single" w:sz="2" w:space="0" w:color="auto"/>
              <w:left w:val="single" w:sz="2" w:space="0" w:color="auto"/>
              <w:bottom w:val="single" w:sz="2" w:space="0" w:color="auto"/>
              <w:right w:val="single" w:sz="2" w:space="0" w:color="auto"/>
            </w:tcBorders>
            <w:vAlign w:val="center"/>
          </w:tcPr>
          <w:p w14:paraId="1B35A458" w14:textId="071E7D86"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73EE896D"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211B030D"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2450C54B"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2024.11.25-2025.11.19</w:t>
            </w:r>
          </w:p>
        </w:tc>
        <w:tc>
          <w:tcPr>
            <w:tcW w:w="708" w:type="dxa"/>
            <w:tcBorders>
              <w:top w:val="single" w:sz="2" w:space="0" w:color="auto"/>
              <w:left w:val="single" w:sz="2" w:space="0" w:color="auto"/>
              <w:bottom w:val="single" w:sz="2" w:space="0" w:color="auto"/>
              <w:right w:val="single" w:sz="2" w:space="0" w:color="auto"/>
            </w:tcBorders>
            <w:vAlign w:val="center"/>
          </w:tcPr>
          <w:p w14:paraId="49AD913B"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22A96D1C"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69E417CB"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16192630"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海南龙大美食有限责任公司</w:t>
            </w:r>
          </w:p>
        </w:tc>
        <w:tc>
          <w:tcPr>
            <w:tcW w:w="1144" w:type="dxa"/>
            <w:tcBorders>
              <w:top w:val="single" w:sz="2" w:space="0" w:color="auto"/>
              <w:left w:val="single" w:sz="2" w:space="0" w:color="auto"/>
              <w:bottom w:val="single" w:sz="2" w:space="0" w:color="auto"/>
              <w:right w:val="single" w:sz="2" w:space="0" w:color="auto"/>
            </w:tcBorders>
            <w:vAlign w:val="center"/>
          </w:tcPr>
          <w:p w14:paraId="5DDACB1D"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2DAF02E9"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21,600</w:t>
            </w:r>
          </w:p>
        </w:tc>
        <w:tc>
          <w:tcPr>
            <w:tcW w:w="1134" w:type="dxa"/>
            <w:tcBorders>
              <w:top w:val="single" w:sz="2" w:space="0" w:color="auto"/>
              <w:left w:val="single" w:sz="2" w:space="0" w:color="auto"/>
              <w:bottom w:val="single" w:sz="2" w:space="0" w:color="auto"/>
              <w:right w:val="single" w:sz="2" w:space="0" w:color="auto"/>
            </w:tcBorders>
            <w:vAlign w:val="center"/>
          </w:tcPr>
          <w:p w14:paraId="2E0F6349"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11</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28</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1F60BBAB"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12.45</w:t>
            </w:r>
          </w:p>
        </w:tc>
        <w:tc>
          <w:tcPr>
            <w:tcW w:w="1134" w:type="dxa"/>
            <w:tcBorders>
              <w:top w:val="single" w:sz="2" w:space="0" w:color="auto"/>
              <w:left w:val="single" w:sz="2" w:space="0" w:color="auto"/>
              <w:bottom w:val="single" w:sz="2" w:space="0" w:color="auto"/>
              <w:right w:val="single" w:sz="2" w:space="0" w:color="auto"/>
            </w:tcBorders>
            <w:vAlign w:val="center"/>
          </w:tcPr>
          <w:p w14:paraId="5D0C41EC" w14:textId="37C21F2C"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3A49DA6B"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3E4D12FD"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2DDE3EC4"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2024.11.28-2025.11.26</w:t>
            </w:r>
          </w:p>
        </w:tc>
        <w:tc>
          <w:tcPr>
            <w:tcW w:w="708" w:type="dxa"/>
            <w:tcBorders>
              <w:top w:val="single" w:sz="2" w:space="0" w:color="auto"/>
              <w:left w:val="single" w:sz="2" w:space="0" w:color="auto"/>
              <w:bottom w:val="single" w:sz="2" w:space="0" w:color="auto"/>
              <w:right w:val="single" w:sz="2" w:space="0" w:color="auto"/>
            </w:tcBorders>
            <w:vAlign w:val="center"/>
          </w:tcPr>
          <w:p w14:paraId="421AAA4A"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14039E7F"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2F652ACB"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6E71C6A5"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海南龙大美食有限责任公司</w:t>
            </w:r>
          </w:p>
        </w:tc>
        <w:tc>
          <w:tcPr>
            <w:tcW w:w="1144" w:type="dxa"/>
            <w:tcBorders>
              <w:top w:val="single" w:sz="2" w:space="0" w:color="auto"/>
              <w:left w:val="single" w:sz="2" w:space="0" w:color="auto"/>
              <w:bottom w:val="single" w:sz="2" w:space="0" w:color="auto"/>
              <w:right w:val="single" w:sz="2" w:space="0" w:color="auto"/>
            </w:tcBorders>
            <w:vAlign w:val="center"/>
          </w:tcPr>
          <w:p w14:paraId="1DDEAA78"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023E8142"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21,600</w:t>
            </w:r>
          </w:p>
        </w:tc>
        <w:tc>
          <w:tcPr>
            <w:tcW w:w="1134" w:type="dxa"/>
            <w:tcBorders>
              <w:top w:val="single" w:sz="2" w:space="0" w:color="auto"/>
              <w:left w:val="single" w:sz="2" w:space="0" w:color="auto"/>
              <w:bottom w:val="single" w:sz="2" w:space="0" w:color="auto"/>
              <w:right w:val="single" w:sz="2" w:space="0" w:color="auto"/>
            </w:tcBorders>
            <w:vAlign w:val="center"/>
          </w:tcPr>
          <w:p w14:paraId="32F17547"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11</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28</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742CF664"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17.98</w:t>
            </w:r>
          </w:p>
        </w:tc>
        <w:tc>
          <w:tcPr>
            <w:tcW w:w="1134" w:type="dxa"/>
            <w:tcBorders>
              <w:top w:val="single" w:sz="2" w:space="0" w:color="auto"/>
              <w:left w:val="single" w:sz="2" w:space="0" w:color="auto"/>
              <w:bottom w:val="single" w:sz="2" w:space="0" w:color="auto"/>
              <w:right w:val="single" w:sz="2" w:space="0" w:color="auto"/>
            </w:tcBorders>
            <w:vAlign w:val="center"/>
          </w:tcPr>
          <w:p w14:paraId="7BF543C0" w14:textId="2D32BC3E"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0B350C79"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0D2C2AD8"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72744C60"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2024.11.28-2025.11.26</w:t>
            </w:r>
          </w:p>
        </w:tc>
        <w:tc>
          <w:tcPr>
            <w:tcW w:w="708" w:type="dxa"/>
            <w:tcBorders>
              <w:top w:val="single" w:sz="2" w:space="0" w:color="auto"/>
              <w:left w:val="single" w:sz="2" w:space="0" w:color="auto"/>
              <w:bottom w:val="single" w:sz="2" w:space="0" w:color="auto"/>
              <w:right w:val="single" w:sz="2" w:space="0" w:color="auto"/>
            </w:tcBorders>
            <w:vAlign w:val="center"/>
          </w:tcPr>
          <w:p w14:paraId="72A2E9A5"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6EEA58FF"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025F682D"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572786D6"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海南龙大美食有限责任公司</w:t>
            </w:r>
          </w:p>
        </w:tc>
        <w:tc>
          <w:tcPr>
            <w:tcW w:w="1144" w:type="dxa"/>
            <w:tcBorders>
              <w:top w:val="single" w:sz="2" w:space="0" w:color="auto"/>
              <w:left w:val="single" w:sz="2" w:space="0" w:color="auto"/>
              <w:bottom w:val="single" w:sz="2" w:space="0" w:color="auto"/>
              <w:right w:val="single" w:sz="2" w:space="0" w:color="auto"/>
            </w:tcBorders>
            <w:vAlign w:val="center"/>
          </w:tcPr>
          <w:p w14:paraId="226C9876"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3B219CBE"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21,600</w:t>
            </w:r>
          </w:p>
        </w:tc>
        <w:tc>
          <w:tcPr>
            <w:tcW w:w="1134" w:type="dxa"/>
            <w:tcBorders>
              <w:top w:val="single" w:sz="2" w:space="0" w:color="auto"/>
              <w:left w:val="single" w:sz="2" w:space="0" w:color="auto"/>
              <w:bottom w:val="single" w:sz="2" w:space="0" w:color="auto"/>
              <w:right w:val="single" w:sz="2" w:space="0" w:color="auto"/>
            </w:tcBorders>
            <w:vAlign w:val="center"/>
          </w:tcPr>
          <w:p w14:paraId="1386EF81"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05</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3A9EF078"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8.5</w:t>
            </w:r>
          </w:p>
        </w:tc>
        <w:tc>
          <w:tcPr>
            <w:tcW w:w="1134" w:type="dxa"/>
            <w:tcBorders>
              <w:top w:val="single" w:sz="2" w:space="0" w:color="auto"/>
              <w:left w:val="single" w:sz="2" w:space="0" w:color="auto"/>
              <w:bottom w:val="single" w:sz="2" w:space="0" w:color="auto"/>
              <w:right w:val="single" w:sz="2" w:space="0" w:color="auto"/>
            </w:tcBorders>
            <w:vAlign w:val="center"/>
          </w:tcPr>
          <w:p w14:paraId="7E7C05CE" w14:textId="0E6C6786"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76F7A459"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1568D58F"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71D57FBA"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2024.12.05-2025.11.27</w:t>
            </w:r>
          </w:p>
        </w:tc>
        <w:tc>
          <w:tcPr>
            <w:tcW w:w="708" w:type="dxa"/>
            <w:tcBorders>
              <w:top w:val="single" w:sz="2" w:space="0" w:color="auto"/>
              <w:left w:val="single" w:sz="2" w:space="0" w:color="auto"/>
              <w:bottom w:val="single" w:sz="2" w:space="0" w:color="auto"/>
              <w:right w:val="single" w:sz="2" w:space="0" w:color="auto"/>
            </w:tcBorders>
            <w:vAlign w:val="center"/>
          </w:tcPr>
          <w:p w14:paraId="2691E5ED"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462E898B"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86B44" w:rsidRPr="005A284F" w14:paraId="5C5885A7"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vAlign w:val="center"/>
          </w:tcPr>
          <w:p w14:paraId="212C2F30"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海南龙大美食有限责任公司</w:t>
            </w:r>
          </w:p>
        </w:tc>
        <w:tc>
          <w:tcPr>
            <w:tcW w:w="1144" w:type="dxa"/>
            <w:tcBorders>
              <w:top w:val="single" w:sz="2" w:space="0" w:color="auto"/>
              <w:left w:val="single" w:sz="2" w:space="0" w:color="auto"/>
              <w:bottom w:val="single" w:sz="2" w:space="0" w:color="auto"/>
              <w:right w:val="single" w:sz="2" w:space="0" w:color="auto"/>
            </w:tcBorders>
            <w:vAlign w:val="center"/>
          </w:tcPr>
          <w:p w14:paraId="371AF7B1"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11</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29</w:t>
            </w:r>
            <w:r w:rsidRPr="005A284F">
              <w:rPr>
                <w:rFonts w:ascii="Times New Roman" w:eastAsia="宋体" w:hAnsi="Times New Roman" w:cs="Times New Roman"/>
                <w:sz w:val="18"/>
                <w:szCs w:val="18"/>
              </w:rPr>
              <w:t>日</w:t>
            </w:r>
          </w:p>
        </w:tc>
        <w:tc>
          <w:tcPr>
            <w:tcW w:w="841" w:type="dxa"/>
            <w:tcBorders>
              <w:top w:val="single" w:sz="2" w:space="0" w:color="auto"/>
              <w:left w:val="single" w:sz="2" w:space="0" w:color="auto"/>
              <w:bottom w:val="single" w:sz="2" w:space="0" w:color="auto"/>
              <w:right w:val="single" w:sz="2" w:space="0" w:color="auto"/>
            </w:tcBorders>
            <w:vAlign w:val="center"/>
          </w:tcPr>
          <w:p w14:paraId="209D1513"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1,000</w:t>
            </w:r>
          </w:p>
        </w:tc>
        <w:tc>
          <w:tcPr>
            <w:tcW w:w="1134" w:type="dxa"/>
            <w:tcBorders>
              <w:top w:val="single" w:sz="2" w:space="0" w:color="auto"/>
              <w:left w:val="single" w:sz="2" w:space="0" w:color="auto"/>
              <w:bottom w:val="single" w:sz="2" w:space="0" w:color="auto"/>
              <w:right w:val="single" w:sz="2" w:space="0" w:color="auto"/>
            </w:tcBorders>
            <w:vAlign w:val="center"/>
          </w:tcPr>
          <w:p w14:paraId="453E303A"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7DCCEEFE"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14:paraId="39F982E1" w14:textId="6FCC40B7" w:rsidR="006E2EAA" w:rsidRPr="005A284F" w:rsidRDefault="006E2EAA" w:rsidP="00D81019">
            <w:pPr>
              <w:spacing w:after="0" w:line="240" w:lineRule="exact"/>
              <w:jc w:val="center"/>
              <w:rPr>
                <w:rFonts w:ascii="Times New Roman" w:eastAsia="宋体" w:hAnsi="Times New Roman" w:cs="Times New Roman"/>
                <w:sz w:val="18"/>
                <w:szCs w:val="18"/>
              </w:rPr>
            </w:pPr>
            <w:r w:rsidRPr="006E2EAA">
              <w:rPr>
                <w:rFonts w:ascii="Times New Roman" w:eastAsia="宋体" w:hAnsi="Times New Roman" w:cs="Times New Roman" w:hint="eastAsia"/>
                <w:sz w:val="18"/>
                <w:szCs w:val="18"/>
              </w:rPr>
              <w:t>连带责任担保</w:t>
            </w:r>
          </w:p>
        </w:tc>
        <w:tc>
          <w:tcPr>
            <w:tcW w:w="709" w:type="dxa"/>
            <w:tcBorders>
              <w:top w:val="single" w:sz="2" w:space="0" w:color="auto"/>
              <w:left w:val="single" w:sz="2" w:space="0" w:color="auto"/>
              <w:bottom w:val="single" w:sz="2" w:space="0" w:color="auto"/>
              <w:right w:val="single" w:sz="2" w:space="0" w:color="auto"/>
            </w:tcBorders>
            <w:vAlign w:val="center"/>
          </w:tcPr>
          <w:p w14:paraId="341ECE47"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718" w:type="dxa"/>
            <w:tcBorders>
              <w:top w:val="single" w:sz="2" w:space="0" w:color="auto"/>
              <w:left w:val="single" w:sz="2" w:space="0" w:color="auto"/>
              <w:bottom w:val="single" w:sz="2" w:space="0" w:color="auto"/>
              <w:right w:val="single" w:sz="2" w:space="0" w:color="auto"/>
            </w:tcBorders>
            <w:vAlign w:val="center"/>
          </w:tcPr>
          <w:p w14:paraId="1CDC39C9" w14:textId="77777777" w:rsidR="006E2EAA" w:rsidRPr="005A284F" w:rsidRDefault="006E2EAA" w:rsidP="00D81019">
            <w:pPr>
              <w:spacing w:after="0" w:line="240" w:lineRule="exact"/>
              <w:jc w:val="center"/>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47A18C24" w14:textId="77777777" w:rsidR="006E2EAA" w:rsidRPr="005A284F" w:rsidRDefault="006E2EAA"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2024.11.29-2025.11.28</w:t>
            </w:r>
          </w:p>
        </w:tc>
        <w:tc>
          <w:tcPr>
            <w:tcW w:w="708" w:type="dxa"/>
            <w:tcBorders>
              <w:top w:val="single" w:sz="2" w:space="0" w:color="auto"/>
              <w:left w:val="single" w:sz="2" w:space="0" w:color="auto"/>
              <w:bottom w:val="single" w:sz="2" w:space="0" w:color="auto"/>
              <w:right w:val="single" w:sz="2" w:space="0" w:color="auto"/>
            </w:tcBorders>
            <w:vAlign w:val="center"/>
          </w:tcPr>
          <w:p w14:paraId="1B8A1CCB"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672" w:type="dxa"/>
            <w:tcBorders>
              <w:top w:val="single" w:sz="2" w:space="0" w:color="auto"/>
              <w:left w:val="single" w:sz="2" w:space="0" w:color="auto"/>
              <w:bottom w:val="single" w:sz="2" w:space="0" w:color="auto"/>
              <w:right w:val="single" w:sz="2" w:space="0" w:color="auto"/>
            </w:tcBorders>
            <w:vAlign w:val="center"/>
          </w:tcPr>
          <w:p w14:paraId="1C7F57D0" w14:textId="77777777" w:rsidR="006E2EAA" w:rsidRPr="005A284F" w:rsidRDefault="006E2EAA" w:rsidP="00686B44">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279ACAC3" w14:textId="77777777" w:rsidTr="00D81019">
        <w:trPr>
          <w:trHeight w:val="240"/>
          <w:jc w:val="center"/>
        </w:trPr>
        <w:tc>
          <w:tcPr>
            <w:tcW w:w="241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B0C2F42"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报告期内审批对子公司担保额度合计（</w:t>
            </w:r>
            <w:r w:rsidRPr="005A284F">
              <w:rPr>
                <w:rFonts w:ascii="Times New Roman" w:eastAsia="宋体" w:hAnsi="Times New Roman" w:cs="Times New Roman"/>
                <w:sz w:val="18"/>
                <w:szCs w:val="18"/>
              </w:rPr>
              <w:t>B1</w:t>
            </w:r>
            <w:r w:rsidRPr="005A284F">
              <w:rPr>
                <w:rFonts w:ascii="Times New Roman" w:eastAsia="宋体" w:hAnsi="Times New Roman" w:cs="Times New Roman"/>
                <w:sz w:val="18"/>
                <w:szCs w:val="18"/>
              </w:rPr>
              <w:t>）</w:t>
            </w:r>
          </w:p>
        </w:tc>
        <w:tc>
          <w:tcPr>
            <w:tcW w:w="1975" w:type="dxa"/>
            <w:gridSpan w:val="2"/>
            <w:tcBorders>
              <w:top w:val="single" w:sz="2" w:space="0" w:color="auto"/>
              <w:left w:val="single" w:sz="2" w:space="0" w:color="auto"/>
              <w:bottom w:val="single" w:sz="2" w:space="0" w:color="auto"/>
              <w:right w:val="single" w:sz="2" w:space="0" w:color="auto"/>
            </w:tcBorders>
            <w:vAlign w:val="center"/>
          </w:tcPr>
          <w:p w14:paraId="2D7DDDC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600,000</w:t>
            </w:r>
          </w:p>
        </w:tc>
        <w:tc>
          <w:tcPr>
            <w:tcW w:w="198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0B1FD39"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报告期内对子公司担保实际发生额合计（</w:t>
            </w:r>
            <w:r w:rsidRPr="005A284F">
              <w:rPr>
                <w:rFonts w:ascii="Times New Roman" w:eastAsia="宋体" w:hAnsi="Times New Roman" w:cs="Times New Roman"/>
                <w:sz w:val="18"/>
                <w:szCs w:val="18"/>
              </w:rPr>
              <w:t>B2</w:t>
            </w:r>
            <w:r w:rsidRPr="005A284F">
              <w:rPr>
                <w:rFonts w:ascii="Times New Roman" w:eastAsia="宋体" w:hAnsi="Times New Roman" w:cs="Times New Roman"/>
                <w:sz w:val="18"/>
                <w:szCs w:val="18"/>
              </w:rPr>
              <w:t>）</w:t>
            </w:r>
          </w:p>
        </w:tc>
        <w:tc>
          <w:tcPr>
            <w:tcW w:w="3800" w:type="dxa"/>
            <w:gridSpan w:val="5"/>
            <w:tcBorders>
              <w:top w:val="single" w:sz="2" w:space="0" w:color="auto"/>
              <w:left w:val="single" w:sz="2" w:space="0" w:color="auto"/>
              <w:bottom w:val="single" w:sz="2" w:space="0" w:color="auto"/>
              <w:right w:val="single" w:sz="2" w:space="0" w:color="auto"/>
            </w:tcBorders>
            <w:vAlign w:val="center"/>
          </w:tcPr>
          <w:p w14:paraId="574C5D0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135,022.05</w:t>
            </w:r>
          </w:p>
        </w:tc>
      </w:tr>
      <w:tr w:rsidR="006C011D" w:rsidRPr="005A284F" w14:paraId="7F1224C7" w14:textId="77777777" w:rsidTr="00D81019">
        <w:trPr>
          <w:trHeight w:val="240"/>
          <w:jc w:val="center"/>
        </w:trPr>
        <w:tc>
          <w:tcPr>
            <w:tcW w:w="241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8616B29"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报告期末已审批的对子公司担保额度合计（</w:t>
            </w:r>
            <w:r w:rsidRPr="005A284F">
              <w:rPr>
                <w:rFonts w:ascii="Times New Roman" w:eastAsia="宋体" w:hAnsi="Times New Roman" w:cs="Times New Roman"/>
                <w:sz w:val="18"/>
                <w:szCs w:val="18"/>
              </w:rPr>
              <w:t>B3</w:t>
            </w:r>
            <w:r w:rsidRPr="005A284F">
              <w:rPr>
                <w:rFonts w:ascii="Times New Roman" w:eastAsia="宋体" w:hAnsi="Times New Roman" w:cs="Times New Roman"/>
                <w:sz w:val="18"/>
                <w:szCs w:val="18"/>
              </w:rPr>
              <w:t>）</w:t>
            </w:r>
          </w:p>
        </w:tc>
        <w:tc>
          <w:tcPr>
            <w:tcW w:w="1975" w:type="dxa"/>
            <w:gridSpan w:val="2"/>
            <w:tcBorders>
              <w:top w:val="single" w:sz="2" w:space="0" w:color="auto"/>
              <w:left w:val="single" w:sz="2" w:space="0" w:color="auto"/>
              <w:bottom w:val="single" w:sz="2" w:space="0" w:color="auto"/>
              <w:right w:val="single" w:sz="2" w:space="0" w:color="auto"/>
            </w:tcBorders>
            <w:vAlign w:val="center"/>
          </w:tcPr>
          <w:p w14:paraId="4C58F94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600,000</w:t>
            </w:r>
          </w:p>
        </w:tc>
        <w:tc>
          <w:tcPr>
            <w:tcW w:w="198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C611775"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报告期末对子公司实际担保余额合计（</w:t>
            </w:r>
            <w:r w:rsidRPr="005A284F">
              <w:rPr>
                <w:rFonts w:ascii="Times New Roman" w:eastAsia="宋体" w:hAnsi="Times New Roman" w:cs="Times New Roman"/>
                <w:sz w:val="18"/>
                <w:szCs w:val="18"/>
              </w:rPr>
              <w:t>B4</w:t>
            </w:r>
            <w:r w:rsidRPr="005A284F">
              <w:rPr>
                <w:rFonts w:ascii="Times New Roman" w:eastAsia="宋体" w:hAnsi="Times New Roman" w:cs="Times New Roman"/>
                <w:sz w:val="18"/>
                <w:szCs w:val="18"/>
              </w:rPr>
              <w:t>）</w:t>
            </w:r>
          </w:p>
        </w:tc>
        <w:tc>
          <w:tcPr>
            <w:tcW w:w="3800" w:type="dxa"/>
            <w:gridSpan w:val="5"/>
            <w:tcBorders>
              <w:top w:val="single" w:sz="2" w:space="0" w:color="auto"/>
              <w:left w:val="single" w:sz="2" w:space="0" w:color="auto"/>
              <w:bottom w:val="single" w:sz="2" w:space="0" w:color="auto"/>
              <w:right w:val="single" w:sz="2" w:space="0" w:color="auto"/>
            </w:tcBorders>
            <w:vAlign w:val="center"/>
          </w:tcPr>
          <w:p w14:paraId="03CD891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102,450.45</w:t>
            </w:r>
          </w:p>
        </w:tc>
      </w:tr>
      <w:tr w:rsidR="006C011D" w:rsidRPr="005A284F" w14:paraId="59E050FD" w14:textId="77777777" w:rsidTr="00D81019">
        <w:trPr>
          <w:trHeight w:val="240"/>
          <w:jc w:val="center"/>
        </w:trPr>
        <w:tc>
          <w:tcPr>
            <w:tcW w:w="10176"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14:paraId="7619E12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子公司对子公司的担保情况</w:t>
            </w:r>
          </w:p>
        </w:tc>
      </w:tr>
      <w:tr w:rsidR="00686B44" w:rsidRPr="005A284F" w14:paraId="01BF0E5D" w14:textId="77777777" w:rsidTr="00D81019">
        <w:trPr>
          <w:trHeight w:val="240"/>
          <w:jc w:val="center"/>
        </w:trPr>
        <w:tc>
          <w:tcPr>
            <w:tcW w:w="1273" w:type="dxa"/>
            <w:tcBorders>
              <w:top w:val="single" w:sz="2" w:space="0" w:color="auto"/>
              <w:left w:val="single" w:sz="2" w:space="0" w:color="auto"/>
              <w:bottom w:val="single" w:sz="2" w:space="0" w:color="auto"/>
              <w:right w:val="single" w:sz="2" w:space="0" w:color="auto"/>
            </w:tcBorders>
            <w:shd w:val="clear" w:color="auto" w:fill="D3D3D3"/>
            <w:vAlign w:val="center"/>
          </w:tcPr>
          <w:p w14:paraId="0D8FEB6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担保对象名称</w:t>
            </w:r>
          </w:p>
        </w:tc>
        <w:tc>
          <w:tcPr>
            <w:tcW w:w="1144" w:type="dxa"/>
            <w:tcBorders>
              <w:top w:val="single" w:sz="2" w:space="0" w:color="auto"/>
              <w:left w:val="single" w:sz="2" w:space="0" w:color="auto"/>
              <w:bottom w:val="single" w:sz="2" w:space="0" w:color="auto"/>
              <w:right w:val="single" w:sz="2" w:space="0" w:color="auto"/>
            </w:tcBorders>
            <w:shd w:val="clear" w:color="auto" w:fill="D3D3D3"/>
            <w:vAlign w:val="center"/>
          </w:tcPr>
          <w:p w14:paraId="6547958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担保额度相关公告披露日期</w:t>
            </w:r>
          </w:p>
        </w:tc>
        <w:tc>
          <w:tcPr>
            <w:tcW w:w="841" w:type="dxa"/>
            <w:tcBorders>
              <w:top w:val="single" w:sz="2" w:space="0" w:color="auto"/>
              <w:left w:val="single" w:sz="2" w:space="0" w:color="auto"/>
              <w:bottom w:val="single" w:sz="2" w:space="0" w:color="auto"/>
              <w:right w:val="single" w:sz="2" w:space="0" w:color="auto"/>
            </w:tcBorders>
            <w:shd w:val="clear" w:color="auto" w:fill="D3D3D3"/>
            <w:vAlign w:val="center"/>
          </w:tcPr>
          <w:p w14:paraId="0641441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担保额度</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10DD5E6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实际发生日期</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177C470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实际担保金额</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15BE943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担保类型</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4B47E6C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担保物（如有）</w:t>
            </w:r>
          </w:p>
        </w:tc>
        <w:tc>
          <w:tcPr>
            <w:tcW w:w="718" w:type="dxa"/>
            <w:tcBorders>
              <w:top w:val="single" w:sz="2" w:space="0" w:color="auto"/>
              <w:left w:val="single" w:sz="2" w:space="0" w:color="auto"/>
              <w:bottom w:val="single" w:sz="2" w:space="0" w:color="auto"/>
              <w:right w:val="single" w:sz="2" w:space="0" w:color="auto"/>
            </w:tcBorders>
            <w:shd w:val="clear" w:color="auto" w:fill="D3D3D3"/>
            <w:vAlign w:val="center"/>
          </w:tcPr>
          <w:p w14:paraId="206E3FD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反担保情况（如有）</w:t>
            </w: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4094984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担保期</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14:paraId="1FA31FA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是否履行完毕</w:t>
            </w:r>
          </w:p>
        </w:tc>
        <w:tc>
          <w:tcPr>
            <w:tcW w:w="672" w:type="dxa"/>
            <w:tcBorders>
              <w:top w:val="single" w:sz="2" w:space="0" w:color="auto"/>
              <w:left w:val="single" w:sz="2" w:space="0" w:color="auto"/>
              <w:bottom w:val="single" w:sz="2" w:space="0" w:color="auto"/>
              <w:right w:val="single" w:sz="2" w:space="0" w:color="auto"/>
            </w:tcBorders>
            <w:shd w:val="clear" w:color="auto" w:fill="D3D3D3"/>
            <w:vAlign w:val="center"/>
          </w:tcPr>
          <w:p w14:paraId="5002428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是否为关联方担保</w:t>
            </w:r>
          </w:p>
        </w:tc>
      </w:tr>
      <w:tr w:rsidR="006C011D" w:rsidRPr="005A284F" w14:paraId="0D6BDC53" w14:textId="77777777" w:rsidTr="00D81019">
        <w:trPr>
          <w:trHeight w:val="240"/>
          <w:jc w:val="center"/>
        </w:trPr>
        <w:tc>
          <w:tcPr>
            <w:tcW w:w="241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996A6AE"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报告期内审批对子公司担保额度合计（</w:t>
            </w:r>
            <w:r w:rsidRPr="005A284F">
              <w:rPr>
                <w:rFonts w:ascii="Times New Roman" w:eastAsia="宋体" w:hAnsi="Times New Roman" w:cs="Times New Roman"/>
                <w:sz w:val="18"/>
                <w:szCs w:val="18"/>
              </w:rPr>
              <w:t>C1</w:t>
            </w:r>
            <w:r w:rsidRPr="005A284F">
              <w:rPr>
                <w:rFonts w:ascii="Times New Roman" w:eastAsia="宋体" w:hAnsi="Times New Roman" w:cs="Times New Roman"/>
                <w:sz w:val="18"/>
                <w:szCs w:val="18"/>
              </w:rPr>
              <w:t>）</w:t>
            </w:r>
          </w:p>
        </w:tc>
        <w:tc>
          <w:tcPr>
            <w:tcW w:w="1975" w:type="dxa"/>
            <w:gridSpan w:val="2"/>
            <w:tcBorders>
              <w:top w:val="single" w:sz="2" w:space="0" w:color="auto"/>
              <w:left w:val="single" w:sz="2" w:space="0" w:color="auto"/>
              <w:bottom w:val="single" w:sz="2" w:space="0" w:color="auto"/>
              <w:right w:val="single" w:sz="2" w:space="0" w:color="auto"/>
            </w:tcBorders>
            <w:vAlign w:val="center"/>
          </w:tcPr>
          <w:p w14:paraId="4385311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198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7B8FB99"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报告期内对子公司担保实际发生额合计（</w:t>
            </w:r>
            <w:r w:rsidRPr="005A284F">
              <w:rPr>
                <w:rFonts w:ascii="Times New Roman" w:eastAsia="宋体" w:hAnsi="Times New Roman" w:cs="Times New Roman"/>
                <w:sz w:val="18"/>
                <w:szCs w:val="18"/>
              </w:rPr>
              <w:t>C2</w:t>
            </w:r>
            <w:r w:rsidRPr="005A284F">
              <w:rPr>
                <w:rFonts w:ascii="Times New Roman" w:eastAsia="宋体" w:hAnsi="Times New Roman" w:cs="Times New Roman"/>
                <w:sz w:val="18"/>
                <w:szCs w:val="18"/>
              </w:rPr>
              <w:t>）</w:t>
            </w:r>
          </w:p>
        </w:tc>
        <w:tc>
          <w:tcPr>
            <w:tcW w:w="3800" w:type="dxa"/>
            <w:gridSpan w:val="5"/>
            <w:tcBorders>
              <w:top w:val="single" w:sz="2" w:space="0" w:color="auto"/>
              <w:left w:val="single" w:sz="2" w:space="0" w:color="auto"/>
              <w:bottom w:val="single" w:sz="2" w:space="0" w:color="auto"/>
              <w:right w:val="single" w:sz="2" w:space="0" w:color="auto"/>
            </w:tcBorders>
            <w:vAlign w:val="center"/>
          </w:tcPr>
          <w:p w14:paraId="3E98F7E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r>
      <w:tr w:rsidR="006C011D" w:rsidRPr="005A284F" w14:paraId="44B8BBD4" w14:textId="77777777" w:rsidTr="00D81019">
        <w:trPr>
          <w:trHeight w:val="240"/>
          <w:jc w:val="center"/>
        </w:trPr>
        <w:tc>
          <w:tcPr>
            <w:tcW w:w="241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DF0097B"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报告期末已审批的对子公司担保额度合计（</w:t>
            </w:r>
            <w:r w:rsidRPr="005A284F">
              <w:rPr>
                <w:rFonts w:ascii="Times New Roman" w:eastAsia="宋体" w:hAnsi="Times New Roman" w:cs="Times New Roman"/>
                <w:sz w:val="18"/>
                <w:szCs w:val="18"/>
              </w:rPr>
              <w:t>C3</w:t>
            </w:r>
            <w:r w:rsidRPr="005A284F">
              <w:rPr>
                <w:rFonts w:ascii="Times New Roman" w:eastAsia="宋体" w:hAnsi="Times New Roman" w:cs="Times New Roman"/>
                <w:sz w:val="18"/>
                <w:szCs w:val="18"/>
              </w:rPr>
              <w:t>）</w:t>
            </w:r>
          </w:p>
        </w:tc>
        <w:tc>
          <w:tcPr>
            <w:tcW w:w="1975" w:type="dxa"/>
            <w:gridSpan w:val="2"/>
            <w:tcBorders>
              <w:top w:val="single" w:sz="2" w:space="0" w:color="auto"/>
              <w:left w:val="single" w:sz="2" w:space="0" w:color="auto"/>
              <w:bottom w:val="single" w:sz="2" w:space="0" w:color="auto"/>
              <w:right w:val="single" w:sz="2" w:space="0" w:color="auto"/>
            </w:tcBorders>
            <w:vAlign w:val="center"/>
          </w:tcPr>
          <w:p w14:paraId="7CA8AFC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198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E6BC43F"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报告期末对子公司实际担保余额合计（</w:t>
            </w:r>
            <w:r w:rsidRPr="005A284F">
              <w:rPr>
                <w:rFonts w:ascii="Times New Roman" w:eastAsia="宋体" w:hAnsi="Times New Roman" w:cs="Times New Roman"/>
                <w:sz w:val="18"/>
                <w:szCs w:val="18"/>
              </w:rPr>
              <w:t>C4</w:t>
            </w:r>
            <w:r w:rsidRPr="005A284F">
              <w:rPr>
                <w:rFonts w:ascii="Times New Roman" w:eastAsia="宋体" w:hAnsi="Times New Roman" w:cs="Times New Roman"/>
                <w:sz w:val="18"/>
                <w:szCs w:val="18"/>
              </w:rPr>
              <w:t>）</w:t>
            </w:r>
          </w:p>
        </w:tc>
        <w:tc>
          <w:tcPr>
            <w:tcW w:w="3800" w:type="dxa"/>
            <w:gridSpan w:val="5"/>
            <w:tcBorders>
              <w:top w:val="single" w:sz="2" w:space="0" w:color="auto"/>
              <w:left w:val="single" w:sz="2" w:space="0" w:color="auto"/>
              <w:bottom w:val="single" w:sz="2" w:space="0" w:color="auto"/>
              <w:right w:val="single" w:sz="2" w:space="0" w:color="auto"/>
            </w:tcBorders>
            <w:vAlign w:val="center"/>
          </w:tcPr>
          <w:p w14:paraId="3754A13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r>
      <w:tr w:rsidR="006C011D" w:rsidRPr="005A284F" w14:paraId="74898C65" w14:textId="77777777" w:rsidTr="00D81019">
        <w:trPr>
          <w:trHeight w:val="240"/>
          <w:jc w:val="center"/>
        </w:trPr>
        <w:tc>
          <w:tcPr>
            <w:tcW w:w="10176"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14:paraId="7E0A847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公司担保总额（即前三大项的合计）</w:t>
            </w:r>
          </w:p>
        </w:tc>
      </w:tr>
      <w:tr w:rsidR="006C011D" w:rsidRPr="005A284F" w14:paraId="35AF26E6" w14:textId="77777777" w:rsidTr="00D81019">
        <w:trPr>
          <w:trHeight w:val="240"/>
          <w:jc w:val="center"/>
        </w:trPr>
        <w:tc>
          <w:tcPr>
            <w:tcW w:w="241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BDBE890"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报告期内审批担保额度合计</w:t>
            </w:r>
            <w:r w:rsidRPr="005A284F">
              <w:rPr>
                <w:rFonts w:ascii="Times New Roman" w:eastAsia="宋体" w:hAnsi="Times New Roman" w:cs="Times New Roman"/>
                <w:sz w:val="18"/>
                <w:szCs w:val="18"/>
              </w:rPr>
              <w:lastRenderedPageBreak/>
              <w:t>（</w:t>
            </w:r>
            <w:r w:rsidRPr="005A284F">
              <w:rPr>
                <w:rFonts w:ascii="Times New Roman" w:eastAsia="宋体" w:hAnsi="Times New Roman" w:cs="Times New Roman"/>
                <w:sz w:val="18"/>
                <w:szCs w:val="18"/>
              </w:rPr>
              <w:t>A1+B1+C1</w:t>
            </w:r>
            <w:r w:rsidRPr="005A284F">
              <w:rPr>
                <w:rFonts w:ascii="Times New Roman" w:eastAsia="宋体" w:hAnsi="Times New Roman" w:cs="Times New Roman"/>
                <w:sz w:val="18"/>
                <w:szCs w:val="18"/>
              </w:rPr>
              <w:t>）</w:t>
            </w:r>
          </w:p>
        </w:tc>
        <w:tc>
          <w:tcPr>
            <w:tcW w:w="1975" w:type="dxa"/>
            <w:gridSpan w:val="2"/>
            <w:tcBorders>
              <w:top w:val="single" w:sz="2" w:space="0" w:color="auto"/>
              <w:left w:val="single" w:sz="2" w:space="0" w:color="auto"/>
              <w:bottom w:val="single" w:sz="2" w:space="0" w:color="auto"/>
              <w:right w:val="single" w:sz="2" w:space="0" w:color="auto"/>
            </w:tcBorders>
            <w:vAlign w:val="center"/>
          </w:tcPr>
          <w:p w14:paraId="1E75CF7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600,000</w:t>
            </w:r>
          </w:p>
        </w:tc>
        <w:tc>
          <w:tcPr>
            <w:tcW w:w="198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8A55C21"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报告期内担保实际发生</w:t>
            </w:r>
            <w:r w:rsidRPr="005A284F">
              <w:rPr>
                <w:rFonts w:ascii="Times New Roman" w:eastAsia="宋体" w:hAnsi="Times New Roman" w:cs="Times New Roman"/>
                <w:sz w:val="18"/>
                <w:szCs w:val="18"/>
              </w:rPr>
              <w:lastRenderedPageBreak/>
              <w:t>额合计（</w:t>
            </w:r>
            <w:r w:rsidRPr="005A284F">
              <w:rPr>
                <w:rFonts w:ascii="Times New Roman" w:eastAsia="宋体" w:hAnsi="Times New Roman" w:cs="Times New Roman"/>
                <w:sz w:val="18"/>
                <w:szCs w:val="18"/>
              </w:rPr>
              <w:t>A2+B2+C2</w:t>
            </w:r>
            <w:r w:rsidRPr="005A284F">
              <w:rPr>
                <w:rFonts w:ascii="Times New Roman" w:eastAsia="宋体" w:hAnsi="Times New Roman" w:cs="Times New Roman"/>
                <w:sz w:val="18"/>
                <w:szCs w:val="18"/>
              </w:rPr>
              <w:t>）</w:t>
            </w:r>
          </w:p>
        </w:tc>
        <w:tc>
          <w:tcPr>
            <w:tcW w:w="3800" w:type="dxa"/>
            <w:gridSpan w:val="5"/>
            <w:tcBorders>
              <w:top w:val="single" w:sz="2" w:space="0" w:color="auto"/>
              <w:left w:val="single" w:sz="2" w:space="0" w:color="auto"/>
              <w:bottom w:val="single" w:sz="2" w:space="0" w:color="auto"/>
              <w:right w:val="single" w:sz="2" w:space="0" w:color="auto"/>
            </w:tcBorders>
            <w:vAlign w:val="center"/>
          </w:tcPr>
          <w:p w14:paraId="6ACC2B8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135,022.05</w:t>
            </w:r>
          </w:p>
        </w:tc>
      </w:tr>
      <w:tr w:rsidR="006C011D" w:rsidRPr="005A284F" w14:paraId="2C3B515B" w14:textId="77777777" w:rsidTr="00D81019">
        <w:trPr>
          <w:trHeight w:val="240"/>
          <w:jc w:val="center"/>
        </w:trPr>
        <w:tc>
          <w:tcPr>
            <w:tcW w:w="241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B741069"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报告期末已审批的担保额度合计（</w:t>
            </w:r>
            <w:r w:rsidRPr="005A284F">
              <w:rPr>
                <w:rFonts w:ascii="Times New Roman" w:eastAsia="宋体" w:hAnsi="Times New Roman" w:cs="Times New Roman"/>
                <w:sz w:val="18"/>
                <w:szCs w:val="18"/>
              </w:rPr>
              <w:t>A3+B3+C3</w:t>
            </w:r>
            <w:r w:rsidRPr="005A284F">
              <w:rPr>
                <w:rFonts w:ascii="Times New Roman" w:eastAsia="宋体" w:hAnsi="Times New Roman" w:cs="Times New Roman"/>
                <w:sz w:val="18"/>
                <w:szCs w:val="18"/>
              </w:rPr>
              <w:t>）</w:t>
            </w:r>
          </w:p>
        </w:tc>
        <w:tc>
          <w:tcPr>
            <w:tcW w:w="1975" w:type="dxa"/>
            <w:gridSpan w:val="2"/>
            <w:tcBorders>
              <w:top w:val="single" w:sz="2" w:space="0" w:color="auto"/>
              <w:left w:val="single" w:sz="2" w:space="0" w:color="auto"/>
              <w:bottom w:val="single" w:sz="2" w:space="0" w:color="auto"/>
              <w:right w:val="single" w:sz="2" w:space="0" w:color="auto"/>
            </w:tcBorders>
            <w:vAlign w:val="center"/>
          </w:tcPr>
          <w:p w14:paraId="4EA6513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600,000</w:t>
            </w:r>
          </w:p>
        </w:tc>
        <w:tc>
          <w:tcPr>
            <w:tcW w:w="198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D870A0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报告期末实际担保余额合计（</w:t>
            </w:r>
            <w:r w:rsidRPr="005A284F">
              <w:rPr>
                <w:rFonts w:ascii="Times New Roman" w:eastAsia="宋体" w:hAnsi="Times New Roman" w:cs="Times New Roman"/>
                <w:sz w:val="18"/>
                <w:szCs w:val="18"/>
              </w:rPr>
              <w:t>A4+B4+C4</w:t>
            </w:r>
            <w:r w:rsidRPr="005A284F">
              <w:rPr>
                <w:rFonts w:ascii="Times New Roman" w:eastAsia="宋体" w:hAnsi="Times New Roman" w:cs="Times New Roman"/>
                <w:sz w:val="18"/>
                <w:szCs w:val="18"/>
              </w:rPr>
              <w:t>）</w:t>
            </w:r>
          </w:p>
        </w:tc>
        <w:tc>
          <w:tcPr>
            <w:tcW w:w="3800" w:type="dxa"/>
            <w:gridSpan w:val="5"/>
            <w:tcBorders>
              <w:top w:val="single" w:sz="2" w:space="0" w:color="auto"/>
              <w:left w:val="single" w:sz="2" w:space="0" w:color="auto"/>
              <w:bottom w:val="single" w:sz="2" w:space="0" w:color="auto"/>
              <w:right w:val="single" w:sz="2" w:space="0" w:color="auto"/>
            </w:tcBorders>
            <w:vAlign w:val="center"/>
          </w:tcPr>
          <w:p w14:paraId="2099180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102,450.45</w:t>
            </w:r>
          </w:p>
        </w:tc>
      </w:tr>
      <w:tr w:rsidR="006C011D" w:rsidRPr="005A284F" w14:paraId="2B67D326" w14:textId="77777777" w:rsidTr="00D81019">
        <w:trPr>
          <w:trHeight w:val="240"/>
          <w:jc w:val="center"/>
        </w:trPr>
        <w:tc>
          <w:tcPr>
            <w:tcW w:w="4392"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7AACEC38"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实际担保总额（即</w:t>
            </w:r>
            <w:r w:rsidRPr="005A284F">
              <w:rPr>
                <w:rFonts w:ascii="Times New Roman" w:eastAsia="宋体" w:hAnsi="Times New Roman" w:cs="Times New Roman"/>
                <w:sz w:val="18"/>
                <w:szCs w:val="18"/>
              </w:rPr>
              <w:t>A4+B4+C4</w:t>
            </w:r>
            <w:r w:rsidRPr="005A284F">
              <w:rPr>
                <w:rFonts w:ascii="Times New Roman" w:eastAsia="宋体" w:hAnsi="Times New Roman" w:cs="Times New Roman"/>
                <w:sz w:val="18"/>
                <w:szCs w:val="18"/>
              </w:rPr>
              <w:t>）占公司净资产的比例</w:t>
            </w:r>
          </w:p>
        </w:tc>
        <w:tc>
          <w:tcPr>
            <w:tcW w:w="5784" w:type="dxa"/>
            <w:gridSpan w:val="7"/>
            <w:tcBorders>
              <w:top w:val="single" w:sz="2" w:space="0" w:color="auto"/>
              <w:left w:val="single" w:sz="2" w:space="0" w:color="auto"/>
              <w:bottom w:val="single" w:sz="2" w:space="0" w:color="auto"/>
              <w:right w:val="single" w:sz="2" w:space="0" w:color="auto"/>
            </w:tcBorders>
            <w:vAlign w:val="center"/>
          </w:tcPr>
          <w:p w14:paraId="56EF0A3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66.59%</w:t>
            </w:r>
          </w:p>
        </w:tc>
      </w:tr>
      <w:tr w:rsidR="006C011D" w:rsidRPr="005A284F" w14:paraId="551B4BCD" w14:textId="77777777" w:rsidTr="00D81019">
        <w:trPr>
          <w:trHeight w:val="240"/>
          <w:jc w:val="center"/>
        </w:trPr>
        <w:tc>
          <w:tcPr>
            <w:tcW w:w="10176"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14:paraId="491C1340"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其中：</w:t>
            </w:r>
          </w:p>
        </w:tc>
      </w:tr>
      <w:tr w:rsidR="006C011D" w:rsidRPr="005A284F" w14:paraId="6E998ACB" w14:textId="77777777" w:rsidTr="00D81019">
        <w:trPr>
          <w:trHeight w:val="240"/>
          <w:jc w:val="center"/>
        </w:trPr>
        <w:tc>
          <w:tcPr>
            <w:tcW w:w="4392"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1337D13D"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为股东、实际控制人及其关联方提供担保的余额（</w:t>
            </w:r>
            <w:r w:rsidRPr="005A284F">
              <w:rPr>
                <w:rFonts w:ascii="Times New Roman" w:eastAsia="宋体" w:hAnsi="Times New Roman" w:cs="Times New Roman"/>
                <w:sz w:val="18"/>
                <w:szCs w:val="18"/>
              </w:rPr>
              <w:t>D</w:t>
            </w:r>
            <w:r w:rsidRPr="005A284F">
              <w:rPr>
                <w:rFonts w:ascii="Times New Roman" w:eastAsia="宋体" w:hAnsi="Times New Roman" w:cs="Times New Roman"/>
                <w:sz w:val="18"/>
                <w:szCs w:val="18"/>
              </w:rPr>
              <w:t>）</w:t>
            </w:r>
          </w:p>
        </w:tc>
        <w:tc>
          <w:tcPr>
            <w:tcW w:w="5784" w:type="dxa"/>
            <w:gridSpan w:val="7"/>
            <w:tcBorders>
              <w:top w:val="single" w:sz="2" w:space="0" w:color="auto"/>
              <w:left w:val="single" w:sz="2" w:space="0" w:color="auto"/>
              <w:bottom w:val="single" w:sz="2" w:space="0" w:color="auto"/>
              <w:right w:val="single" w:sz="2" w:space="0" w:color="auto"/>
            </w:tcBorders>
            <w:vAlign w:val="center"/>
          </w:tcPr>
          <w:p w14:paraId="5F62DBD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r>
      <w:tr w:rsidR="006C011D" w:rsidRPr="005A284F" w14:paraId="71BC1907" w14:textId="77777777" w:rsidTr="00D81019">
        <w:trPr>
          <w:trHeight w:val="240"/>
          <w:jc w:val="center"/>
        </w:trPr>
        <w:tc>
          <w:tcPr>
            <w:tcW w:w="4392"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136E81F7"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直接或间接为资产负债率超过</w:t>
            </w:r>
            <w:r w:rsidRPr="005A284F">
              <w:rPr>
                <w:rFonts w:ascii="Times New Roman" w:eastAsia="宋体" w:hAnsi="Times New Roman" w:cs="Times New Roman"/>
                <w:sz w:val="18"/>
                <w:szCs w:val="18"/>
              </w:rPr>
              <w:t>70%</w:t>
            </w:r>
            <w:r w:rsidRPr="005A284F">
              <w:rPr>
                <w:rFonts w:ascii="Times New Roman" w:eastAsia="宋体" w:hAnsi="Times New Roman" w:cs="Times New Roman"/>
                <w:sz w:val="18"/>
                <w:szCs w:val="18"/>
              </w:rPr>
              <w:t>的被担保对象提供的债务担保余额（</w:t>
            </w:r>
            <w:r w:rsidRPr="005A284F">
              <w:rPr>
                <w:rFonts w:ascii="Times New Roman" w:eastAsia="宋体" w:hAnsi="Times New Roman" w:cs="Times New Roman"/>
                <w:sz w:val="18"/>
                <w:szCs w:val="18"/>
              </w:rPr>
              <w:t>E</w:t>
            </w:r>
            <w:r w:rsidRPr="005A284F">
              <w:rPr>
                <w:rFonts w:ascii="Times New Roman" w:eastAsia="宋体" w:hAnsi="Times New Roman" w:cs="Times New Roman"/>
                <w:sz w:val="18"/>
                <w:szCs w:val="18"/>
              </w:rPr>
              <w:t>）</w:t>
            </w:r>
          </w:p>
        </w:tc>
        <w:tc>
          <w:tcPr>
            <w:tcW w:w="5784" w:type="dxa"/>
            <w:gridSpan w:val="7"/>
            <w:tcBorders>
              <w:top w:val="single" w:sz="2" w:space="0" w:color="auto"/>
              <w:left w:val="single" w:sz="2" w:space="0" w:color="auto"/>
              <w:bottom w:val="single" w:sz="2" w:space="0" w:color="auto"/>
              <w:right w:val="single" w:sz="2" w:space="0" w:color="auto"/>
            </w:tcBorders>
            <w:vAlign w:val="center"/>
          </w:tcPr>
          <w:p w14:paraId="117C89B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51,700</w:t>
            </w:r>
          </w:p>
        </w:tc>
      </w:tr>
      <w:tr w:rsidR="006C011D" w:rsidRPr="005A284F" w14:paraId="7FD7B92D" w14:textId="77777777" w:rsidTr="00D81019">
        <w:trPr>
          <w:trHeight w:val="240"/>
          <w:jc w:val="center"/>
        </w:trPr>
        <w:tc>
          <w:tcPr>
            <w:tcW w:w="4392"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581922CB"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担保总额超过净资产</w:t>
            </w:r>
            <w:r w:rsidRPr="005A284F">
              <w:rPr>
                <w:rFonts w:ascii="Times New Roman" w:eastAsia="宋体" w:hAnsi="Times New Roman" w:cs="Times New Roman"/>
                <w:sz w:val="18"/>
                <w:szCs w:val="18"/>
              </w:rPr>
              <w:t>50%</w:t>
            </w:r>
            <w:r w:rsidRPr="005A284F">
              <w:rPr>
                <w:rFonts w:ascii="Times New Roman" w:eastAsia="宋体" w:hAnsi="Times New Roman" w:cs="Times New Roman"/>
                <w:sz w:val="18"/>
                <w:szCs w:val="18"/>
              </w:rPr>
              <w:t>部分的金额（</w:t>
            </w:r>
            <w:r w:rsidRPr="005A284F">
              <w:rPr>
                <w:rFonts w:ascii="Times New Roman" w:eastAsia="宋体" w:hAnsi="Times New Roman" w:cs="Times New Roman"/>
                <w:sz w:val="18"/>
                <w:szCs w:val="18"/>
              </w:rPr>
              <w:t>F</w:t>
            </w:r>
            <w:r w:rsidRPr="005A284F">
              <w:rPr>
                <w:rFonts w:ascii="Times New Roman" w:eastAsia="宋体" w:hAnsi="Times New Roman" w:cs="Times New Roman"/>
                <w:sz w:val="18"/>
                <w:szCs w:val="18"/>
              </w:rPr>
              <w:t>）</w:t>
            </w:r>
          </w:p>
        </w:tc>
        <w:tc>
          <w:tcPr>
            <w:tcW w:w="5784" w:type="dxa"/>
            <w:gridSpan w:val="7"/>
            <w:tcBorders>
              <w:top w:val="single" w:sz="2" w:space="0" w:color="auto"/>
              <w:left w:val="single" w:sz="2" w:space="0" w:color="auto"/>
              <w:bottom w:val="single" w:sz="2" w:space="0" w:color="auto"/>
              <w:right w:val="single" w:sz="2" w:space="0" w:color="auto"/>
            </w:tcBorders>
            <w:vAlign w:val="center"/>
          </w:tcPr>
          <w:p w14:paraId="5758AC5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25,527.61</w:t>
            </w:r>
          </w:p>
        </w:tc>
      </w:tr>
      <w:tr w:rsidR="006C011D" w:rsidRPr="005A284F" w14:paraId="4C75D6C2" w14:textId="77777777" w:rsidTr="00D81019">
        <w:trPr>
          <w:trHeight w:val="240"/>
          <w:jc w:val="center"/>
        </w:trPr>
        <w:tc>
          <w:tcPr>
            <w:tcW w:w="4392"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11E7E910"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上述三项担保金额合计（</w:t>
            </w:r>
            <w:r w:rsidRPr="005A284F">
              <w:rPr>
                <w:rFonts w:ascii="Times New Roman" w:eastAsia="宋体" w:hAnsi="Times New Roman" w:cs="Times New Roman"/>
                <w:sz w:val="18"/>
                <w:szCs w:val="18"/>
              </w:rPr>
              <w:t>D+E+F</w:t>
            </w:r>
            <w:r w:rsidRPr="005A284F">
              <w:rPr>
                <w:rFonts w:ascii="Times New Roman" w:eastAsia="宋体" w:hAnsi="Times New Roman" w:cs="Times New Roman"/>
                <w:sz w:val="18"/>
                <w:szCs w:val="18"/>
              </w:rPr>
              <w:t>）</w:t>
            </w:r>
          </w:p>
        </w:tc>
        <w:tc>
          <w:tcPr>
            <w:tcW w:w="5784" w:type="dxa"/>
            <w:gridSpan w:val="7"/>
            <w:tcBorders>
              <w:top w:val="single" w:sz="2" w:space="0" w:color="auto"/>
              <w:left w:val="single" w:sz="2" w:space="0" w:color="auto"/>
              <w:bottom w:val="single" w:sz="2" w:space="0" w:color="auto"/>
              <w:right w:val="single" w:sz="2" w:space="0" w:color="auto"/>
            </w:tcBorders>
            <w:vAlign w:val="center"/>
          </w:tcPr>
          <w:p w14:paraId="08E4CC1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77,227.61</w:t>
            </w:r>
          </w:p>
        </w:tc>
      </w:tr>
      <w:tr w:rsidR="006C011D" w:rsidRPr="005A284F" w14:paraId="0D7E3B03" w14:textId="77777777" w:rsidTr="00D81019">
        <w:trPr>
          <w:trHeight w:val="240"/>
          <w:jc w:val="center"/>
        </w:trPr>
        <w:tc>
          <w:tcPr>
            <w:tcW w:w="4392"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5FBCB2DB"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对未到期担保合同，报告期内发生担保责任或有证据表明有可能承担连带清偿责任的情况说明（如有）</w:t>
            </w:r>
          </w:p>
        </w:tc>
        <w:tc>
          <w:tcPr>
            <w:tcW w:w="5784" w:type="dxa"/>
            <w:gridSpan w:val="7"/>
            <w:tcBorders>
              <w:top w:val="single" w:sz="2" w:space="0" w:color="auto"/>
              <w:left w:val="single" w:sz="2" w:space="0" w:color="auto"/>
              <w:bottom w:val="single" w:sz="2" w:space="0" w:color="auto"/>
              <w:right w:val="single" w:sz="2" w:space="0" w:color="auto"/>
            </w:tcBorders>
            <w:vAlign w:val="center"/>
          </w:tcPr>
          <w:p w14:paraId="6526685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无</w:t>
            </w:r>
          </w:p>
        </w:tc>
      </w:tr>
      <w:tr w:rsidR="006C011D" w:rsidRPr="005A284F" w14:paraId="1DB0E954" w14:textId="77777777" w:rsidTr="00D81019">
        <w:trPr>
          <w:trHeight w:val="240"/>
          <w:jc w:val="center"/>
        </w:trPr>
        <w:tc>
          <w:tcPr>
            <w:tcW w:w="4392"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3EAA8E4C"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违反规定程序对外提供担保的说明（如有）</w:t>
            </w:r>
          </w:p>
        </w:tc>
        <w:tc>
          <w:tcPr>
            <w:tcW w:w="5784" w:type="dxa"/>
            <w:gridSpan w:val="7"/>
            <w:tcBorders>
              <w:top w:val="single" w:sz="2" w:space="0" w:color="auto"/>
              <w:left w:val="single" w:sz="2" w:space="0" w:color="auto"/>
              <w:bottom w:val="single" w:sz="2" w:space="0" w:color="auto"/>
              <w:right w:val="single" w:sz="2" w:space="0" w:color="auto"/>
            </w:tcBorders>
            <w:vAlign w:val="center"/>
          </w:tcPr>
          <w:p w14:paraId="3021D9E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无</w:t>
            </w:r>
          </w:p>
        </w:tc>
      </w:tr>
    </w:tbl>
    <w:p w14:paraId="26F40BC4"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采用复合方式担保的具体情况说明</w:t>
      </w:r>
    </w:p>
    <w:p w14:paraId="7B742648" w14:textId="77777777" w:rsidR="000309B5" w:rsidRPr="005A284F" w:rsidRDefault="00000000">
      <w:pPr>
        <w:pStyle w:val="a3"/>
        <w:divId w:val="578290218"/>
        <w:rPr>
          <w:rFonts w:ascii="Times New Roman" w:hAnsi="Times New Roman" w:cs="Times New Roman"/>
          <w:sz w:val="18"/>
          <w:szCs w:val="18"/>
        </w:rPr>
      </w:pPr>
      <w:r w:rsidRPr="005A284F">
        <w:rPr>
          <w:rFonts w:ascii="Times New Roman" w:hAnsi="Times New Roman" w:cs="Times New Roman"/>
          <w:sz w:val="18"/>
          <w:szCs w:val="18"/>
        </w:rPr>
        <w:t>不适用</w:t>
      </w:r>
    </w:p>
    <w:p w14:paraId="31ED8E52" w14:textId="77777777" w:rsidR="006C011D" w:rsidRPr="005A284F" w:rsidRDefault="00000000">
      <w:pPr>
        <w:pStyle w:val="3"/>
        <w:spacing w:line="280" w:lineRule="exact"/>
        <w:jc w:val="left"/>
        <w:rPr>
          <w:rFonts w:ascii="Times New Roman" w:hAnsi="Times New Roman" w:cs="Times New Roman"/>
          <w:b/>
          <w:bCs/>
        </w:rPr>
      </w:pPr>
      <w:bookmarkStart w:id="73" w:name="_Toc988962"/>
      <w:r w:rsidRPr="005A284F">
        <w:rPr>
          <w:rFonts w:ascii="Times New Roman" w:hAnsi="Times New Roman" w:cs="Times New Roman"/>
          <w:b/>
          <w:bCs/>
        </w:rPr>
        <w:t>3</w:t>
      </w:r>
      <w:r w:rsidRPr="005A284F">
        <w:rPr>
          <w:rFonts w:ascii="Times New Roman" w:hAnsi="Times New Roman" w:cs="Times New Roman"/>
          <w:b/>
          <w:bCs/>
        </w:rPr>
        <w:t>、委托理财</w:t>
      </w:r>
      <w:bookmarkEnd w:id="73"/>
    </w:p>
    <w:p w14:paraId="0179A481" w14:textId="77777777" w:rsidR="006C011D" w:rsidRPr="006E2EAA" w:rsidRDefault="00000000">
      <w:pPr>
        <w:spacing w:before="100" w:after="100" w:line="240" w:lineRule="exact"/>
        <w:rPr>
          <w:rFonts w:ascii="宋体" w:eastAsia="宋体" w:hAnsi="宋体" w:cs="Times New Roman" w:hint="eastAsia"/>
          <w:sz w:val="18"/>
          <w:szCs w:val="18"/>
        </w:rPr>
      </w:pPr>
      <w:r w:rsidRPr="006E2EAA">
        <w:rPr>
          <w:rFonts w:ascii="宋体" w:eastAsia="宋体" w:hAnsi="宋体" w:cs="Times New Roman"/>
          <w:sz w:val="18"/>
          <w:szCs w:val="18"/>
        </w:rPr>
        <w:t xml:space="preserve">□适用 </w:t>
      </w:r>
      <w:r w:rsidRPr="006E2EAA">
        <w:rPr>
          <w:rFonts w:ascii="宋体" w:eastAsia="宋体" w:hAnsi="宋体" w:cs="Times New Roman"/>
          <w:sz w:val="18"/>
          <w:szCs w:val="18"/>
        </w:rPr>
        <w:sym w:font="Wingdings 2" w:char="F052"/>
      </w:r>
      <w:r w:rsidRPr="006E2EAA">
        <w:rPr>
          <w:rFonts w:ascii="宋体" w:eastAsia="宋体" w:hAnsi="宋体" w:cs="Times New Roman"/>
          <w:sz w:val="18"/>
          <w:szCs w:val="18"/>
        </w:rPr>
        <w:t>不适用</w:t>
      </w:r>
    </w:p>
    <w:p w14:paraId="32A88BA2"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公司报告期不存在委托理财。</w:t>
      </w:r>
    </w:p>
    <w:p w14:paraId="0701841F" w14:textId="77777777" w:rsidR="006C011D" w:rsidRPr="005A284F" w:rsidRDefault="00000000">
      <w:pPr>
        <w:pStyle w:val="3"/>
        <w:spacing w:line="280" w:lineRule="exact"/>
        <w:jc w:val="left"/>
        <w:rPr>
          <w:rFonts w:ascii="Times New Roman" w:hAnsi="Times New Roman" w:cs="Times New Roman"/>
          <w:b/>
          <w:bCs/>
        </w:rPr>
      </w:pPr>
      <w:bookmarkStart w:id="74" w:name="_Toc988963"/>
      <w:r w:rsidRPr="005A284F">
        <w:rPr>
          <w:rFonts w:ascii="Times New Roman" w:hAnsi="Times New Roman" w:cs="Times New Roman"/>
          <w:b/>
          <w:bCs/>
        </w:rPr>
        <w:t>4</w:t>
      </w:r>
      <w:r w:rsidRPr="005A284F">
        <w:rPr>
          <w:rFonts w:ascii="Times New Roman" w:hAnsi="Times New Roman" w:cs="Times New Roman"/>
          <w:b/>
          <w:bCs/>
        </w:rPr>
        <w:t>、其他重大合同</w:t>
      </w:r>
      <w:bookmarkEnd w:id="74"/>
    </w:p>
    <w:p w14:paraId="60365610" w14:textId="77777777" w:rsidR="006C011D" w:rsidRPr="006E2EAA" w:rsidRDefault="00000000">
      <w:pPr>
        <w:spacing w:before="100" w:after="100" w:line="240" w:lineRule="exact"/>
        <w:rPr>
          <w:rFonts w:ascii="宋体" w:eastAsia="宋体" w:hAnsi="宋体" w:cs="Times New Roman" w:hint="eastAsia"/>
          <w:sz w:val="18"/>
          <w:szCs w:val="18"/>
        </w:rPr>
      </w:pPr>
      <w:r w:rsidRPr="006E2EAA">
        <w:rPr>
          <w:rFonts w:ascii="宋体" w:eastAsia="宋体" w:hAnsi="宋体" w:cs="Times New Roman"/>
          <w:sz w:val="18"/>
          <w:szCs w:val="18"/>
        </w:rPr>
        <w:t xml:space="preserve">□适用 </w:t>
      </w:r>
      <w:r w:rsidRPr="006E2EAA">
        <w:rPr>
          <w:rFonts w:ascii="宋体" w:eastAsia="宋体" w:hAnsi="宋体" w:cs="Times New Roman"/>
          <w:sz w:val="18"/>
          <w:szCs w:val="18"/>
        </w:rPr>
        <w:sym w:font="Wingdings 2" w:char="F052"/>
      </w:r>
      <w:r w:rsidRPr="006E2EAA">
        <w:rPr>
          <w:rFonts w:ascii="宋体" w:eastAsia="宋体" w:hAnsi="宋体" w:cs="Times New Roman"/>
          <w:sz w:val="18"/>
          <w:szCs w:val="18"/>
        </w:rPr>
        <w:t>不适用</w:t>
      </w:r>
    </w:p>
    <w:p w14:paraId="1F90A03C"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公司报告期不存在其他重大合同。</w:t>
      </w:r>
    </w:p>
    <w:p w14:paraId="0A5FD5B2"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75" w:name="_Toc988964"/>
      <w:r w:rsidRPr="005A284F">
        <w:rPr>
          <w:rFonts w:ascii="Times New Roman" w:eastAsia="宋体" w:hAnsi="Times New Roman" w:cs="Times New Roman"/>
          <w:b/>
          <w:bCs/>
          <w:sz w:val="24"/>
          <w:szCs w:val="24"/>
        </w:rPr>
        <w:t>十三、其他重大事项的说明</w:t>
      </w:r>
      <w:bookmarkEnd w:id="75"/>
    </w:p>
    <w:p w14:paraId="1995D479" w14:textId="77777777" w:rsidR="006C011D" w:rsidRPr="006E2EAA" w:rsidRDefault="00000000">
      <w:pPr>
        <w:spacing w:before="100" w:after="100" w:line="240" w:lineRule="exact"/>
        <w:rPr>
          <w:rFonts w:ascii="宋体" w:eastAsia="宋体" w:hAnsi="宋体" w:cs="Times New Roman" w:hint="eastAsia"/>
          <w:sz w:val="18"/>
          <w:szCs w:val="18"/>
        </w:rPr>
      </w:pPr>
      <w:r w:rsidRPr="006E2EAA">
        <w:rPr>
          <w:rFonts w:ascii="宋体" w:eastAsia="宋体" w:hAnsi="宋体" w:cs="Times New Roman"/>
          <w:sz w:val="18"/>
          <w:szCs w:val="18"/>
        </w:rPr>
        <w:t xml:space="preserve">□适用 </w:t>
      </w:r>
      <w:r w:rsidRPr="006E2EAA">
        <w:rPr>
          <w:rFonts w:ascii="宋体" w:eastAsia="宋体" w:hAnsi="宋体" w:cs="Times New Roman"/>
          <w:sz w:val="18"/>
          <w:szCs w:val="18"/>
        </w:rPr>
        <w:sym w:font="Wingdings 2" w:char="F052"/>
      </w:r>
      <w:r w:rsidRPr="006E2EAA">
        <w:rPr>
          <w:rFonts w:ascii="宋体" w:eastAsia="宋体" w:hAnsi="宋体" w:cs="Times New Roman"/>
          <w:sz w:val="18"/>
          <w:szCs w:val="18"/>
        </w:rPr>
        <w:t>不适用</w:t>
      </w:r>
    </w:p>
    <w:p w14:paraId="2404F263"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公司报告期不存在需要说明的其他重大事项。</w:t>
      </w:r>
    </w:p>
    <w:p w14:paraId="6CD37DEE"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76" w:name="_Toc988965"/>
      <w:r w:rsidRPr="005A284F">
        <w:rPr>
          <w:rFonts w:ascii="Times New Roman" w:eastAsia="宋体" w:hAnsi="Times New Roman" w:cs="Times New Roman"/>
          <w:b/>
          <w:bCs/>
          <w:sz w:val="24"/>
          <w:szCs w:val="24"/>
        </w:rPr>
        <w:t>十四、公司子公司重大事项</w:t>
      </w:r>
      <w:bookmarkEnd w:id="76"/>
    </w:p>
    <w:p w14:paraId="0892F59F" w14:textId="77777777" w:rsidR="006C011D" w:rsidRPr="006E2EAA" w:rsidRDefault="00000000">
      <w:pPr>
        <w:spacing w:before="100" w:after="100" w:line="240" w:lineRule="exact"/>
        <w:rPr>
          <w:rFonts w:ascii="宋体" w:eastAsia="宋体" w:hAnsi="宋体" w:cs="Times New Roman" w:hint="eastAsia"/>
          <w:sz w:val="18"/>
          <w:szCs w:val="18"/>
        </w:rPr>
      </w:pPr>
      <w:r w:rsidRPr="006E2EAA">
        <w:rPr>
          <w:rFonts w:ascii="宋体" w:eastAsia="宋体" w:hAnsi="宋体" w:cs="Times New Roman"/>
          <w:sz w:val="18"/>
          <w:szCs w:val="18"/>
        </w:rPr>
        <w:t xml:space="preserve">□适用 </w:t>
      </w:r>
      <w:r w:rsidRPr="006E2EAA">
        <w:rPr>
          <w:rFonts w:ascii="宋体" w:eastAsia="宋体" w:hAnsi="宋体" w:cs="Times New Roman"/>
          <w:sz w:val="18"/>
          <w:szCs w:val="18"/>
        </w:rPr>
        <w:sym w:font="Wingdings 2" w:char="F052"/>
      </w:r>
      <w:r w:rsidRPr="006E2EAA">
        <w:rPr>
          <w:rFonts w:ascii="宋体" w:eastAsia="宋体" w:hAnsi="宋体" w:cs="Times New Roman"/>
          <w:sz w:val="18"/>
          <w:szCs w:val="18"/>
        </w:rPr>
        <w:t>不适用</w:t>
      </w:r>
    </w:p>
    <w:p w14:paraId="08E58671" w14:textId="77777777" w:rsidR="006C011D" w:rsidRPr="005A284F" w:rsidRDefault="00000000">
      <w:pPr>
        <w:rPr>
          <w:rFonts w:ascii="Times New Roman" w:eastAsia="宋体" w:hAnsi="Times New Roman" w:cs="Times New Roman"/>
        </w:rPr>
      </w:pPr>
      <w:r w:rsidRPr="005A284F">
        <w:rPr>
          <w:rFonts w:ascii="Times New Roman" w:eastAsia="宋体" w:hAnsi="Times New Roman" w:cs="Times New Roman"/>
        </w:rPr>
        <w:br w:type="page"/>
      </w:r>
    </w:p>
    <w:p w14:paraId="686360EF" w14:textId="77777777" w:rsidR="006C011D" w:rsidRPr="005A284F" w:rsidRDefault="00000000">
      <w:pPr>
        <w:pStyle w:val="headingh1"/>
        <w:spacing w:before="340" w:after="330" w:line="773" w:lineRule="exact"/>
        <w:jc w:val="center"/>
        <w:rPr>
          <w:rFonts w:ascii="Times New Roman" w:eastAsia="宋体" w:hAnsi="Times New Roman" w:cs="Times New Roman"/>
          <w:b/>
          <w:bCs/>
          <w:sz w:val="32"/>
          <w:szCs w:val="32"/>
        </w:rPr>
      </w:pPr>
      <w:bookmarkStart w:id="77" w:name="_Toc988966"/>
      <w:r w:rsidRPr="005A284F">
        <w:rPr>
          <w:rFonts w:ascii="Times New Roman" w:eastAsia="宋体" w:hAnsi="Times New Roman" w:cs="Times New Roman"/>
          <w:b/>
          <w:bCs/>
          <w:sz w:val="32"/>
          <w:szCs w:val="32"/>
        </w:rPr>
        <w:lastRenderedPageBreak/>
        <w:t>第六节</w:t>
      </w:r>
      <w:r w:rsidRPr="005A284F">
        <w:rPr>
          <w:rFonts w:ascii="Times New Roman" w:eastAsia="宋体" w:hAnsi="Times New Roman" w:cs="Times New Roman"/>
          <w:b/>
          <w:bCs/>
          <w:sz w:val="32"/>
          <w:szCs w:val="32"/>
        </w:rPr>
        <w:t xml:space="preserve"> </w:t>
      </w:r>
      <w:r w:rsidRPr="005A284F">
        <w:rPr>
          <w:rFonts w:ascii="Times New Roman" w:eastAsia="宋体" w:hAnsi="Times New Roman" w:cs="Times New Roman"/>
          <w:b/>
          <w:bCs/>
          <w:sz w:val="32"/>
          <w:szCs w:val="32"/>
        </w:rPr>
        <w:t>股份变动及股东情况</w:t>
      </w:r>
      <w:bookmarkEnd w:id="77"/>
    </w:p>
    <w:p w14:paraId="478AA064"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78" w:name="_Toc988967"/>
      <w:r w:rsidRPr="005A284F">
        <w:rPr>
          <w:rFonts w:ascii="Times New Roman" w:eastAsia="宋体" w:hAnsi="Times New Roman" w:cs="Times New Roman"/>
          <w:b/>
          <w:bCs/>
          <w:sz w:val="24"/>
          <w:szCs w:val="24"/>
        </w:rPr>
        <w:t>一、股份变动情况</w:t>
      </w:r>
      <w:bookmarkEnd w:id="78"/>
    </w:p>
    <w:p w14:paraId="2C3807ED" w14:textId="77777777" w:rsidR="006C011D" w:rsidRPr="005A284F" w:rsidRDefault="00000000">
      <w:pPr>
        <w:pStyle w:val="3"/>
        <w:spacing w:line="280" w:lineRule="exact"/>
        <w:jc w:val="left"/>
        <w:rPr>
          <w:rFonts w:ascii="Times New Roman" w:hAnsi="Times New Roman" w:cs="Times New Roman"/>
          <w:b/>
          <w:bCs/>
        </w:rPr>
      </w:pPr>
      <w:bookmarkStart w:id="79" w:name="_Toc988968"/>
      <w:r w:rsidRPr="005A284F">
        <w:rPr>
          <w:rFonts w:ascii="Times New Roman" w:hAnsi="Times New Roman" w:cs="Times New Roman"/>
          <w:b/>
          <w:bCs/>
        </w:rPr>
        <w:t>1</w:t>
      </w:r>
      <w:r w:rsidRPr="005A284F">
        <w:rPr>
          <w:rFonts w:ascii="Times New Roman" w:hAnsi="Times New Roman" w:cs="Times New Roman"/>
          <w:b/>
          <w:bCs/>
        </w:rPr>
        <w:t>、股份变动情况</w:t>
      </w:r>
      <w:bookmarkEnd w:id="79"/>
    </w:p>
    <w:p w14:paraId="7C94E2A4"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单位：股</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4A0" w:firstRow="1" w:lastRow="0" w:firstColumn="1" w:lastColumn="0" w:noHBand="0" w:noVBand="1"/>
      </w:tblPr>
      <w:tblGrid>
        <w:gridCol w:w="1934"/>
        <w:gridCol w:w="1276"/>
        <w:gridCol w:w="708"/>
        <w:gridCol w:w="851"/>
        <w:gridCol w:w="709"/>
        <w:gridCol w:w="708"/>
        <w:gridCol w:w="561"/>
        <w:gridCol w:w="715"/>
        <w:gridCol w:w="1213"/>
        <w:gridCol w:w="964"/>
      </w:tblGrid>
      <w:tr w:rsidR="006C011D" w:rsidRPr="005A284F" w14:paraId="04B8F15A" w14:textId="77777777" w:rsidTr="00291E84">
        <w:trPr>
          <w:trHeight w:val="240"/>
        </w:trPr>
        <w:tc>
          <w:tcPr>
            <w:tcW w:w="19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6C79BB8" w14:textId="77777777" w:rsidR="006C011D" w:rsidRPr="005A284F" w:rsidRDefault="006C011D">
            <w:pPr>
              <w:rPr>
                <w:rFonts w:ascii="Times New Roman" w:eastAsia="宋体" w:hAnsi="Times New Roman" w:cs="Times New Roman"/>
              </w:rPr>
            </w:pPr>
          </w:p>
        </w:tc>
        <w:tc>
          <w:tcPr>
            <w:tcW w:w="198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2ADE2A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本次变动前</w:t>
            </w:r>
          </w:p>
        </w:tc>
        <w:tc>
          <w:tcPr>
            <w:tcW w:w="3544"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43DCB71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本次变动增减（＋，－）</w:t>
            </w:r>
          </w:p>
        </w:tc>
        <w:tc>
          <w:tcPr>
            <w:tcW w:w="217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568134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本次变动后</w:t>
            </w:r>
          </w:p>
        </w:tc>
      </w:tr>
      <w:tr w:rsidR="00291E84" w:rsidRPr="005A284F" w14:paraId="1D5B4E99" w14:textId="77777777" w:rsidTr="00291E84">
        <w:trPr>
          <w:trHeight w:val="240"/>
        </w:trPr>
        <w:tc>
          <w:tcPr>
            <w:tcW w:w="19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60FB9A6" w14:textId="77777777" w:rsidR="006C011D" w:rsidRPr="005A284F" w:rsidRDefault="006C011D">
            <w:pPr>
              <w:rPr>
                <w:rFonts w:ascii="Times New Roman" w:eastAsia="宋体" w:hAnsi="Times New Roman" w:cs="Times New Roman"/>
              </w:rPr>
            </w:pP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6451F8B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数量</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14:paraId="37C01F8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比例</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608793E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发行新股</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4C42E94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送股</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14:paraId="3DFC1E2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公积金转股</w:t>
            </w:r>
          </w:p>
        </w:tc>
        <w:tc>
          <w:tcPr>
            <w:tcW w:w="561" w:type="dxa"/>
            <w:tcBorders>
              <w:top w:val="single" w:sz="2" w:space="0" w:color="auto"/>
              <w:left w:val="single" w:sz="2" w:space="0" w:color="auto"/>
              <w:bottom w:val="single" w:sz="2" w:space="0" w:color="auto"/>
              <w:right w:val="single" w:sz="2" w:space="0" w:color="auto"/>
            </w:tcBorders>
            <w:shd w:val="clear" w:color="auto" w:fill="D3D3D3"/>
            <w:vAlign w:val="center"/>
          </w:tcPr>
          <w:p w14:paraId="0C1CFA4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c>
          <w:tcPr>
            <w:tcW w:w="715" w:type="dxa"/>
            <w:tcBorders>
              <w:top w:val="single" w:sz="2" w:space="0" w:color="auto"/>
              <w:left w:val="single" w:sz="2" w:space="0" w:color="auto"/>
              <w:bottom w:val="single" w:sz="2" w:space="0" w:color="auto"/>
              <w:right w:val="single" w:sz="2" w:space="0" w:color="auto"/>
            </w:tcBorders>
            <w:shd w:val="clear" w:color="auto" w:fill="D3D3D3"/>
            <w:vAlign w:val="center"/>
          </w:tcPr>
          <w:p w14:paraId="4EBA86A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小计</w:t>
            </w:r>
          </w:p>
        </w:tc>
        <w:tc>
          <w:tcPr>
            <w:tcW w:w="1213" w:type="dxa"/>
            <w:tcBorders>
              <w:top w:val="single" w:sz="2" w:space="0" w:color="auto"/>
              <w:left w:val="single" w:sz="2" w:space="0" w:color="auto"/>
              <w:bottom w:val="single" w:sz="2" w:space="0" w:color="auto"/>
              <w:right w:val="single" w:sz="2" w:space="0" w:color="auto"/>
            </w:tcBorders>
            <w:shd w:val="clear" w:color="auto" w:fill="D3D3D3"/>
            <w:vAlign w:val="center"/>
          </w:tcPr>
          <w:p w14:paraId="64CBAC9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数量</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74A948D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比例</w:t>
            </w:r>
          </w:p>
        </w:tc>
      </w:tr>
      <w:tr w:rsidR="00291E84" w:rsidRPr="005A284F" w14:paraId="6C9FC1CC" w14:textId="77777777" w:rsidTr="00291E84">
        <w:trPr>
          <w:trHeight w:val="240"/>
        </w:trPr>
        <w:tc>
          <w:tcPr>
            <w:tcW w:w="1934" w:type="dxa"/>
            <w:tcBorders>
              <w:top w:val="single" w:sz="2" w:space="0" w:color="auto"/>
              <w:left w:val="single" w:sz="2" w:space="0" w:color="auto"/>
              <w:bottom w:val="single" w:sz="2" w:space="0" w:color="auto"/>
              <w:right w:val="single" w:sz="2" w:space="0" w:color="auto"/>
            </w:tcBorders>
            <w:shd w:val="clear" w:color="auto" w:fill="D3D3D3"/>
            <w:vAlign w:val="center"/>
          </w:tcPr>
          <w:p w14:paraId="52E300F3"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一、有限售条件股份</w:t>
            </w:r>
          </w:p>
        </w:tc>
        <w:tc>
          <w:tcPr>
            <w:tcW w:w="1276" w:type="dxa"/>
            <w:tcBorders>
              <w:top w:val="single" w:sz="2" w:space="0" w:color="auto"/>
              <w:left w:val="single" w:sz="2" w:space="0" w:color="auto"/>
              <w:bottom w:val="single" w:sz="2" w:space="0" w:color="auto"/>
              <w:right w:val="single" w:sz="2" w:space="0" w:color="auto"/>
            </w:tcBorders>
            <w:vAlign w:val="center"/>
          </w:tcPr>
          <w:p w14:paraId="69A83B0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2,047,500</w:t>
            </w:r>
          </w:p>
        </w:tc>
        <w:tc>
          <w:tcPr>
            <w:tcW w:w="708" w:type="dxa"/>
            <w:tcBorders>
              <w:top w:val="single" w:sz="2" w:space="0" w:color="auto"/>
              <w:left w:val="single" w:sz="2" w:space="0" w:color="auto"/>
              <w:bottom w:val="single" w:sz="2" w:space="0" w:color="auto"/>
              <w:right w:val="single" w:sz="2" w:space="0" w:color="auto"/>
            </w:tcBorders>
            <w:vAlign w:val="center"/>
          </w:tcPr>
          <w:p w14:paraId="75EE343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0.19%</w:t>
            </w:r>
          </w:p>
        </w:tc>
        <w:tc>
          <w:tcPr>
            <w:tcW w:w="851" w:type="dxa"/>
            <w:tcBorders>
              <w:top w:val="single" w:sz="2" w:space="0" w:color="auto"/>
              <w:left w:val="single" w:sz="2" w:space="0" w:color="auto"/>
              <w:bottom w:val="single" w:sz="2" w:space="0" w:color="auto"/>
              <w:right w:val="single" w:sz="2" w:space="0" w:color="auto"/>
            </w:tcBorders>
            <w:vAlign w:val="center"/>
          </w:tcPr>
          <w:p w14:paraId="4E5621A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595617A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56D6318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1" w:type="dxa"/>
            <w:tcBorders>
              <w:top w:val="single" w:sz="2" w:space="0" w:color="auto"/>
              <w:left w:val="single" w:sz="2" w:space="0" w:color="auto"/>
              <w:bottom w:val="single" w:sz="2" w:space="0" w:color="auto"/>
              <w:right w:val="single" w:sz="2" w:space="0" w:color="auto"/>
            </w:tcBorders>
            <w:vAlign w:val="center"/>
          </w:tcPr>
          <w:p w14:paraId="72376D1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15" w:type="dxa"/>
            <w:tcBorders>
              <w:top w:val="single" w:sz="2" w:space="0" w:color="auto"/>
              <w:left w:val="single" w:sz="2" w:space="0" w:color="auto"/>
              <w:bottom w:val="single" w:sz="2" w:space="0" w:color="auto"/>
              <w:right w:val="single" w:sz="2" w:space="0" w:color="auto"/>
            </w:tcBorders>
            <w:vAlign w:val="center"/>
          </w:tcPr>
          <w:p w14:paraId="53613C7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13" w:type="dxa"/>
            <w:tcBorders>
              <w:top w:val="single" w:sz="2" w:space="0" w:color="auto"/>
              <w:left w:val="single" w:sz="2" w:space="0" w:color="auto"/>
              <w:bottom w:val="single" w:sz="2" w:space="0" w:color="auto"/>
              <w:right w:val="single" w:sz="2" w:space="0" w:color="auto"/>
            </w:tcBorders>
            <w:vAlign w:val="center"/>
          </w:tcPr>
          <w:p w14:paraId="545A4A2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2,047,500</w:t>
            </w:r>
          </w:p>
        </w:tc>
        <w:tc>
          <w:tcPr>
            <w:tcW w:w="964" w:type="dxa"/>
            <w:tcBorders>
              <w:top w:val="single" w:sz="2" w:space="0" w:color="auto"/>
              <w:left w:val="single" w:sz="2" w:space="0" w:color="auto"/>
              <w:bottom w:val="single" w:sz="2" w:space="0" w:color="auto"/>
              <w:right w:val="single" w:sz="2" w:space="0" w:color="auto"/>
            </w:tcBorders>
            <w:vAlign w:val="center"/>
          </w:tcPr>
          <w:p w14:paraId="26DC4DC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0.19%</w:t>
            </w:r>
          </w:p>
        </w:tc>
      </w:tr>
      <w:tr w:rsidR="00291E84" w:rsidRPr="005A284F" w14:paraId="5EF27B14" w14:textId="77777777" w:rsidTr="00291E84">
        <w:trPr>
          <w:trHeight w:val="240"/>
        </w:trPr>
        <w:tc>
          <w:tcPr>
            <w:tcW w:w="1934" w:type="dxa"/>
            <w:tcBorders>
              <w:top w:val="single" w:sz="2" w:space="0" w:color="auto"/>
              <w:left w:val="single" w:sz="2" w:space="0" w:color="auto"/>
              <w:bottom w:val="single" w:sz="2" w:space="0" w:color="auto"/>
              <w:right w:val="single" w:sz="2" w:space="0" w:color="auto"/>
            </w:tcBorders>
            <w:shd w:val="clear" w:color="auto" w:fill="D3D3D3"/>
            <w:vAlign w:val="center"/>
          </w:tcPr>
          <w:p w14:paraId="47DAA366" w14:textId="77777777" w:rsidR="006C011D" w:rsidRPr="005A284F" w:rsidRDefault="00000000" w:rsidP="00291E84">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、国家持股</w:t>
            </w:r>
          </w:p>
        </w:tc>
        <w:tc>
          <w:tcPr>
            <w:tcW w:w="1276" w:type="dxa"/>
            <w:tcBorders>
              <w:top w:val="single" w:sz="2" w:space="0" w:color="auto"/>
              <w:left w:val="single" w:sz="2" w:space="0" w:color="auto"/>
              <w:bottom w:val="single" w:sz="2" w:space="0" w:color="auto"/>
              <w:right w:val="single" w:sz="2" w:space="0" w:color="auto"/>
            </w:tcBorders>
            <w:vAlign w:val="center"/>
          </w:tcPr>
          <w:p w14:paraId="29BB564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12EA7E1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48F357E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A80DB5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7C6B73F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1" w:type="dxa"/>
            <w:tcBorders>
              <w:top w:val="single" w:sz="2" w:space="0" w:color="auto"/>
              <w:left w:val="single" w:sz="2" w:space="0" w:color="auto"/>
              <w:bottom w:val="single" w:sz="2" w:space="0" w:color="auto"/>
              <w:right w:val="single" w:sz="2" w:space="0" w:color="auto"/>
            </w:tcBorders>
            <w:vAlign w:val="center"/>
          </w:tcPr>
          <w:p w14:paraId="414BCE8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15" w:type="dxa"/>
            <w:tcBorders>
              <w:top w:val="single" w:sz="2" w:space="0" w:color="auto"/>
              <w:left w:val="single" w:sz="2" w:space="0" w:color="auto"/>
              <w:bottom w:val="single" w:sz="2" w:space="0" w:color="auto"/>
              <w:right w:val="single" w:sz="2" w:space="0" w:color="auto"/>
            </w:tcBorders>
            <w:vAlign w:val="center"/>
          </w:tcPr>
          <w:p w14:paraId="143DD85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13" w:type="dxa"/>
            <w:tcBorders>
              <w:top w:val="single" w:sz="2" w:space="0" w:color="auto"/>
              <w:left w:val="single" w:sz="2" w:space="0" w:color="auto"/>
              <w:bottom w:val="single" w:sz="2" w:space="0" w:color="auto"/>
              <w:right w:val="single" w:sz="2" w:space="0" w:color="auto"/>
            </w:tcBorders>
            <w:vAlign w:val="center"/>
          </w:tcPr>
          <w:p w14:paraId="23A18BA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077642EF"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291E84" w:rsidRPr="005A284F" w14:paraId="765492D6" w14:textId="77777777" w:rsidTr="00291E84">
        <w:trPr>
          <w:trHeight w:val="240"/>
        </w:trPr>
        <w:tc>
          <w:tcPr>
            <w:tcW w:w="1934" w:type="dxa"/>
            <w:tcBorders>
              <w:top w:val="single" w:sz="2" w:space="0" w:color="auto"/>
              <w:left w:val="single" w:sz="2" w:space="0" w:color="auto"/>
              <w:bottom w:val="single" w:sz="2" w:space="0" w:color="auto"/>
              <w:right w:val="single" w:sz="2" w:space="0" w:color="auto"/>
            </w:tcBorders>
            <w:shd w:val="clear" w:color="auto" w:fill="D3D3D3"/>
            <w:vAlign w:val="center"/>
          </w:tcPr>
          <w:p w14:paraId="17688735" w14:textId="77777777" w:rsidR="006C011D" w:rsidRPr="005A284F" w:rsidRDefault="00000000" w:rsidP="00291E84">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、国有法人持股</w:t>
            </w:r>
          </w:p>
        </w:tc>
        <w:tc>
          <w:tcPr>
            <w:tcW w:w="1276" w:type="dxa"/>
            <w:tcBorders>
              <w:top w:val="single" w:sz="2" w:space="0" w:color="auto"/>
              <w:left w:val="single" w:sz="2" w:space="0" w:color="auto"/>
              <w:bottom w:val="single" w:sz="2" w:space="0" w:color="auto"/>
              <w:right w:val="single" w:sz="2" w:space="0" w:color="auto"/>
            </w:tcBorders>
            <w:vAlign w:val="center"/>
          </w:tcPr>
          <w:p w14:paraId="2017C70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4B3B626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403A39B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14C4315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45A4A72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1" w:type="dxa"/>
            <w:tcBorders>
              <w:top w:val="single" w:sz="2" w:space="0" w:color="auto"/>
              <w:left w:val="single" w:sz="2" w:space="0" w:color="auto"/>
              <w:bottom w:val="single" w:sz="2" w:space="0" w:color="auto"/>
              <w:right w:val="single" w:sz="2" w:space="0" w:color="auto"/>
            </w:tcBorders>
            <w:vAlign w:val="center"/>
          </w:tcPr>
          <w:p w14:paraId="58AC410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15" w:type="dxa"/>
            <w:tcBorders>
              <w:top w:val="single" w:sz="2" w:space="0" w:color="auto"/>
              <w:left w:val="single" w:sz="2" w:space="0" w:color="auto"/>
              <w:bottom w:val="single" w:sz="2" w:space="0" w:color="auto"/>
              <w:right w:val="single" w:sz="2" w:space="0" w:color="auto"/>
            </w:tcBorders>
            <w:vAlign w:val="center"/>
          </w:tcPr>
          <w:p w14:paraId="6347918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13" w:type="dxa"/>
            <w:tcBorders>
              <w:top w:val="single" w:sz="2" w:space="0" w:color="auto"/>
              <w:left w:val="single" w:sz="2" w:space="0" w:color="auto"/>
              <w:bottom w:val="single" w:sz="2" w:space="0" w:color="auto"/>
              <w:right w:val="single" w:sz="2" w:space="0" w:color="auto"/>
            </w:tcBorders>
            <w:vAlign w:val="center"/>
          </w:tcPr>
          <w:p w14:paraId="4BA75FD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6F143C27"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291E84" w:rsidRPr="005A284F" w14:paraId="243FC311" w14:textId="77777777" w:rsidTr="00291E84">
        <w:trPr>
          <w:trHeight w:val="240"/>
        </w:trPr>
        <w:tc>
          <w:tcPr>
            <w:tcW w:w="1934" w:type="dxa"/>
            <w:tcBorders>
              <w:top w:val="single" w:sz="2" w:space="0" w:color="auto"/>
              <w:left w:val="single" w:sz="2" w:space="0" w:color="auto"/>
              <w:bottom w:val="single" w:sz="2" w:space="0" w:color="auto"/>
              <w:right w:val="single" w:sz="2" w:space="0" w:color="auto"/>
            </w:tcBorders>
            <w:shd w:val="clear" w:color="auto" w:fill="D3D3D3"/>
            <w:vAlign w:val="center"/>
          </w:tcPr>
          <w:p w14:paraId="25920086" w14:textId="77777777" w:rsidR="006C011D" w:rsidRPr="005A284F" w:rsidRDefault="00000000" w:rsidP="00291E84">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、其他内资持股</w:t>
            </w:r>
          </w:p>
        </w:tc>
        <w:tc>
          <w:tcPr>
            <w:tcW w:w="1276" w:type="dxa"/>
            <w:tcBorders>
              <w:top w:val="single" w:sz="2" w:space="0" w:color="auto"/>
              <w:left w:val="single" w:sz="2" w:space="0" w:color="auto"/>
              <w:bottom w:val="single" w:sz="2" w:space="0" w:color="auto"/>
              <w:right w:val="single" w:sz="2" w:space="0" w:color="auto"/>
            </w:tcBorders>
            <w:vAlign w:val="center"/>
          </w:tcPr>
          <w:p w14:paraId="6D2AD3F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2,047,500</w:t>
            </w:r>
          </w:p>
        </w:tc>
        <w:tc>
          <w:tcPr>
            <w:tcW w:w="708" w:type="dxa"/>
            <w:tcBorders>
              <w:top w:val="single" w:sz="2" w:space="0" w:color="auto"/>
              <w:left w:val="single" w:sz="2" w:space="0" w:color="auto"/>
              <w:bottom w:val="single" w:sz="2" w:space="0" w:color="auto"/>
              <w:right w:val="single" w:sz="2" w:space="0" w:color="auto"/>
            </w:tcBorders>
            <w:vAlign w:val="center"/>
          </w:tcPr>
          <w:p w14:paraId="1F13A3C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0.19%</w:t>
            </w:r>
          </w:p>
        </w:tc>
        <w:tc>
          <w:tcPr>
            <w:tcW w:w="851" w:type="dxa"/>
            <w:tcBorders>
              <w:top w:val="single" w:sz="2" w:space="0" w:color="auto"/>
              <w:left w:val="single" w:sz="2" w:space="0" w:color="auto"/>
              <w:bottom w:val="single" w:sz="2" w:space="0" w:color="auto"/>
              <w:right w:val="single" w:sz="2" w:space="0" w:color="auto"/>
            </w:tcBorders>
            <w:vAlign w:val="center"/>
          </w:tcPr>
          <w:p w14:paraId="4F7E970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673E46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670EBBA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1" w:type="dxa"/>
            <w:tcBorders>
              <w:top w:val="single" w:sz="2" w:space="0" w:color="auto"/>
              <w:left w:val="single" w:sz="2" w:space="0" w:color="auto"/>
              <w:bottom w:val="single" w:sz="2" w:space="0" w:color="auto"/>
              <w:right w:val="single" w:sz="2" w:space="0" w:color="auto"/>
            </w:tcBorders>
            <w:vAlign w:val="center"/>
          </w:tcPr>
          <w:p w14:paraId="3B41ED4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15" w:type="dxa"/>
            <w:tcBorders>
              <w:top w:val="single" w:sz="2" w:space="0" w:color="auto"/>
              <w:left w:val="single" w:sz="2" w:space="0" w:color="auto"/>
              <w:bottom w:val="single" w:sz="2" w:space="0" w:color="auto"/>
              <w:right w:val="single" w:sz="2" w:space="0" w:color="auto"/>
            </w:tcBorders>
            <w:vAlign w:val="center"/>
          </w:tcPr>
          <w:p w14:paraId="6B37AC8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13" w:type="dxa"/>
            <w:tcBorders>
              <w:top w:val="single" w:sz="2" w:space="0" w:color="auto"/>
              <w:left w:val="single" w:sz="2" w:space="0" w:color="auto"/>
              <w:bottom w:val="single" w:sz="2" w:space="0" w:color="auto"/>
              <w:right w:val="single" w:sz="2" w:space="0" w:color="auto"/>
            </w:tcBorders>
            <w:vAlign w:val="center"/>
          </w:tcPr>
          <w:p w14:paraId="51E3AA8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2,047,500</w:t>
            </w:r>
          </w:p>
        </w:tc>
        <w:tc>
          <w:tcPr>
            <w:tcW w:w="964" w:type="dxa"/>
            <w:tcBorders>
              <w:top w:val="single" w:sz="2" w:space="0" w:color="auto"/>
              <w:left w:val="single" w:sz="2" w:space="0" w:color="auto"/>
              <w:bottom w:val="single" w:sz="2" w:space="0" w:color="auto"/>
              <w:right w:val="single" w:sz="2" w:space="0" w:color="auto"/>
            </w:tcBorders>
            <w:vAlign w:val="center"/>
          </w:tcPr>
          <w:p w14:paraId="261239C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0.19%</w:t>
            </w:r>
          </w:p>
        </w:tc>
      </w:tr>
      <w:tr w:rsidR="00291E84" w:rsidRPr="005A284F" w14:paraId="78066FD6" w14:textId="77777777" w:rsidTr="00291E84">
        <w:trPr>
          <w:trHeight w:val="240"/>
        </w:trPr>
        <w:tc>
          <w:tcPr>
            <w:tcW w:w="1934" w:type="dxa"/>
            <w:tcBorders>
              <w:top w:val="single" w:sz="2" w:space="0" w:color="auto"/>
              <w:left w:val="single" w:sz="2" w:space="0" w:color="auto"/>
              <w:bottom w:val="single" w:sz="2" w:space="0" w:color="auto"/>
              <w:right w:val="single" w:sz="2" w:space="0" w:color="auto"/>
            </w:tcBorders>
            <w:shd w:val="clear" w:color="auto" w:fill="D3D3D3"/>
            <w:vAlign w:val="center"/>
          </w:tcPr>
          <w:p w14:paraId="3D2B1DFF" w14:textId="77777777" w:rsidR="006C011D" w:rsidRPr="005A284F" w:rsidRDefault="00000000" w:rsidP="00291E84">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其中：境内法人持股</w:t>
            </w:r>
          </w:p>
        </w:tc>
        <w:tc>
          <w:tcPr>
            <w:tcW w:w="1276" w:type="dxa"/>
            <w:tcBorders>
              <w:top w:val="single" w:sz="2" w:space="0" w:color="auto"/>
              <w:left w:val="single" w:sz="2" w:space="0" w:color="auto"/>
              <w:bottom w:val="single" w:sz="2" w:space="0" w:color="auto"/>
              <w:right w:val="single" w:sz="2" w:space="0" w:color="auto"/>
            </w:tcBorders>
            <w:vAlign w:val="center"/>
          </w:tcPr>
          <w:p w14:paraId="3A2A89A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0CF02A4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7492D8B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091703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268A2E8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1" w:type="dxa"/>
            <w:tcBorders>
              <w:top w:val="single" w:sz="2" w:space="0" w:color="auto"/>
              <w:left w:val="single" w:sz="2" w:space="0" w:color="auto"/>
              <w:bottom w:val="single" w:sz="2" w:space="0" w:color="auto"/>
              <w:right w:val="single" w:sz="2" w:space="0" w:color="auto"/>
            </w:tcBorders>
            <w:vAlign w:val="center"/>
          </w:tcPr>
          <w:p w14:paraId="1E275D9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15" w:type="dxa"/>
            <w:tcBorders>
              <w:top w:val="single" w:sz="2" w:space="0" w:color="auto"/>
              <w:left w:val="single" w:sz="2" w:space="0" w:color="auto"/>
              <w:bottom w:val="single" w:sz="2" w:space="0" w:color="auto"/>
              <w:right w:val="single" w:sz="2" w:space="0" w:color="auto"/>
            </w:tcBorders>
            <w:vAlign w:val="center"/>
          </w:tcPr>
          <w:p w14:paraId="673D2E7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13" w:type="dxa"/>
            <w:tcBorders>
              <w:top w:val="single" w:sz="2" w:space="0" w:color="auto"/>
              <w:left w:val="single" w:sz="2" w:space="0" w:color="auto"/>
              <w:bottom w:val="single" w:sz="2" w:space="0" w:color="auto"/>
              <w:right w:val="single" w:sz="2" w:space="0" w:color="auto"/>
            </w:tcBorders>
            <w:vAlign w:val="center"/>
          </w:tcPr>
          <w:p w14:paraId="312C33D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07CDAA2F"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291E84" w:rsidRPr="005A284F" w14:paraId="1B0A0283" w14:textId="77777777" w:rsidTr="00291E84">
        <w:trPr>
          <w:trHeight w:val="240"/>
        </w:trPr>
        <w:tc>
          <w:tcPr>
            <w:tcW w:w="1934" w:type="dxa"/>
            <w:tcBorders>
              <w:top w:val="single" w:sz="2" w:space="0" w:color="auto"/>
              <w:left w:val="single" w:sz="2" w:space="0" w:color="auto"/>
              <w:bottom w:val="single" w:sz="2" w:space="0" w:color="auto"/>
              <w:right w:val="single" w:sz="2" w:space="0" w:color="auto"/>
            </w:tcBorders>
            <w:shd w:val="clear" w:color="auto" w:fill="D3D3D3"/>
            <w:vAlign w:val="center"/>
          </w:tcPr>
          <w:p w14:paraId="29FD6FBC" w14:textId="77777777" w:rsidR="006C011D" w:rsidRPr="005A284F" w:rsidRDefault="00000000" w:rsidP="00291E84">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境内自然人持股</w:t>
            </w:r>
          </w:p>
        </w:tc>
        <w:tc>
          <w:tcPr>
            <w:tcW w:w="1276" w:type="dxa"/>
            <w:tcBorders>
              <w:top w:val="single" w:sz="2" w:space="0" w:color="auto"/>
              <w:left w:val="single" w:sz="2" w:space="0" w:color="auto"/>
              <w:bottom w:val="single" w:sz="2" w:space="0" w:color="auto"/>
              <w:right w:val="single" w:sz="2" w:space="0" w:color="auto"/>
            </w:tcBorders>
            <w:vAlign w:val="center"/>
          </w:tcPr>
          <w:p w14:paraId="7AB4570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2,047,500</w:t>
            </w:r>
          </w:p>
        </w:tc>
        <w:tc>
          <w:tcPr>
            <w:tcW w:w="708" w:type="dxa"/>
            <w:tcBorders>
              <w:top w:val="single" w:sz="2" w:space="0" w:color="auto"/>
              <w:left w:val="single" w:sz="2" w:space="0" w:color="auto"/>
              <w:bottom w:val="single" w:sz="2" w:space="0" w:color="auto"/>
              <w:right w:val="single" w:sz="2" w:space="0" w:color="auto"/>
            </w:tcBorders>
            <w:vAlign w:val="center"/>
          </w:tcPr>
          <w:p w14:paraId="737BE90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0.19%</w:t>
            </w:r>
          </w:p>
        </w:tc>
        <w:tc>
          <w:tcPr>
            <w:tcW w:w="851" w:type="dxa"/>
            <w:tcBorders>
              <w:top w:val="single" w:sz="2" w:space="0" w:color="auto"/>
              <w:left w:val="single" w:sz="2" w:space="0" w:color="auto"/>
              <w:bottom w:val="single" w:sz="2" w:space="0" w:color="auto"/>
              <w:right w:val="single" w:sz="2" w:space="0" w:color="auto"/>
            </w:tcBorders>
            <w:vAlign w:val="center"/>
          </w:tcPr>
          <w:p w14:paraId="73A6CB9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0DC4B6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7E464EA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1" w:type="dxa"/>
            <w:tcBorders>
              <w:top w:val="single" w:sz="2" w:space="0" w:color="auto"/>
              <w:left w:val="single" w:sz="2" w:space="0" w:color="auto"/>
              <w:bottom w:val="single" w:sz="2" w:space="0" w:color="auto"/>
              <w:right w:val="single" w:sz="2" w:space="0" w:color="auto"/>
            </w:tcBorders>
            <w:vAlign w:val="center"/>
          </w:tcPr>
          <w:p w14:paraId="6A44C73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15" w:type="dxa"/>
            <w:tcBorders>
              <w:top w:val="single" w:sz="2" w:space="0" w:color="auto"/>
              <w:left w:val="single" w:sz="2" w:space="0" w:color="auto"/>
              <w:bottom w:val="single" w:sz="2" w:space="0" w:color="auto"/>
              <w:right w:val="single" w:sz="2" w:space="0" w:color="auto"/>
            </w:tcBorders>
            <w:vAlign w:val="center"/>
          </w:tcPr>
          <w:p w14:paraId="6B9A915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13" w:type="dxa"/>
            <w:tcBorders>
              <w:top w:val="single" w:sz="2" w:space="0" w:color="auto"/>
              <w:left w:val="single" w:sz="2" w:space="0" w:color="auto"/>
              <w:bottom w:val="single" w:sz="2" w:space="0" w:color="auto"/>
              <w:right w:val="single" w:sz="2" w:space="0" w:color="auto"/>
            </w:tcBorders>
            <w:vAlign w:val="center"/>
          </w:tcPr>
          <w:p w14:paraId="23C5CD8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2,047,500</w:t>
            </w:r>
          </w:p>
        </w:tc>
        <w:tc>
          <w:tcPr>
            <w:tcW w:w="964" w:type="dxa"/>
            <w:tcBorders>
              <w:top w:val="single" w:sz="2" w:space="0" w:color="auto"/>
              <w:left w:val="single" w:sz="2" w:space="0" w:color="auto"/>
              <w:bottom w:val="single" w:sz="2" w:space="0" w:color="auto"/>
              <w:right w:val="single" w:sz="2" w:space="0" w:color="auto"/>
            </w:tcBorders>
            <w:vAlign w:val="center"/>
          </w:tcPr>
          <w:p w14:paraId="766BA79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0.19%</w:t>
            </w:r>
          </w:p>
        </w:tc>
      </w:tr>
      <w:tr w:rsidR="00291E84" w:rsidRPr="005A284F" w14:paraId="4D10025B" w14:textId="77777777" w:rsidTr="00291E84">
        <w:trPr>
          <w:trHeight w:val="240"/>
        </w:trPr>
        <w:tc>
          <w:tcPr>
            <w:tcW w:w="1934" w:type="dxa"/>
            <w:tcBorders>
              <w:top w:val="single" w:sz="2" w:space="0" w:color="auto"/>
              <w:left w:val="single" w:sz="2" w:space="0" w:color="auto"/>
              <w:bottom w:val="single" w:sz="2" w:space="0" w:color="auto"/>
              <w:right w:val="single" w:sz="2" w:space="0" w:color="auto"/>
            </w:tcBorders>
            <w:shd w:val="clear" w:color="auto" w:fill="D3D3D3"/>
            <w:vAlign w:val="center"/>
          </w:tcPr>
          <w:p w14:paraId="6A0F125C" w14:textId="77777777" w:rsidR="006C011D" w:rsidRPr="005A284F" w:rsidRDefault="00000000" w:rsidP="00291E84">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、外资持股</w:t>
            </w:r>
          </w:p>
        </w:tc>
        <w:tc>
          <w:tcPr>
            <w:tcW w:w="1276" w:type="dxa"/>
            <w:tcBorders>
              <w:top w:val="single" w:sz="2" w:space="0" w:color="auto"/>
              <w:left w:val="single" w:sz="2" w:space="0" w:color="auto"/>
              <w:bottom w:val="single" w:sz="2" w:space="0" w:color="auto"/>
              <w:right w:val="single" w:sz="2" w:space="0" w:color="auto"/>
            </w:tcBorders>
            <w:vAlign w:val="center"/>
          </w:tcPr>
          <w:p w14:paraId="5F404B2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4090216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745E97D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BF476C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1C7EE3B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1" w:type="dxa"/>
            <w:tcBorders>
              <w:top w:val="single" w:sz="2" w:space="0" w:color="auto"/>
              <w:left w:val="single" w:sz="2" w:space="0" w:color="auto"/>
              <w:bottom w:val="single" w:sz="2" w:space="0" w:color="auto"/>
              <w:right w:val="single" w:sz="2" w:space="0" w:color="auto"/>
            </w:tcBorders>
            <w:vAlign w:val="center"/>
          </w:tcPr>
          <w:p w14:paraId="4AF237A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15" w:type="dxa"/>
            <w:tcBorders>
              <w:top w:val="single" w:sz="2" w:space="0" w:color="auto"/>
              <w:left w:val="single" w:sz="2" w:space="0" w:color="auto"/>
              <w:bottom w:val="single" w:sz="2" w:space="0" w:color="auto"/>
              <w:right w:val="single" w:sz="2" w:space="0" w:color="auto"/>
            </w:tcBorders>
            <w:vAlign w:val="center"/>
          </w:tcPr>
          <w:p w14:paraId="494DAB2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13" w:type="dxa"/>
            <w:tcBorders>
              <w:top w:val="single" w:sz="2" w:space="0" w:color="auto"/>
              <w:left w:val="single" w:sz="2" w:space="0" w:color="auto"/>
              <w:bottom w:val="single" w:sz="2" w:space="0" w:color="auto"/>
              <w:right w:val="single" w:sz="2" w:space="0" w:color="auto"/>
            </w:tcBorders>
            <w:vAlign w:val="center"/>
          </w:tcPr>
          <w:p w14:paraId="43ACCF5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579A1477"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291E84" w:rsidRPr="005A284F" w14:paraId="1A12DD7A" w14:textId="77777777" w:rsidTr="00291E84">
        <w:trPr>
          <w:trHeight w:val="240"/>
        </w:trPr>
        <w:tc>
          <w:tcPr>
            <w:tcW w:w="1934" w:type="dxa"/>
            <w:tcBorders>
              <w:top w:val="single" w:sz="2" w:space="0" w:color="auto"/>
              <w:left w:val="single" w:sz="2" w:space="0" w:color="auto"/>
              <w:bottom w:val="single" w:sz="2" w:space="0" w:color="auto"/>
              <w:right w:val="single" w:sz="2" w:space="0" w:color="auto"/>
            </w:tcBorders>
            <w:shd w:val="clear" w:color="auto" w:fill="D3D3D3"/>
            <w:vAlign w:val="center"/>
          </w:tcPr>
          <w:p w14:paraId="7A3730D3" w14:textId="77777777" w:rsidR="006C011D" w:rsidRPr="005A284F" w:rsidRDefault="00000000" w:rsidP="00291E84">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其中：境外法人持股</w:t>
            </w:r>
          </w:p>
        </w:tc>
        <w:tc>
          <w:tcPr>
            <w:tcW w:w="1276" w:type="dxa"/>
            <w:tcBorders>
              <w:top w:val="single" w:sz="2" w:space="0" w:color="auto"/>
              <w:left w:val="single" w:sz="2" w:space="0" w:color="auto"/>
              <w:bottom w:val="single" w:sz="2" w:space="0" w:color="auto"/>
              <w:right w:val="single" w:sz="2" w:space="0" w:color="auto"/>
            </w:tcBorders>
            <w:vAlign w:val="center"/>
          </w:tcPr>
          <w:p w14:paraId="325911B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1E08F46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58947D8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53A0EF7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600FD4B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1" w:type="dxa"/>
            <w:tcBorders>
              <w:top w:val="single" w:sz="2" w:space="0" w:color="auto"/>
              <w:left w:val="single" w:sz="2" w:space="0" w:color="auto"/>
              <w:bottom w:val="single" w:sz="2" w:space="0" w:color="auto"/>
              <w:right w:val="single" w:sz="2" w:space="0" w:color="auto"/>
            </w:tcBorders>
            <w:vAlign w:val="center"/>
          </w:tcPr>
          <w:p w14:paraId="5A604F9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15" w:type="dxa"/>
            <w:tcBorders>
              <w:top w:val="single" w:sz="2" w:space="0" w:color="auto"/>
              <w:left w:val="single" w:sz="2" w:space="0" w:color="auto"/>
              <w:bottom w:val="single" w:sz="2" w:space="0" w:color="auto"/>
              <w:right w:val="single" w:sz="2" w:space="0" w:color="auto"/>
            </w:tcBorders>
            <w:vAlign w:val="center"/>
          </w:tcPr>
          <w:p w14:paraId="3BD9346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13" w:type="dxa"/>
            <w:tcBorders>
              <w:top w:val="single" w:sz="2" w:space="0" w:color="auto"/>
              <w:left w:val="single" w:sz="2" w:space="0" w:color="auto"/>
              <w:bottom w:val="single" w:sz="2" w:space="0" w:color="auto"/>
              <w:right w:val="single" w:sz="2" w:space="0" w:color="auto"/>
            </w:tcBorders>
            <w:vAlign w:val="center"/>
          </w:tcPr>
          <w:p w14:paraId="16BC659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5492AD65"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291E84" w:rsidRPr="005A284F" w14:paraId="7C3035DD" w14:textId="77777777" w:rsidTr="00291E84">
        <w:trPr>
          <w:trHeight w:val="240"/>
        </w:trPr>
        <w:tc>
          <w:tcPr>
            <w:tcW w:w="1934" w:type="dxa"/>
            <w:tcBorders>
              <w:top w:val="single" w:sz="2" w:space="0" w:color="auto"/>
              <w:left w:val="single" w:sz="2" w:space="0" w:color="auto"/>
              <w:bottom w:val="single" w:sz="2" w:space="0" w:color="auto"/>
              <w:right w:val="single" w:sz="2" w:space="0" w:color="auto"/>
            </w:tcBorders>
            <w:shd w:val="clear" w:color="auto" w:fill="D3D3D3"/>
            <w:vAlign w:val="center"/>
          </w:tcPr>
          <w:p w14:paraId="60C7465E" w14:textId="77777777" w:rsidR="006C011D" w:rsidRPr="005A284F" w:rsidRDefault="00000000" w:rsidP="00291E84">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境外自然人持股</w:t>
            </w:r>
          </w:p>
        </w:tc>
        <w:tc>
          <w:tcPr>
            <w:tcW w:w="1276" w:type="dxa"/>
            <w:tcBorders>
              <w:top w:val="single" w:sz="2" w:space="0" w:color="auto"/>
              <w:left w:val="single" w:sz="2" w:space="0" w:color="auto"/>
              <w:bottom w:val="single" w:sz="2" w:space="0" w:color="auto"/>
              <w:right w:val="single" w:sz="2" w:space="0" w:color="auto"/>
            </w:tcBorders>
            <w:vAlign w:val="center"/>
          </w:tcPr>
          <w:p w14:paraId="57E3751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4C0EDCC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713787D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A6337F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4B67F2E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1" w:type="dxa"/>
            <w:tcBorders>
              <w:top w:val="single" w:sz="2" w:space="0" w:color="auto"/>
              <w:left w:val="single" w:sz="2" w:space="0" w:color="auto"/>
              <w:bottom w:val="single" w:sz="2" w:space="0" w:color="auto"/>
              <w:right w:val="single" w:sz="2" w:space="0" w:color="auto"/>
            </w:tcBorders>
            <w:vAlign w:val="center"/>
          </w:tcPr>
          <w:p w14:paraId="6DDE437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15" w:type="dxa"/>
            <w:tcBorders>
              <w:top w:val="single" w:sz="2" w:space="0" w:color="auto"/>
              <w:left w:val="single" w:sz="2" w:space="0" w:color="auto"/>
              <w:bottom w:val="single" w:sz="2" w:space="0" w:color="auto"/>
              <w:right w:val="single" w:sz="2" w:space="0" w:color="auto"/>
            </w:tcBorders>
            <w:vAlign w:val="center"/>
          </w:tcPr>
          <w:p w14:paraId="02CFD56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13" w:type="dxa"/>
            <w:tcBorders>
              <w:top w:val="single" w:sz="2" w:space="0" w:color="auto"/>
              <w:left w:val="single" w:sz="2" w:space="0" w:color="auto"/>
              <w:bottom w:val="single" w:sz="2" w:space="0" w:color="auto"/>
              <w:right w:val="single" w:sz="2" w:space="0" w:color="auto"/>
            </w:tcBorders>
            <w:vAlign w:val="center"/>
          </w:tcPr>
          <w:p w14:paraId="7A3A6C8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2E61E237"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291E84" w:rsidRPr="005A284F" w14:paraId="3E587A1D" w14:textId="77777777" w:rsidTr="00291E84">
        <w:trPr>
          <w:trHeight w:val="240"/>
        </w:trPr>
        <w:tc>
          <w:tcPr>
            <w:tcW w:w="1934" w:type="dxa"/>
            <w:tcBorders>
              <w:top w:val="single" w:sz="2" w:space="0" w:color="auto"/>
              <w:left w:val="single" w:sz="2" w:space="0" w:color="auto"/>
              <w:bottom w:val="single" w:sz="2" w:space="0" w:color="auto"/>
              <w:right w:val="single" w:sz="2" w:space="0" w:color="auto"/>
            </w:tcBorders>
            <w:shd w:val="clear" w:color="auto" w:fill="D3D3D3"/>
            <w:vAlign w:val="center"/>
          </w:tcPr>
          <w:p w14:paraId="608F4FF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二、无限售条件股份</w:t>
            </w:r>
          </w:p>
        </w:tc>
        <w:tc>
          <w:tcPr>
            <w:tcW w:w="1276" w:type="dxa"/>
            <w:tcBorders>
              <w:top w:val="single" w:sz="2" w:space="0" w:color="auto"/>
              <w:left w:val="single" w:sz="2" w:space="0" w:color="auto"/>
              <w:bottom w:val="single" w:sz="2" w:space="0" w:color="auto"/>
              <w:right w:val="single" w:sz="2" w:space="0" w:color="auto"/>
            </w:tcBorders>
            <w:vAlign w:val="center"/>
          </w:tcPr>
          <w:p w14:paraId="74FC0AD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1,077,112,761</w:t>
            </w:r>
          </w:p>
        </w:tc>
        <w:tc>
          <w:tcPr>
            <w:tcW w:w="708" w:type="dxa"/>
            <w:tcBorders>
              <w:top w:val="single" w:sz="2" w:space="0" w:color="auto"/>
              <w:left w:val="single" w:sz="2" w:space="0" w:color="auto"/>
              <w:bottom w:val="single" w:sz="2" w:space="0" w:color="auto"/>
              <w:right w:val="single" w:sz="2" w:space="0" w:color="auto"/>
            </w:tcBorders>
            <w:vAlign w:val="center"/>
          </w:tcPr>
          <w:p w14:paraId="04392FA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99.81%</w:t>
            </w:r>
          </w:p>
        </w:tc>
        <w:tc>
          <w:tcPr>
            <w:tcW w:w="851" w:type="dxa"/>
            <w:tcBorders>
              <w:top w:val="single" w:sz="2" w:space="0" w:color="auto"/>
              <w:left w:val="single" w:sz="2" w:space="0" w:color="auto"/>
              <w:bottom w:val="single" w:sz="2" w:space="0" w:color="auto"/>
              <w:right w:val="single" w:sz="2" w:space="0" w:color="auto"/>
            </w:tcBorders>
            <w:vAlign w:val="center"/>
          </w:tcPr>
          <w:p w14:paraId="20E5E73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14:paraId="2EE4291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708" w:type="dxa"/>
            <w:tcBorders>
              <w:top w:val="single" w:sz="2" w:space="0" w:color="auto"/>
              <w:left w:val="single" w:sz="2" w:space="0" w:color="auto"/>
              <w:bottom w:val="single" w:sz="2" w:space="0" w:color="auto"/>
              <w:right w:val="single" w:sz="2" w:space="0" w:color="auto"/>
            </w:tcBorders>
            <w:vAlign w:val="center"/>
          </w:tcPr>
          <w:p w14:paraId="0209E1E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561" w:type="dxa"/>
            <w:tcBorders>
              <w:top w:val="single" w:sz="2" w:space="0" w:color="auto"/>
              <w:left w:val="single" w:sz="2" w:space="0" w:color="auto"/>
              <w:bottom w:val="single" w:sz="2" w:space="0" w:color="auto"/>
              <w:right w:val="single" w:sz="2" w:space="0" w:color="auto"/>
            </w:tcBorders>
            <w:vAlign w:val="center"/>
          </w:tcPr>
          <w:p w14:paraId="502B2BE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428</w:t>
            </w:r>
          </w:p>
        </w:tc>
        <w:tc>
          <w:tcPr>
            <w:tcW w:w="715" w:type="dxa"/>
            <w:tcBorders>
              <w:top w:val="single" w:sz="2" w:space="0" w:color="auto"/>
              <w:left w:val="single" w:sz="2" w:space="0" w:color="auto"/>
              <w:bottom w:val="single" w:sz="2" w:space="0" w:color="auto"/>
              <w:right w:val="single" w:sz="2" w:space="0" w:color="auto"/>
            </w:tcBorders>
            <w:vAlign w:val="center"/>
          </w:tcPr>
          <w:p w14:paraId="233F715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428</w:t>
            </w:r>
          </w:p>
        </w:tc>
        <w:tc>
          <w:tcPr>
            <w:tcW w:w="1213" w:type="dxa"/>
            <w:tcBorders>
              <w:top w:val="single" w:sz="2" w:space="0" w:color="auto"/>
              <w:left w:val="single" w:sz="2" w:space="0" w:color="auto"/>
              <w:bottom w:val="single" w:sz="2" w:space="0" w:color="auto"/>
              <w:right w:val="single" w:sz="2" w:space="0" w:color="auto"/>
            </w:tcBorders>
            <w:vAlign w:val="center"/>
          </w:tcPr>
          <w:p w14:paraId="53EB16B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1,077,113,189</w:t>
            </w:r>
          </w:p>
        </w:tc>
        <w:tc>
          <w:tcPr>
            <w:tcW w:w="964" w:type="dxa"/>
            <w:tcBorders>
              <w:top w:val="single" w:sz="2" w:space="0" w:color="auto"/>
              <w:left w:val="single" w:sz="2" w:space="0" w:color="auto"/>
              <w:bottom w:val="single" w:sz="2" w:space="0" w:color="auto"/>
              <w:right w:val="single" w:sz="2" w:space="0" w:color="auto"/>
            </w:tcBorders>
            <w:vAlign w:val="center"/>
          </w:tcPr>
          <w:p w14:paraId="7CD2CEE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99.81%</w:t>
            </w:r>
          </w:p>
        </w:tc>
      </w:tr>
      <w:tr w:rsidR="00291E84" w:rsidRPr="005A284F" w14:paraId="5CE069F5" w14:textId="77777777" w:rsidTr="00291E84">
        <w:trPr>
          <w:trHeight w:val="240"/>
        </w:trPr>
        <w:tc>
          <w:tcPr>
            <w:tcW w:w="1934" w:type="dxa"/>
            <w:tcBorders>
              <w:top w:val="single" w:sz="2" w:space="0" w:color="auto"/>
              <w:left w:val="single" w:sz="2" w:space="0" w:color="auto"/>
              <w:bottom w:val="single" w:sz="2" w:space="0" w:color="auto"/>
              <w:right w:val="single" w:sz="2" w:space="0" w:color="auto"/>
            </w:tcBorders>
            <w:shd w:val="clear" w:color="auto" w:fill="D3D3D3"/>
            <w:vAlign w:val="center"/>
          </w:tcPr>
          <w:p w14:paraId="635190A9" w14:textId="77777777" w:rsidR="006C011D" w:rsidRPr="005A284F" w:rsidRDefault="00000000" w:rsidP="00291E84">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、人民币普通股</w:t>
            </w:r>
          </w:p>
        </w:tc>
        <w:tc>
          <w:tcPr>
            <w:tcW w:w="1276" w:type="dxa"/>
            <w:tcBorders>
              <w:top w:val="single" w:sz="2" w:space="0" w:color="auto"/>
              <w:left w:val="single" w:sz="2" w:space="0" w:color="auto"/>
              <w:bottom w:val="single" w:sz="2" w:space="0" w:color="auto"/>
              <w:right w:val="single" w:sz="2" w:space="0" w:color="auto"/>
            </w:tcBorders>
            <w:vAlign w:val="center"/>
          </w:tcPr>
          <w:p w14:paraId="4B27935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1,077,112,761</w:t>
            </w:r>
          </w:p>
        </w:tc>
        <w:tc>
          <w:tcPr>
            <w:tcW w:w="708" w:type="dxa"/>
            <w:tcBorders>
              <w:top w:val="single" w:sz="2" w:space="0" w:color="auto"/>
              <w:left w:val="single" w:sz="2" w:space="0" w:color="auto"/>
              <w:bottom w:val="single" w:sz="2" w:space="0" w:color="auto"/>
              <w:right w:val="single" w:sz="2" w:space="0" w:color="auto"/>
            </w:tcBorders>
            <w:vAlign w:val="center"/>
          </w:tcPr>
          <w:p w14:paraId="484C325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99.81%</w:t>
            </w:r>
          </w:p>
        </w:tc>
        <w:tc>
          <w:tcPr>
            <w:tcW w:w="851" w:type="dxa"/>
            <w:tcBorders>
              <w:top w:val="single" w:sz="2" w:space="0" w:color="auto"/>
              <w:left w:val="single" w:sz="2" w:space="0" w:color="auto"/>
              <w:bottom w:val="single" w:sz="2" w:space="0" w:color="auto"/>
              <w:right w:val="single" w:sz="2" w:space="0" w:color="auto"/>
            </w:tcBorders>
            <w:vAlign w:val="center"/>
          </w:tcPr>
          <w:p w14:paraId="2E3332B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14:paraId="7D2DF99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708" w:type="dxa"/>
            <w:tcBorders>
              <w:top w:val="single" w:sz="2" w:space="0" w:color="auto"/>
              <w:left w:val="single" w:sz="2" w:space="0" w:color="auto"/>
              <w:bottom w:val="single" w:sz="2" w:space="0" w:color="auto"/>
              <w:right w:val="single" w:sz="2" w:space="0" w:color="auto"/>
            </w:tcBorders>
            <w:vAlign w:val="center"/>
          </w:tcPr>
          <w:p w14:paraId="67CCDE8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561" w:type="dxa"/>
            <w:tcBorders>
              <w:top w:val="single" w:sz="2" w:space="0" w:color="auto"/>
              <w:left w:val="single" w:sz="2" w:space="0" w:color="auto"/>
              <w:bottom w:val="single" w:sz="2" w:space="0" w:color="auto"/>
              <w:right w:val="single" w:sz="2" w:space="0" w:color="auto"/>
            </w:tcBorders>
            <w:vAlign w:val="center"/>
          </w:tcPr>
          <w:p w14:paraId="39820F1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428</w:t>
            </w:r>
          </w:p>
        </w:tc>
        <w:tc>
          <w:tcPr>
            <w:tcW w:w="715" w:type="dxa"/>
            <w:tcBorders>
              <w:top w:val="single" w:sz="2" w:space="0" w:color="auto"/>
              <w:left w:val="single" w:sz="2" w:space="0" w:color="auto"/>
              <w:bottom w:val="single" w:sz="2" w:space="0" w:color="auto"/>
              <w:right w:val="single" w:sz="2" w:space="0" w:color="auto"/>
            </w:tcBorders>
            <w:vAlign w:val="center"/>
          </w:tcPr>
          <w:p w14:paraId="4D8A306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428</w:t>
            </w:r>
          </w:p>
        </w:tc>
        <w:tc>
          <w:tcPr>
            <w:tcW w:w="1213" w:type="dxa"/>
            <w:tcBorders>
              <w:top w:val="single" w:sz="2" w:space="0" w:color="auto"/>
              <w:left w:val="single" w:sz="2" w:space="0" w:color="auto"/>
              <w:bottom w:val="single" w:sz="2" w:space="0" w:color="auto"/>
              <w:right w:val="single" w:sz="2" w:space="0" w:color="auto"/>
            </w:tcBorders>
            <w:vAlign w:val="center"/>
          </w:tcPr>
          <w:p w14:paraId="49700F6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1,077,113,189</w:t>
            </w:r>
          </w:p>
        </w:tc>
        <w:tc>
          <w:tcPr>
            <w:tcW w:w="964" w:type="dxa"/>
            <w:tcBorders>
              <w:top w:val="single" w:sz="2" w:space="0" w:color="auto"/>
              <w:left w:val="single" w:sz="2" w:space="0" w:color="auto"/>
              <w:bottom w:val="single" w:sz="2" w:space="0" w:color="auto"/>
              <w:right w:val="single" w:sz="2" w:space="0" w:color="auto"/>
            </w:tcBorders>
            <w:vAlign w:val="center"/>
          </w:tcPr>
          <w:p w14:paraId="6B0C95E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99.81%</w:t>
            </w:r>
          </w:p>
        </w:tc>
      </w:tr>
      <w:tr w:rsidR="00291E84" w:rsidRPr="005A284F" w14:paraId="245EE264" w14:textId="77777777" w:rsidTr="00291E84">
        <w:trPr>
          <w:trHeight w:val="240"/>
        </w:trPr>
        <w:tc>
          <w:tcPr>
            <w:tcW w:w="1934" w:type="dxa"/>
            <w:tcBorders>
              <w:top w:val="single" w:sz="2" w:space="0" w:color="auto"/>
              <w:left w:val="single" w:sz="2" w:space="0" w:color="auto"/>
              <w:bottom w:val="single" w:sz="2" w:space="0" w:color="auto"/>
              <w:right w:val="single" w:sz="2" w:space="0" w:color="auto"/>
            </w:tcBorders>
            <w:shd w:val="clear" w:color="auto" w:fill="D3D3D3"/>
            <w:vAlign w:val="center"/>
          </w:tcPr>
          <w:p w14:paraId="284DB326" w14:textId="77777777" w:rsidR="006C011D" w:rsidRPr="005A284F" w:rsidRDefault="00000000" w:rsidP="00291E84">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、境内上市的外资股</w:t>
            </w:r>
          </w:p>
        </w:tc>
        <w:tc>
          <w:tcPr>
            <w:tcW w:w="1276" w:type="dxa"/>
            <w:tcBorders>
              <w:top w:val="single" w:sz="2" w:space="0" w:color="auto"/>
              <w:left w:val="single" w:sz="2" w:space="0" w:color="auto"/>
              <w:bottom w:val="single" w:sz="2" w:space="0" w:color="auto"/>
              <w:right w:val="single" w:sz="2" w:space="0" w:color="auto"/>
            </w:tcBorders>
            <w:vAlign w:val="center"/>
          </w:tcPr>
          <w:p w14:paraId="47DE75C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3C59E76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600F418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45162C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0146855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1" w:type="dxa"/>
            <w:tcBorders>
              <w:top w:val="single" w:sz="2" w:space="0" w:color="auto"/>
              <w:left w:val="single" w:sz="2" w:space="0" w:color="auto"/>
              <w:bottom w:val="single" w:sz="2" w:space="0" w:color="auto"/>
              <w:right w:val="single" w:sz="2" w:space="0" w:color="auto"/>
            </w:tcBorders>
            <w:vAlign w:val="center"/>
          </w:tcPr>
          <w:p w14:paraId="097644C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15" w:type="dxa"/>
            <w:tcBorders>
              <w:top w:val="single" w:sz="2" w:space="0" w:color="auto"/>
              <w:left w:val="single" w:sz="2" w:space="0" w:color="auto"/>
              <w:bottom w:val="single" w:sz="2" w:space="0" w:color="auto"/>
              <w:right w:val="single" w:sz="2" w:space="0" w:color="auto"/>
            </w:tcBorders>
            <w:vAlign w:val="center"/>
          </w:tcPr>
          <w:p w14:paraId="19396EE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13" w:type="dxa"/>
            <w:tcBorders>
              <w:top w:val="single" w:sz="2" w:space="0" w:color="auto"/>
              <w:left w:val="single" w:sz="2" w:space="0" w:color="auto"/>
              <w:bottom w:val="single" w:sz="2" w:space="0" w:color="auto"/>
              <w:right w:val="single" w:sz="2" w:space="0" w:color="auto"/>
            </w:tcBorders>
            <w:vAlign w:val="center"/>
          </w:tcPr>
          <w:p w14:paraId="4B601C0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4120DA2E"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291E84" w:rsidRPr="005A284F" w14:paraId="3E7AF5C4" w14:textId="77777777" w:rsidTr="00291E84">
        <w:trPr>
          <w:trHeight w:val="240"/>
        </w:trPr>
        <w:tc>
          <w:tcPr>
            <w:tcW w:w="1934" w:type="dxa"/>
            <w:tcBorders>
              <w:top w:val="single" w:sz="2" w:space="0" w:color="auto"/>
              <w:left w:val="single" w:sz="2" w:space="0" w:color="auto"/>
              <w:bottom w:val="single" w:sz="2" w:space="0" w:color="auto"/>
              <w:right w:val="single" w:sz="2" w:space="0" w:color="auto"/>
            </w:tcBorders>
            <w:shd w:val="clear" w:color="auto" w:fill="D3D3D3"/>
            <w:vAlign w:val="center"/>
          </w:tcPr>
          <w:p w14:paraId="671FDB56" w14:textId="77777777" w:rsidR="006C011D" w:rsidRPr="005A284F" w:rsidRDefault="00000000" w:rsidP="00291E84">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、境外上市的外资股</w:t>
            </w:r>
          </w:p>
        </w:tc>
        <w:tc>
          <w:tcPr>
            <w:tcW w:w="1276" w:type="dxa"/>
            <w:tcBorders>
              <w:top w:val="single" w:sz="2" w:space="0" w:color="auto"/>
              <w:left w:val="single" w:sz="2" w:space="0" w:color="auto"/>
              <w:bottom w:val="single" w:sz="2" w:space="0" w:color="auto"/>
              <w:right w:val="single" w:sz="2" w:space="0" w:color="auto"/>
            </w:tcBorders>
            <w:vAlign w:val="center"/>
          </w:tcPr>
          <w:p w14:paraId="4C2E573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28D5E00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30006C1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1B3ECE3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537A38D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1" w:type="dxa"/>
            <w:tcBorders>
              <w:top w:val="single" w:sz="2" w:space="0" w:color="auto"/>
              <w:left w:val="single" w:sz="2" w:space="0" w:color="auto"/>
              <w:bottom w:val="single" w:sz="2" w:space="0" w:color="auto"/>
              <w:right w:val="single" w:sz="2" w:space="0" w:color="auto"/>
            </w:tcBorders>
            <w:vAlign w:val="center"/>
          </w:tcPr>
          <w:p w14:paraId="12E2C18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15" w:type="dxa"/>
            <w:tcBorders>
              <w:top w:val="single" w:sz="2" w:space="0" w:color="auto"/>
              <w:left w:val="single" w:sz="2" w:space="0" w:color="auto"/>
              <w:bottom w:val="single" w:sz="2" w:space="0" w:color="auto"/>
              <w:right w:val="single" w:sz="2" w:space="0" w:color="auto"/>
            </w:tcBorders>
            <w:vAlign w:val="center"/>
          </w:tcPr>
          <w:p w14:paraId="20265D5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13" w:type="dxa"/>
            <w:tcBorders>
              <w:top w:val="single" w:sz="2" w:space="0" w:color="auto"/>
              <w:left w:val="single" w:sz="2" w:space="0" w:color="auto"/>
              <w:bottom w:val="single" w:sz="2" w:space="0" w:color="auto"/>
              <w:right w:val="single" w:sz="2" w:space="0" w:color="auto"/>
            </w:tcBorders>
            <w:vAlign w:val="center"/>
          </w:tcPr>
          <w:p w14:paraId="7AD68BA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13B91583"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291E84" w:rsidRPr="005A284F" w14:paraId="6AD86517" w14:textId="77777777" w:rsidTr="00291E84">
        <w:trPr>
          <w:trHeight w:val="240"/>
        </w:trPr>
        <w:tc>
          <w:tcPr>
            <w:tcW w:w="1934" w:type="dxa"/>
            <w:tcBorders>
              <w:top w:val="single" w:sz="2" w:space="0" w:color="auto"/>
              <w:left w:val="single" w:sz="2" w:space="0" w:color="auto"/>
              <w:bottom w:val="single" w:sz="2" w:space="0" w:color="auto"/>
              <w:right w:val="single" w:sz="2" w:space="0" w:color="auto"/>
            </w:tcBorders>
            <w:shd w:val="clear" w:color="auto" w:fill="D3D3D3"/>
            <w:vAlign w:val="center"/>
          </w:tcPr>
          <w:p w14:paraId="0E333C5E" w14:textId="77777777" w:rsidR="006C011D" w:rsidRPr="005A284F" w:rsidRDefault="00000000" w:rsidP="00291E84">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、其他</w:t>
            </w:r>
          </w:p>
        </w:tc>
        <w:tc>
          <w:tcPr>
            <w:tcW w:w="1276" w:type="dxa"/>
            <w:tcBorders>
              <w:top w:val="single" w:sz="2" w:space="0" w:color="auto"/>
              <w:left w:val="single" w:sz="2" w:space="0" w:color="auto"/>
              <w:bottom w:val="single" w:sz="2" w:space="0" w:color="auto"/>
              <w:right w:val="single" w:sz="2" w:space="0" w:color="auto"/>
            </w:tcBorders>
            <w:vAlign w:val="center"/>
          </w:tcPr>
          <w:p w14:paraId="5E9FA5A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2DA3111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63D4AC1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0DB331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2444DF4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1" w:type="dxa"/>
            <w:tcBorders>
              <w:top w:val="single" w:sz="2" w:space="0" w:color="auto"/>
              <w:left w:val="single" w:sz="2" w:space="0" w:color="auto"/>
              <w:bottom w:val="single" w:sz="2" w:space="0" w:color="auto"/>
              <w:right w:val="single" w:sz="2" w:space="0" w:color="auto"/>
            </w:tcBorders>
            <w:vAlign w:val="center"/>
          </w:tcPr>
          <w:p w14:paraId="0136E83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15" w:type="dxa"/>
            <w:tcBorders>
              <w:top w:val="single" w:sz="2" w:space="0" w:color="auto"/>
              <w:left w:val="single" w:sz="2" w:space="0" w:color="auto"/>
              <w:bottom w:val="single" w:sz="2" w:space="0" w:color="auto"/>
              <w:right w:val="single" w:sz="2" w:space="0" w:color="auto"/>
            </w:tcBorders>
            <w:vAlign w:val="center"/>
          </w:tcPr>
          <w:p w14:paraId="327625C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13" w:type="dxa"/>
            <w:tcBorders>
              <w:top w:val="single" w:sz="2" w:space="0" w:color="auto"/>
              <w:left w:val="single" w:sz="2" w:space="0" w:color="auto"/>
              <w:bottom w:val="single" w:sz="2" w:space="0" w:color="auto"/>
              <w:right w:val="single" w:sz="2" w:space="0" w:color="auto"/>
            </w:tcBorders>
            <w:vAlign w:val="center"/>
          </w:tcPr>
          <w:p w14:paraId="7994CAF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5C3B527D"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291E84" w:rsidRPr="005A284F" w14:paraId="43616126" w14:textId="77777777" w:rsidTr="00291E84">
        <w:trPr>
          <w:trHeight w:val="240"/>
        </w:trPr>
        <w:tc>
          <w:tcPr>
            <w:tcW w:w="1934" w:type="dxa"/>
            <w:tcBorders>
              <w:top w:val="single" w:sz="2" w:space="0" w:color="auto"/>
              <w:left w:val="single" w:sz="2" w:space="0" w:color="auto"/>
              <w:bottom w:val="single" w:sz="2" w:space="0" w:color="auto"/>
              <w:right w:val="single" w:sz="2" w:space="0" w:color="auto"/>
            </w:tcBorders>
            <w:shd w:val="clear" w:color="auto" w:fill="D3D3D3"/>
            <w:vAlign w:val="center"/>
          </w:tcPr>
          <w:p w14:paraId="0AAB21D7"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三、股份总数</w:t>
            </w:r>
          </w:p>
        </w:tc>
        <w:tc>
          <w:tcPr>
            <w:tcW w:w="1276" w:type="dxa"/>
            <w:tcBorders>
              <w:top w:val="single" w:sz="2" w:space="0" w:color="auto"/>
              <w:left w:val="single" w:sz="2" w:space="0" w:color="auto"/>
              <w:bottom w:val="single" w:sz="2" w:space="0" w:color="auto"/>
              <w:right w:val="single" w:sz="2" w:space="0" w:color="auto"/>
            </w:tcBorders>
            <w:vAlign w:val="center"/>
          </w:tcPr>
          <w:p w14:paraId="623DD99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1,079,160,261</w:t>
            </w:r>
          </w:p>
        </w:tc>
        <w:tc>
          <w:tcPr>
            <w:tcW w:w="708" w:type="dxa"/>
            <w:tcBorders>
              <w:top w:val="single" w:sz="2" w:space="0" w:color="auto"/>
              <w:left w:val="single" w:sz="2" w:space="0" w:color="auto"/>
              <w:bottom w:val="single" w:sz="2" w:space="0" w:color="auto"/>
              <w:right w:val="single" w:sz="2" w:space="0" w:color="auto"/>
            </w:tcBorders>
            <w:vAlign w:val="center"/>
          </w:tcPr>
          <w:p w14:paraId="79D187A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851" w:type="dxa"/>
            <w:tcBorders>
              <w:top w:val="single" w:sz="2" w:space="0" w:color="auto"/>
              <w:left w:val="single" w:sz="2" w:space="0" w:color="auto"/>
              <w:bottom w:val="single" w:sz="2" w:space="0" w:color="auto"/>
              <w:right w:val="single" w:sz="2" w:space="0" w:color="auto"/>
            </w:tcBorders>
            <w:vAlign w:val="center"/>
          </w:tcPr>
          <w:p w14:paraId="764E70B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A47860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64EDC17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1" w:type="dxa"/>
            <w:tcBorders>
              <w:top w:val="single" w:sz="2" w:space="0" w:color="auto"/>
              <w:left w:val="single" w:sz="2" w:space="0" w:color="auto"/>
              <w:bottom w:val="single" w:sz="2" w:space="0" w:color="auto"/>
              <w:right w:val="single" w:sz="2" w:space="0" w:color="auto"/>
            </w:tcBorders>
            <w:vAlign w:val="center"/>
          </w:tcPr>
          <w:p w14:paraId="1024B76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428</w:t>
            </w:r>
          </w:p>
        </w:tc>
        <w:tc>
          <w:tcPr>
            <w:tcW w:w="715" w:type="dxa"/>
            <w:tcBorders>
              <w:top w:val="single" w:sz="2" w:space="0" w:color="auto"/>
              <w:left w:val="single" w:sz="2" w:space="0" w:color="auto"/>
              <w:bottom w:val="single" w:sz="2" w:space="0" w:color="auto"/>
              <w:right w:val="single" w:sz="2" w:space="0" w:color="auto"/>
            </w:tcBorders>
            <w:vAlign w:val="center"/>
          </w:tcPr>
          <w:p w14:paraId="6B9D69F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428</w:t>
            </w:r>
          </w:p>
        </w:tc>
        <w:tc>
          <w:tcPr>
            <w:tcW w:w="1213" w:type="dxa"/>
            <w:tcBorders>
              <w:top w:val="single" w:sz="2" w:space="0" w:color="auto"/>
              <w:left w:val="single" w:sz="2" w:space="0" w:color="auto"/>
              <w:bottom w:val="single" w:sz="2" w:space="0" w:color="auto"/>
              <w:right w:val="single" w:sz="2" w:space="0" w:color="auto"/>
            </w:tcBorders>
            <w:vAlign w:val="center"/>
          </w:tcPr>
          <w:p w14:paraId="10F84B9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1,079,160,689</w:t>
            </w:r>
          </w:p>
        </w:tc>
        <w:tc>
          <w:tcPr>
            <w:tcW w:w="964" w:type="dxa"/>
            <w:tcBorders>
              <w:top w:val="single" w:sz="2" w:space="0" w:color="auto"/>
              <w:left w:val="single" w:sz="2" w:space="0" w:color="auto"/>
              <w:bottom w:val="single" w:sz="2" w:space="0" w:color="auto"/>
              <w:right w:val="single" w:sz="2" w:space="0" w:color="auto"/>
            </w:tcBorders>
            <w:vAlign w:val="center"/>
          </w:tcPr>
          <w:p w14:paraId="207854F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r>
    </w:tbl>
    <w:p w14:paraId="09D8D696"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股份变动的原因</w:t>
      </w:r>
    </w:p>
    <w:p w14:paraId="5EACDB8F" w14:textId="77777777" w:rsidR="006C011D" w:rsidRPr="008D6EA1" w:rsidRDefault="00000000">
      <w:pPr>
        <w:spacing w:before="100" w:after="100" w:line="240" w:lineRule="exact"/>
        <w:rPr>
          <w:rFonts w:ascii="宋体" w:eastAsia="宋体" w:hAnsi="宋体" w:cs="Times New Roman" w:hint="eastAsia"/>
          <w:sz w:val="18"/>
          <w:szCs w:val="18"/>
        </w:rPr>
      </w:pPr>
      <w:r w:rsidRPr="008D6EA1">
        <w:rPr>
          <w:rFonts w:ascii="宋体" w:eastAsia="宋体" w:hAnsi="宋体" w:cs="Times New Roman"/>
          <w:sz w:val="18"/>
          <w:szCs w:val="18"/>
        </w:rPr>
        <w:sym w:font="Wingdings 2" w:char="F052"/>
      </w:r>
      <w:r w:rsidRPr="008D6EA1">
        <w:rPr>
          <w:rFonts w:ascii="宋体" w:eastAsia="宋体" w:hAnsi="宋体" w:cs="Times New Roman"/>
          <w:sz w:val="18"/>
          <w:szCs w:val="18"/>
        </w:rPr>
        <w:t>适用 □不适用</w:t>
      </w:r>
    </w:p>
    <w:p w14:paraId="286FD717" w14:textId="77777777" w:rsidR="000309B5" w:rsidRPr="005A284F" w:rsidRDefault="00000000" w:rsidP="008D6EA1">
      <w:pPr>
        <w:pStyle w:val="a3"/>
        <w:spacing w:before="0" w:beforeAutospacing="0" w:after="0" w:afterAutospacing="0" w:line="276" w:lineRule="auto"/>
        <w:ind w:firstLineChars="200" w:firstLine="360"/>
        <w:jc w:val="both"/>
        <w:divId w:val="151024842"/>
        <w:rPr>
          <w:rFonts w:ascii="Times New Roman" w:hAnsi="Times New Roman" w:cs="Times New Roman"/>
          <w:sz w:val="18"/>
          <w:szCs w:val="18"/>
        </w:rPr>
      </w:pPr>
      <w:r w:rsidRPr="005A284F">
        <w:rPr>
          <w:rFonts w:ascii="Times New Roman" w:hAnsi="Times New Roman" w:cs="Times New Roman"/>
          <w:sz w:val="18"/>
          <w:szCs w:val="18"/>
        </w:rPr>
        <w:t>经中国证券监督管理委员会</w:t>
      </w:r>
      <w:r w:rsidRPr="005A284F">
        <w:rPr>
          <w:rFonts w:ascii="Times New Roman" w:hAnsi="Times New Roman" w:cs="Times New Roman"/>
          <w:sz w:val="18"/>
          <w:szCs w:val="18"/>
        </w:rPr>
        <w:t>“</w:t>
      </w:r>
      <w:r w:rsidRPr="005A284F">
        <w:rPr>
          <w:rFonts w:ascii="Times New Roman" w:hAnsi="Times New Roman" w:cs="Times New Roman"/>
          <w:sz w:val="18"/>
          <w:szCs w:val="18"/>
        </w:rPr>
        <w:t>证监许可</w:t>
      </w:r>
      <w:r w:rsidRPr="005A284F">
        <w:rPr>
          <w:rFonts w:ascii="Times New Roman" w:hAnsi="Times New Roman" w:cs="Times New Roman"/>
          <w:sz w:val="18"/>
          <w:szCs w:val="18"/>
        </w:rPr>
        <w:t xml:space="preserve">[2020]1077 </w:t>
      </w:r>
      <w:r w:rsidRPr="005A284F">
        <w:rPr>
          <w:rFonts w:ascii="Times New Roman" w:hAnsi="Times New Roman" w:cs="Times New Roman"/>
          <w:sz w:val="18"/>
          <w:szCs w:val="18"/>
        </w:rPr>
        <w:t>号</w:t>
      </w:r>
      <w:r w:rsidRPr="005A284F">
        <w:rPr>
          <w:rFonts w:ascii="Times New Roman" w:hAnsi="Times New Roman" w:cs="Times New Roman"/>
          <w:sz w:val="18"/>
          <w:szCs w:val="18"/>
        </w:rPr>
        <w:t>”</w:t>
      </w:r>
      <w:r w:rsidRPr="005A284F">
        <w:rPr>
          <w:rFonts w:ascii="Times New Roman" w:hAnsi="Times New Roman" w:cs="Times New Roman"/>
          <w:sz w:val="18"/>
          <w:szCs w:val="18"/>
        </w:rPr>
        <w:t>核准，公司于</w:t>
      </w:r>
      <w:r w:rsidRPr="005A284F">
        <w:rPr>
          <w:rFonts w:ascii="Times New Roman" w:hAnsi="Times New Roman" w:cs="Times New Roman"/>
          <w:sz w:val="18"/>
          <w:szCs w:val="18"/>
        </w:rPr>
        <w:t>2020</w:t>
      </w:r>
      <w:r w:rsidRPr="005A284F">
        <w:rPr>
          <w:rFonts w:ascii="Times New Roman" w:hAnsi="Times New Roman" w:cs="Times New Roman"/>
          <w:sz w:val="18"/>
          <w:szCs w:val="18"/>
        </w:rPr>
        <w:t>年</w:t>
      </w:r>
      <w:r w:rsidRPr="005A284F">
        <w:rPr>
          <w:rFonts w:ascii="Times New Roman" w:hAnsi="Times New Roman" w:cs="Times New Roman"/>
          <w:sz w:val="18"/>
          <w:szCs w:val="18"/>
        </w:rPr>
        <w:t>7</w:t>
      </w:r>
      <w:r w:rsidRPr="005A284F">
        <w:rPr>
          <w:rFonts w:ascii="Times New Roman" w:hAnsi="Times New Roman" w:cs="Times New Roman"/>
          <w:sz w:val="18"/>
          <w:szCs w:val="18"/>
        </w:rPr>
        <w:t>月</w:t>
      </w:r>
      <w:r w:rsidRPr="005A284F">
        <w:rPr>
          <w:rFonts w:ascii="Times New Roman" w:hAnsi="Times New Roman" w:cs="Times New Roman"/>
          <w:sz w:val="18"/>
          <w:szCs w:val="18"/>
        </w:rPr>
        <w:t>13</w:t>
      </w:r>
      <w:r w:rsidRPr="005A284F">
        <w:rPr>
          <w:rFonts w:ascii="Times New Roman" w:hAnsi="Times New Roman" w:cs="Times New Roman"/>
          <w:sz w:val="18"/>
          <w:szCs w:val="18"/>
        </w:rPr>
        <w:t>日公开发行了</w:t>
      </w:r>
      <w:r w:rsidRPr="005A284F">
        <w:rPr>
          <w:rFonts w:ascii="Times New Roman" w:hAnsi="Times New Roman" w:cs="Times New Roman"/>
          <w:sz w:val="18"/>
          <w:szCs w:val="18"/>
        </w:rPr>
        <w:t>950</w:t>
      </w:r>
      <w:r w:rsidRPr="005A284F">
        <w:rPr>
          <w:rFonts w:ascii="Times New Roman" w:hAnsi="Times New Roman" w:cs="Times New Roman"/>
          <w:sz w:val="18"/>
          <w:szCs w:val="18"/>
        </w:rPr>
        <w:t>万张可转换公司债券，每张面值</w:t>
      </w:r>
      <w:r w:rsidRPr="005A284F">
        <w:rPr>
          <w:rFonts w:ascii="Times New Roman" w:hAnsi="Times New Roman" w:cs="Times New Roman"/>
          <w:sz w:val="18"/>
          <w:szCs w:val="18"/>
        </w:rPr>
        <w:t>100</w:t>
      </w:r>
      <w:r w:rsidRPr="005A284F">
        <w:rPr>
          <w:rFonts w:ascii="Times New Roman" w:hAnsi="Times New Roman" w:cs="Times New Roman"/>
          <w:sz w:val="18"/>
          <w:szCs w:val="18"/>
        </w:rPr>
        <w:t>元，发行总额</w:t>
      </w:r>
      <w:r w:rsidRPr="005A284F">
        <w:rPr>
          <w:rFonts w:ascii="Times New Roman" w:hAnsi="Times New Roman" w:cs="Times New Roman"/>
          <w:sz w:val="18"/>
          <w:szCs w:val="18"/>
        </w:rPr>
        <w:t>95,000.00</w:t>
      </w:r>
      <w:r w:rsidRPr="005A284F">
        <w:rPr>
          <w:rFonts w:ascii="Times New Roman" w:hAnsi="Times New Roman" w:cs="Times New Roman"/>
          <w:sz w:val="18"/>
          <w:szCs w:val="18"/>
        </w:rPr>
        <w:t>万元。并于</w:t>
      </w:r>
      <w:r w:rsidRPr="005A284F">
        <w:rPr>
          <w:rFonts w:ascii="Times New Roman" w:hAnsi="Times New Roman" w:cs="Times New Roman"/>
          <w:sz w:val="18"/>
          <w:szCs w:val="18"/>
        </w:rPr>
        <w:t>2020</w:t>
      </w:r>
      <w:r w:rsidRPr="005A284F">
        <w:rPr>
          <w:rFonts w:ascii="Times New Roman" w:hAnsi="Times New Roman" w:cs="Times New Roman"/>
          <w:sz w:val="18"/>
          <w:szCs w:val="18"/>
        </w:rPr>
        <w:t>年</w:t>
      </w:r>
      <w:r w:rsidRPr="005A284F">
        <w:rPr>
          <w:rFonts w:ascii="Times New Roman" w:hAnsi="Times New Roman" w:cs="Times New Roman"/>
          <w:sz w:val="18"/>
          <w:szCs w:val="18"/>
        </w:rPr>
        <w:t>8</w:t>
      </w:r>
      <w:r w:rsidRPr="005A284F">
        <w:rPr>
          <w:rFonts w:ascii="Times New Roman" w:hAnsi="Times New Roman" w:cs="Times New Roman"/>
          <w:sz w:val="18"/>
          <w:szCs w:val="18"/>
        </w:rPr>
        <w:t>月</w:t>
      </w:r>
      <w:r w:rsidRPr="005A284F">
        <w:rPr>
          <w:rFonts w:ascii="Times New Roman" w:hAnsi="Times New Roman" w:cs="Times New Roman"/>
          <w:sz w:val="18"/>
          <w:szCs w:val="18"/>
        </w:rPr>
        <w:t>7</w:t>
      </w:r>
      <w:r w:rsidRPr="005A284F">
        <w:rPr>
          <w:rFonts w:ascii="Times New Roman" w:hAnsi="Times New Roman" w:cs="Times New Roman"/>
          <w:sz w:val="18"/>
          <w:szCs w:val="18"/>
        </w:rPr>
        <w:t>日起在深交所挂牌交易，债券简称</w:t>
      </w:r>
      <w:r w:rsidRPr="005A284F">
        <w:rPr>
          <w:rFonts w:ascii="Times New Roman" w:hAnsi="Times New Roman" w:cs="Times New Roman"/>
          <w:sz w:val="18"/>
          <w:szCs w:val="18"/>
        </w:rPr>
        <w:t>“</w:t>
      </w:r>
      <w:r w:rsidRPr="005A284F">
        <w:rPr>
          <w:rFonts w:ascii="Times New Roman" w:hAnsi="Times New Roman" w:cs="Times New Roman"/>
          <w:sz w:val="18"/>
          <w:szCs w:val="18"/>
        </w:rPr>
        <w:t>龙大转债</w:t>
      </w:r>
      <w:r w:rsidRPr="005A284F">
        <w:rPr>
          <w:rFonts w:ascii="Times New Roman" w:hAnsi="Times New Roman" w:cs="Times New Roman"/>
          <w:sz w:val="18"/>
          <w:szCs w:val="18"/>
        </w:rPr>
        <w:t>”</w:t>
      </w:r>
      <w:r w:rsidRPr="005A284F">
        <w:rPr>
          <w:rFonts w:ascii="Times New Roman" w:hAnsi="Times New Roman" w:cs="Times New Roman"/>
          <w:sz w:val="18"/>
          <w:szCs w:val="18"/>
        </w:rPr>
        <w:t>，债券代码</w:t>
      </w:r>
      <w:r w:rsidRPr="005A284F">
        <w:rPr>
          <w:rFonts w:ascii="Times New Roman" w:hAnsi="Times New Roman" w:cs="Times New Roman"/>
          <w:sz w:val="18"/>
          <w:szCs w:val="18"/>
        </w:rPr>
        <w:t>“128119.SZ”</w:t>
      </w:r>
      <w:r w:rsidRPr="005A284F">
        <w:rPr>
          <w:rFonts w:ascii="Times New Roman" w:hAnsi="Times New Roman" w:cs="Times New Roman"/>
          <w:sz w:val="18"/>
          <w:szCs w:val="18"/>
        </w:rPr>
        <w:t>。根据《深圳证券交易所股票上市规则》等相关规定和《山东龙大肉食品股份有限公司公开发行</w:t>
      </w:r>
      <w:r w:rsidRPr="005A284F">
        <w:rPr>
          <w:rFonts w:ascii="Times New Roman" w:hAnsi="Times New Roman" w:cs="Times New Roman"/>
          <w:sz w:val="18"/>
          <w:szCs w:val="18"/>
        </w:rPr>
        <w:t>A</w:t>
      </w:r>
      <w:r w:rsidRPr="005A284F">
        <w:rPr>
          <w:rFonts w:ascii="Times New Roman" w:hAnsi="Times New Roman" w:cs="Times New Roman"/>
          <w:sz w:val="18"/>
          <w:szCs w:val="18"/>
        </w:rPr>
        <w:t>股可转换公司债券募集说明书》的约定，公司本次发行的</w:t>
      </w:r>
      <w:r w:rsidRPr="005A284F">
        <w:rPr>
          <w:rFonts w:ascii="Times New Roman" w:hAnsi="Times New Roman" w:cs="Times New Roman"/>
          <w:sz w:val="18"/>
          <w:szCs w:val="18"/>
        </w:rPr>
        <w:t>“</w:t>
      </w:r>
      <w:r w:rsidRPr="005A284F">
        <w:rPr>
          <w:rFonts w:ascii="Times New Roman" w:hAnsi="Times New Roman" w:cs="Times New Roman"/>
          <w:sz w:val="18"/>
          <w:szCs w:val="18"/>
        </w:rPr>
        <w:t>龙大转债</w:t>
      </w:r>
      <w:r w:rsidRPr="005A284F">
        <w:rPr>
          <w:rFonts w:ascii="Times New Roman" w:hAnsi="Times New Roman" w:cs="Times New Roman"/>
          <w:sz w:val="18"/>
          <w:szCs w:val="18"/>
        </w:rPr>
        <w:t>”</w:t>
      </w:r>
      <w:r w:rsidRPr="005A284F">
        <w:rPr>
          <w:rFonts w:ascii="Times New Roman" w:hAnsi="Times New Roman" w:cs="Times New Roman"/>
          <w:sz w:val="18"/>
          <w:szCs w:val="18"/>
        </w:rPr>
        <w:t>自</w:t>
      </w:r>
      <w:r w:rsidRPr="005A284F">
        <w:rPr>
          <w:rFonts w:ascii="Times New Roman" w:hAnsi="Times New Roman" w:cs="Times New Roman"/>
          <w:sz w:val="18"/>
          <w:szCs w:val="18"/>
        </w:rPr>
        <w:t>2021</w:t>
      </w:r>
      <w:r w:rsidRPr="005A284F">
        <w:rPr>
          <w:rFonts w:ascii="Times New Roman" w:hAnsi="Times New Roman" w:cs="Times New Roman"/>
          <w:sz w:val="18"/>
          <w:szCs w:val="18"/>
        </w:rPr>
        <w:t>年</w:t>
      </w:r>
      <w:r w:rsidRPr="005A284F">
        <w:rPr>
          <w:rFonts w:ascii="Times New Roman" w:hAnsi="Times New Roman" w:cs="Times New Roman"/>
          <w:sz w:val="18"/>
          <w:szCs w:val="18"/>
        </w:rPr>
        <w:t>1</w:t>
      </w:r>
      <w:r w:rsidRPr="005A284F">
        <w:rPr>
          <w:rFonts w:ascii="Times New Roman" w:hAnsi="Times New Roman" w:cs="Times New Roman"/>
          <w:sz w:val="18"/>
          <w:szCs w:val="18"/>
        </w:rPr>
        <w:t>月</w:t>
      </w:r>
      <w:r w:rsidRPr="005A284F">
        <w:rPr>
          <w:rFonts w:ascii="Times New Roman" w:hAnsi="Times New Roman" w:cs="Times New Roman"/>
          <w:sz w:val="18"/>
          <w:szCs w:val="18"/>
        </w:rPr>
        <w:t>18</w:t>
      </w:r>
      <w:r w:rsidRPr="005A284F">
        <w:rPr>
          <w:rFonts w:ascii="Times New Roman" w:hAnsi="Times New Roman" w:cs="Times New Roman"/>
          <w:sz w:val="18"/>
          <w:szCs w:val="18"/>
        </w:rPr>
        <w:t>日起可转换为公司股份。报告期内，累计转股数量为</w:t>
      </w:r>
      <w:r w:rsidRPr="005A284F">
        <w:rPr>
          <w:rFonts w:ascii="Times New Roman" w:hAnsi="Times New Roman" w:cs="Times New Roman"/>
          <w:sz w:val="18"/>
          <w:szCs w:val="18"/>
        </w:rPr>
        <w:t>428</w:t>
      </w:r>
      <w:r w:rsidRPr="005A284F">
        <w:rPr>
          <w:rFonts w:ascii="Times New Roman" w:hAnsi="Times New Roman" w:cs="Times New Roman"/>
          <w:sz w:val="18"/>
          <w:szCs w:val="18"/>
        </w:rPr>
        <w:t>股。</w:t>
      </w:r>
    </w:p>
    <w:p w14:paraId="659B5489"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股份变动的批准情况</w:t>
      </w:r>
    </w:p>
    <w:p w14:paraId="1306FB0B" w14:textId="77777777" w:rsidR="006C011D" w:rsidRPr="008D6EA1" w:rsidRDefault="00000000">
      <w:pPr>
        <w:spacing w:before="100" w:after="100" w:line="240" w:lineRule="exact"/>
        <w:rPr>
          <w:rFonts w:ascii="宋体" w:eastAsia="宋体" w:hAnsi="宋体" w:cs="Times New Roman" w:hint="eastAsia"/>
          <w:sz w:val="18"/>
          <w:szCs w:val="18"/>
        </w:rPr>
      </w:pPr>
      <w:r w:rsidRPr="008D6EA1">
        <w:rPr>
          <w:rFonts w:ascii="宋体" w:eastAsia="宋体" w:hAnsi="宋体" w:cs="Times New Roman"/>
          <w:sz w:val="18"/>
          <w:szCs w:val="18"/>
        </w:rPr>
        <w:t xml:space="preserve">□适用 </w:t>
      </w:r>
      <w:r w:rsidRPr="008D6EA1">
        <w:rPr>
          <w:rFonts w:ascii="宋体" w:eastAsia="宋体" w:hAnsi="宋体" w:cs="Times New Roman"/>
          <w:sz w:val="18"/>
          <w:szCs w:val="18"/>
        </w:rPr>
        <w:sym w:font="Wingdings 2" w:char="F052"/>
      </w:r>
      <w:r w:rsidRPr="008D6EA1">
        <w:rPr>
          <w:rFonts w:ascii="宋体" w:eastAsia="宋体" w:hAnsi="宋体" w:cs="Times New Roman"/>
          <w:sz w:val="18"/>
          <w:szCs w:val="18"/>
        </w:rPr>
        <w:t>不适用</w:t>
      </w:r>
    </w:p>
    <w:p w14:paraId="0DD97E5C" w14:textId="77777777" w:rsidR="006C011D" w:rsidRPr="008D6EA1" w:rsidRDefault="00000000">
      <w:pPr>
        <w:spacing w:before="100" w:after="100" w:line="240" w:lineRule="exact"/>
        <w:rPr>
          <w:rFonts w:ascii="宋体" w:eastAsia="宋体" w:hAnsi="宋体" w:cs="Times New Roman" w:hint="eastAsia"/>
          <w:sz w:val="18"/>
          <w:szCs w:val="18"/>
        </w:rPr>
      </w:pPr>
      <w:r w:rsidRPr="008D6EA1">
        <w:rPr>
          <w:rFonts w:ascii="宋体" w:eastAsia="宋体" w:hAnsi="宋体" w:cs="Times New Roman"/>
          <w:sz w:val="18"/>
          <w:szCs w:val="18"/>
        </w:rPr>
        <w:t>股份变动的过户情况</w:t>
      </w:r>
    </w:p>
    <w:p w14:paraId="6BD14D16" w14:textId="77777777" w:rsidR="006C011D" w:rsidRPr="008D6EA1" w:rsidRDefault="00000000">
      <w:pPr>
        <w:spacing w:before="100" w:after="100" w:line="240" w:lineRule="exact"/>
        <w:rPr>
          <w:rFonts w:ascii="宋体" w:eastAsia="宋体" w:hAnsi="宋体" w:cs="Times New Roman" w:hint="eastAsia"/>
          <w:sz w:val="18"/>
          <w:szCs w:val="18"/>
        </w:rPr>
      </w:pPr>
      <w:r w:rsidRPr="008D6EA1">
        <w:rPr>
          <w:rFonts w:ascii="宋体" w:eastAsia="宋体" w:hAnsi="宋体" w:cs="Times New Roman"/>
          <w:sz w:val="18"/>
          <w:szCs w:val="18"/>
        </w:rPr>
        <w:sym w:font="Wingdings 2" w:char="F052"/>
      </w:r>
      <w:r w:rsidRPr="008D6EA1">
        <w:rPr>
          <w:rFonts w:ascii="宋体" w:eastAsia="宋体" w:hAnsi="宋体" w:cs="Times New Roman"/>
          <w:sz w:val="18"/>
          <w:szCs w:val="18"/>
        </w:rPr>
        <w:t>适用 □不适用</w:t>
      </w:r>
    </w:p>
    <w:p w14:paraId="578731A3" w14:textId="77777777" w:rsidR="000309B5" w:rsidRPr="005A284F" w:rsidRDefault="00000000">
      <w:pPr>
        <w:pStyle w:val="a3"/>
        <w:divId w:val="200940898"/>
        <w:rPr>
          <w:rFonts w:ascii="Times New Roman" w:hAnsi="Times New Roman" w:cs="Times New Roman"/>
          <w:sz w:val="18"/>
          <w:szCs w:val="18"/>
        </w:rPr>
      </w:pPr>
      <w:r w:rsidRPr="005A284F">
        <w:rPr>
          <w:rFonts w:ascii="Times New Roman" w:hAnsi="Times New Roman" w:cs="Times New Roman"/>
          <w:sz w:val="18"/>
          <w:szCs w:val="18"/>
        </w:rPr>
        <w:t>上述股份变动情况均已在中国证券登记结算有限责任公司深圳分公司完成登记。</w:t>
      </w:r>
    </w:p>
    <w:p w14:paraId="788822BD"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股份回购的实施进展情况</w:t>
      </w:r>
    </w:p>
    <w:p w14:paraId="19A9956A"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适用</w:t>
      </w:r>
      <w:r w:rsidRPr="005A284F">
        <w:rPr>
          <w:rFonts w:ascii="Times New Roman" w:eastAsia="宋体" w:hAnsi="Times New Roman" w:cs="Times New Roman"/>
          <w:sz w:val="18"/>
          <w:szCs w:val="18"/>
        </w:rPr>
        <w:t xml:space="preserve"> </w:t>
      </w:r>
      <w:r w:rsidRPr="005A284F">
        <w:rPr>
          <w:rFonts w:ascii="Times New Roman" w:eastAsia="宋体" w:hAnsi="Times New Roman" w:cs="Times New Roman"/>
          <w:sz w:val="18"/>
          <w:szCs w:val="18"/>
        </w:rPr>
        <w:sym w:font="Wingdings 2" w:char="F052"/>
      </w:r>
      <w:r w:rsidRPr="005A284F">
        <w:rPr>
          <w:rFonts w:ascii="Times New Roman" w:eastAsia="宋体" w:hAnsi="Times New Roman" w:cs="Times New Roman"/>
          <w:sz w:val="18"/>
          <w:szCs w:val="18"/>
        </w:rPr>
        <w:t>不适用</w:t>
      </w:r>
    </w:p>
    <w:p w14:paraId="19D5B497"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采用集中竞价方式减持回购股份的实施进展情况</w:t>
      </w:r>
    </w:p>
    <w:p w14:paraId="367DB75C" w14:textId="77777777" w:rsidR="006C011D" w:rsidRPr="008D6EA1" w:rsidRDefault="00000000">
      <w:pPr>
        <w:spacing w:before="100" w:after="100" w:line="240" w:lineRule="exact"/>
        <w:rPr>
          <w:rFonts w:ascii="宋体" w:eastAsia="宋体" w:hAnsi="宋体" w:cs="Times New Roman" w:hint="eastAsia"/>
          <w:sz w:val="18"/>
          <w:szCs w:val="18"/>
        </w:rPr>
      </w:pPr>
      <w:r w:rsidRPr="008D6EA1">
        <w:rPr>
          <w:rFonts w:ascii="宋体" w:eastAsia="宋体" w:hAnsi="宋体" w:cs="Times New Roman"/>
          <w:sz w:val="18"/>
          <w:szCs w:val="18"/>
        </w:rPr>
        <w:t xml:space="preserve">□适用 </w:t>
      </w:r>
      <w:r w:rsidRPr="008D6EA1">
        <w:rPr>
          <w:rFonts w:ascii="宋体" w:eastAsia="宋体" w:hAnsi="宋体" w:cs="Times New Roman"/>
          <w:sz w:val="18"/>
          <w:szCs w:val="18"/>
        </w:rPr>
        <w:sym w:font="Wingdings 2" w:char="F052"/>
      </w:r>
      <w:r w:rsidRPr="008D6EA1">
        <w:rPr>
          <w:rFonts w:ascii="宋体" w:eastAsia="宋体" w:hAnsi="宋体" w:cs="Times New Roman"/>
          <w:sz w:val="18"/>
          <w:szCs w:val="18"/>
        </w:rPr>
        <w:t>不适用</w:t>
      </w:r>
    </w:p>
    <w:p w14:paraId="0FF0083C" w14:textId="77777777" w:rsidR="006C011D" w:rsidRPr="008D6EA1" w:rsidRDefault="00000000">
      <w:pPr>
        <w:spacing w:before="100" w:after="100" w:line="240" w:lineRule="exact"/>
        <w:rPr>
          <w:rFonts w:ascii="宋体" w:eastAsia="宋体" w:hAnsi="宋体" w:cs="Times New Roman" w:hint="eastAsia"/>
          <w:sz w:val="18"/>
          <w:szCs w:val="18"/>
        </w:rPr>
      </w:pPr>
      <w:r w:rsidRPr="008D6EA1">
        <w:rPr>
          <w:rFonts w:ascii="宋体" w:eastAsia="宋体" w:hAnsi="宋体" w:cs="Times New Roman"/>
          <w:sz w:val="18"/>
          <w:szCs w:val="18"/>
        </w:rPr>
        <w:t>股份变动对最近一年和最近一期基本每股收益和稀释每股收益、归属于公司普通股股东的每股净资产等财务指标的影响</w:t>
      </w:r>
    </w:p>
    <w:p w14:paraId="0678A80A" w14:textId="77777777" w:rsidR="006C011D" w:rsidRPr="008D6EA1" w:rsidRDefault="00000000">
      <w:pPr>
        <w:spacing w:before="100" w:after="100" w:line="240" w:lineRule="exact"/>
        <w:rPr>
          <w:rFonts w:ascii="宋体" w:eastAsia="宋体" w:hAnsi="宋体" w:cs="Times New Roman" w:hint="eastAsia"/>
          <w:sz w:val="18"/>
          <w:szCs w:val="18"/>
        </w:rPr>
      </w:pPr>
      <w:r w:rsidRPr="008D6EA1">
        <w:rPr>
          <w:rFonts w:ascii="宋体" w:eastAsia="宋体" w:hAnsi="宋体" w:cs="Times New Roman"/>
          <w:sz w:val="18"/>
          <w:szCs w:val="18"/>
        </w:rPr>
        <w:t xml:space="preserve">□适用 </w:t>
      </w:r>
      <w:r w:rsidRPr="008D6EA1">
        <w:rPr>
          <w:rFonts w:ascii="宋体" w:eastAsia="宋体" w:hAnsi="宋体" w:cs="Times New Roman"/>
          <w:sz w:val="18"/>
          <w:szCs w:val="18"/>
        </w:rPr>
        <w:sym w:font="Wingdings 2" w:char="F052"/>
      </w:r>
      <w:r w:rsidRPr="008D6EA1">
        <w:rPr>
          <w:rFonts w:ascii="宋体" w:eastAsia="宋体" w:hAnsi="宋体" w:cs="Times New Roman"/>
          <w:sz w:val="18"/>
          <w:szCs w:val="18"/>
        </w:rPr>
        <w:t>不适用</w:t>
      </w:r>
    </w:p>
    <w:p w14:paraId="5DD32A9F"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公司认为必要或证券监管机构要求披露的其他内容</w:t>
      </w:r>
    </w:p>
    <w:p w14:paraId="09170F4D" w14:textId="77777777" w:rsidR="006C011D" w:rsidRPr="008D6EA1" w:rsidRDefault="00000000">
      <w:pPr>
        <w:spacing w:before="100" w:after="100" w:line="240" w:lineRule="exact"/>
        <w:rPr>
          <w:rFonts w:ascii="宋体" w:eastAsia="宋体" w:hAnsi="宋体" w:cs="Times New Roman" w:hint="eastAsia"/>
          <w:sz w:val="18"/>
          <w:szCs w:val="18"/>
        </w:rPr>
      </w:pPr>
      <w:r w:rsidRPr="008D6EA1">
        <w:rPr>
          <w:rFonts w:ascii="宋体" w:eastAsia="宋体" w:hAnsi="宋体" w:cs="Times New Roman"/>
          <w:sz w:val="18"/>
          <w:szCs w:val="18"/>
        </w:rPr>
        <w:t xml:space="preserve">□适用 </w:t>
      </w:r>
      <w:r w:rsidRPr="008D6EA1">
        <w:rPr>
          <w:rFonts w:ascii="宋体" w:eastAsia="宋体" w:hAnsi="宋体" w:cs="Times New Roman"/>
          <w:sz w:val="18"/>
          <w:szCs w:val="18"/>
        </w:rPr>
        <w:sym w:font="Wingdings 2" w:char="F052"/>
      </w:r>
      <w:r w:rsidRPr="008D6EA1">
        <w:rPr>
          <w:rFonts w:ascii="宋体" w:eastAsia="宋体" w:hAnsi="宋体" w:cs="Times New Roman"/>
          <w:sz w:val="18"/>
          <w:szCs w:val="18"/>
        </w:rPr>
        <w:t>不适用</w:t>
      </w:r>
    </w:p>
    <w:p w14:paraId="54B2A1E9" w14:textId="77777777" w:rsidR="006C011D" w:rsidRPr="005A284F" w:rsidRDefault="00000000">
      <w:pPr>
        <w:pStyle w:val="3"/>
        <w:spacing w:line="280" w:lineRule="exact"/>
        <w:jc w:val="left"/>
        <w:rPr>
          <w:rFonts w:ascii="Times New Roman" w:hAnsi="Times New Roman" w:cs="Times New Roman"/>
          <w:b/>
          <w:bCs/>
        </w:rPr>
      </w:pPr>
      <w:bookmarkStart w:id="80" w:name="_Toc988969"/>
      <w:r w:rsidRPr="005A284F">
        <w:rPr>
          <w:rFonts w:ascii="Times New Roman" w:hAnsi="Times New Roman" w:cs="Times New Roman"/>
          <w:b/>
          <w:bCs/>
        </w:rPr>
        <w:t>2</w:t>
      </w:r>
      <w:r w:rsidRPr="005A284F">
        <w:rPr>
          <w:rFonts w:ascii="Times New Roman" w:hAnsi="Times New Roman" w:cs="Times New Roman"/>
          <w:b/>
          <w:bCs/>
        </w:rPr>
        <w:t>、限售股份变动情况</w:t>
      </w:r>
      <w:bookmarkEnd w:id="80"/>
    </w:p>
    <w:p w14:paraId="63FA5689" w14:textId="77777777" w:rsidR="006C011D" w:rsidRPr="008D6EA1" w:rsidRDefault="00000000">
      <w:pPr>
        <w:spacing w:before="100" w:after="100" w:line="240" w:lineRule="exact"/>
        <w:rPr>
          <w:rFonts w:ascii="宋体" w:eastAsia="宋体" w:hAnsi="宋体" w:cs="Times New Roman" w:hint="eastAsia"/>
          <w:sz w:val="18"/>
          <w:szCs w:val="18"/>
        </w:rPr>
      </w:pPr>
      <w:r w:rsidRPr="008D6EA1">
        <w:rPr>
          <w:rFonts w:ascii="宋体" w:eastAsia="宋体" w:hAnsi="宋体" w:cs="Times New Roman"/>
          <w:sz w:val="18"/>
          <w:szCs w:val="18"/>
        </w:rPr>
        <w:t xml:space="preserve">□适用 </w:t>
      </w:r>
      <w:r w:rsidRPr="008D6EA1">
        <w:rPr>
          <w:rFonts w:ascii="宋体" w:eastAsia="宋体" w:hAnsi="宋体" w:cs="Times New Roman"/>
          <w:sz w:val="18"/>
          <w:szCs w:val="18"/>
        </w:rPr>
        <w:sym w:font="Wingdings 2" w:char="F052"/>
      </w:r>
      <w:r w:rsidRPr="008D6EA1">
        <w:rPr>
          <w:rFonts w:ascii="宋体" w:eastAsia="宋体" w:hAnsi="宋体" w:cs="Times New Roman"/>
          <w:sz w:val="18"/>
          <w:szCs w:val="18"/>
        </w:rPr>
        <w:t>不适用</w:t>
      </w:r>
    </w:p>
    <w:p w14:paraId="15D6BF62"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81" w:name="_Toc988970"/>
      <w:r w:rsidRPr="005A284F">
        <w:rPr>
          <w:rFonts w:ascii="Times New Roman" w:eastAsia="宋体" w:hAnsi="Times New Roman" w:cs="Times New Roman"/>
          <w:b/>
          <w:bCs/>
          <w:sz w:val="24"/>
          <w:szCs w:val="24"/>
        </w:rPr>
        <w:t>二、证券发行与上市情况</w:t>
      </w:r>
      <w:bookmarkEnd w:id="81"/>
    </w:p>
    <w:p w14:paraId="6A78BE82" w14:textId="77777777" w:rsidR="006C011D" w:rsidRPr="008D6EA1" w:rsidRDefault="00000000">
      <w:pPr>
        <w:spacing w:before="100" w:after="100" w:line="240" w:lineRule="exact"/>
        <w:rPr>
          <w:rFonts w:ascii="宋体" w:eastAsia="宋体" w:hAnsi="宋体" w:cs="Times New Roman" w:hint="eastAsia"/>
          <w:sz w:val="18"/>
          <w:szCs w:val="18"/>
        </w:rPr>
      </w:pPr>
      <w:r w:rsidRPr="008D6EA1">
        <w:rPr>
          <w:rFonts w:ascii="宋体" w:eastAsia="宋体" w:hAnsi="宋体" w:cs="Times New Roman"/>
          <w:sz w:val="18"/>
          <w:szCs w:val="18"/>
        </w:rPr>
        <w:t xml:space="preserve">□适用 </w:t>
      </w:r>
      <w:r w:rsidRPr="008D6EA1">
        <w:rPr>
          <w:rFonts w:ascii="宋体" w:eastAsia="宋体" w:hAnsi="宋体" w:cs="Times New Roman"/>
          <w:sz w:val="18"/>
          <w:szCs w:val="18"/>
        </w:rPr>
        <w:sym w:font="Wingdings 2" w:char="F052"/>
      </w:r>
      <w:r w:rsidRPr="008D6EA1">
        <w:rPr>
          <w:rFonts w:ascii="宋体" w:eastAsia="宋体" w:hAnsi="宋体" w:cs="Times New Roman"/>
          <w:sz w:val="18"/>
          <w:szCs w:val="18"/>
        </w:rPr>
        <w:t>不适用</w:t>
      </w:r>
    </w:p>
    <w:p w14:paraId="35316C00"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82" w:name="_Toc988971"/>
      <w:r w:rsidRPr="005A284F">
        <w:rPr>
          <w:rFonts w:ascii="Times New Roman" w:eastAsia="宋体" w:hAnsi="Times New Roman" w:cs="Times New Roman"/>
          <w:b/>
          <w:bCs/>
          <w:sz w:val="24"/>
          <w:szCs w:val="24"/>
        </w:rPr>
        <w:t>三、公司股东数量及持股情况</w:t>
      </w:r>
      <w:bookmarkEnd w:id="82"/>
    </w:p>
    <w:p w14:paraId="44090F9F" w14:textId="77777777" w:rsidR="006C011D" w:rsidRPr="005A284F" w:rsidRDefault="00000000">
      <w:pPr>
        <w:spacing w:before="120" w:after="12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单位：股</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4A0" w:firstRow="1" w:lastRow="0" w:firstColumn="1" w:lastColumn="0" w:noHBand="0" w:noVBand="1"/>
      </w:tblPr>
      <w:tblGrid>
        <w:gridCol w:w="1225"/>
        <w:gridCol w:w="1134"/>
        <w:gridCol w:w="709"/>
        <w:gridCol w:w="1216"/>
        <w:gridCol w:w="910"/>
        <w:gridCol w:w="992"/>
        <w:gridCol w:w="1134"/>
        <w:gridCol w:w="1276"/>
        <w:gridCol w:w="1043"/>
      </w:tblGrid>
      <w:tr w:rsidR="006C011D" w:rsidRPr="005A284F" w14:paraId="7BC95FCF" w14:textId="77777777" w:rsidTr="008D6EA1">
        <w:trPr>
          <w:trHeight w:val="240"/>
        </w:trPr>
        <w:tc>
          <w:tcPr>
            <w:tcW w:w="235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AA91583"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报告期末普通股股东总数</w:t>
            </w:r>
          </w:p>
        </w:tc>
        <w:tc>
          <w:tcPr>
            <w:tcW w:w="1925" w:type="dxa"/>
            <w:gridSpan w:val="2"/>
            <w:tcBorders>
              <w:top w:val="single" w:sz="2" w:space="0" w:color="auto"/>
              <w:left w:val="single" w:sz="2" w:space="0" w:color="auto"/>
              <w:bottom w:val="single" w:sz="2" w:space="0" w:color="auto"/>
              <w:right w:val="single" w:sz="2" w:space="0" w:color="auto"/>
            </w:tcBorders>
            <w:vAlign w:val="center"/>
          </w:tcPr>
          <w:p w14:paraId="33AB18C2"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30,620</w:t>
            </w:r>
          </w:p>
        </w:tc>
        <w:tc>
          <w:tcPr>
            <w:tcW w:w="303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45E19FF8"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报告期末表决权恢复的优先股股东总数（如有）（参见注</w:t>
            </w:r>
            <w:r w:rsidRPr="005A284F">
              <w:rPr>
                <w:rFonts w:ascii="Times New Roman" w:eastAsia="宋体" w:hAnsi="Times New Roman" w:cs="Times New Roman"/>
                <w:sz w:val="18"/>
                <w:szCs w:val="18"/>
              </w:rPr>
              <w:t>8</w:t>
            </w:r>
            <w:r w:rsidRPr="005A284F">
              <w:rPr>
                <w:rFonts w:ascii="Times New Roman" w:eastAsia="宋体" w:hAnsi="Times New Roman" w:cs="Times New Roman"/>
                <w:sz w:val="18"/>
                <w:szCs w:val="18"/>
              </w:rPr>
              <w:t>）</w:t>
            </w:r>
          </w:p>
        </w:tc>
        <w:tc>
          <w:tcPr>
            <w:tcW w:w="2319" w:type="dxa"/>
            <w:gridSpan w:val="2"/>
            <w:tcBorders>
              <w:top w:val="single" w:sz="2" w:space="0" w:color="auto"/>
              <w:left w:val="single" w:sz="2" w:space="0" w:color="auto"/>
              <w:bottom w:val="single" w:sz="2" w:space="0" w:color="auto"/>
              <w:right w:val="single" w:sz="2" w:space="0" w:color="auto"/>
            </w:tcBorders>
            <w:vAlign w:val="center"/>
          </w:tcPr>
          <w:p w14:paraId="7BC2D098"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r>
      <w:tr w:rsidR="006C011D" w:rsidRPr="005A284F" w14:paraId="40DA205F" w14:textId="77777777" w:rsidTr="008D6EA1">
        <w:trPr>
          <w:trHeight w:val="240"/>
        </w:trPr>
        <w:tc>
          <w:tcPr>
            <w:tcW w:w="9639" w:type="dxa"/>
            <w:gridSpan w:val="9"/>
            <w:tcBorders>
              <w:top w:val="single" w:sz="2" w:space="0" w:color="auto"/>
              <w:left w:val="single" w:sz="2" w:space="0" w:color="auto"/>
              <w:bottom w:val="single" w:sz="2" w:space="0" w:color="auto"/>
              <w:right w:val="single" w:sz="2" w:space="0" w:color="auto"/>
            </w:tcBorders>
            <w:shd w:val="clear" w:color="auto" w:fill="D3D3D3"/>
            <w:vAlign w:val="center"/>
          </w:tcPr>
          <w:p w14:paraId="776D8D7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持股</w:t>
            </w:r>
            <w:r w:rsidRPr="005A284F">
              <w:rPr>
                <w:rFonts w:ascii="Times New Roman" w:eastAsia="宋体" w:hAnsi="Times New Roman" w:cs="Times New Roman"/>
                <w:sz w:val="18"/>
                <w:szCs w:val="18"/>
              </w:rPr>
              <w:t>5%</w:t>
            </w:r>
            <w:r w:rsidRPr="005A284F">
              <w:rPr>
                <w:rFonts w:ascii="Times New Roman" w:eastAsia="宋体" w:hAnsi="Times New Roman" w:cs="Times New Roman"/>
                <w:sz w:val="18"/>
                <w:szCs w:val="18"/>
              </w:rPr>
              <w:t>以上的股东或前</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名股东持股情况（不含通过转融通出借股份）</w:t>
            </w:r>
          </w:p>
        </w:tc>
      </w:tr>
      <w:tr w:rsidR="006C011D" w:rsidRPr="005A284F" w14:paraId="7B1DA0DF" w14:textId="77777777" w:rsidTr="008D6EA1">
        <w:trPr>
          <w:trHeight w:val="240"/>
        </w:trPr>
        <w:tc>
          <w:tcPr>
            <w:tcW w:w="122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B18B14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股东名称</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D54F52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股东性质</w:t>
            </w:r>
          </w:p>
        </w:tc>
        <w:tc>
          <w:tcPr>
            <w:tcW w:w="70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F4E0AF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持股比例</w:t>
            </w:r>
          </w:p>
        </w:tc>
        <w:tc>
          <w:tcPr>
            <w:tcW w:w="121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007CD9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报告期末持股数量</w:t>
            </w:r>
          </w:p>
        </w:tc>
        <w:tc>
          <w:tcPr>
            <w:tcW w:w="9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6662F1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报告期内增减变动情况</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92918B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持有有限售条件的股份数量</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8A4FA2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持有无限售条件的股份数量</w:t>
            </w:r>
          </w:p>
        </w:tc>
        <w:tc>
          <w:tcPr>
            <w:tcW w:w="231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C1E227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质押、标记或冻结情况</w:t>
            </w:r>
          </w:p>
        </w:tc>
      </w:tr>
      <w:tr w:rsidR="006C011D" w:rsidRPr="005A284F" w14:paraId="68367FA9" w14:textId="77777777" w:rsidTr="008D6EA1">
        <w:trPr>
          <w:trHeight w:val="240"/>
        </w:trPr>
        <w:tc>
          <w:tcPr>
            <w:tcW w:w="122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AB18333" w14:textId="77777777" w:rsidR="006C011D" w:rsidRPr="005A284F" w:rsidRDefault="006C011D">
            <w:pPr>
              <w:rPr>
                <w:rFonts w:ascii="Times New Roman" w:eastAsia="宋体" w:hAnsi="Times New Roman" w:cs="Times New Roman"/>
              </w:rPr>
            </w:pP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702FC7D" w14:textId="77777777" w:rsidR="006C011D" w:rsidRPr="005A284F" w:rsidRDefault="006C011D">
            <w:pPr>
              <w:rPr>
                <w:rFonts w:ascii="Times New Roman" w:eastAsia="宋体" w:hAnsi="Times New Roman" w:cs="Times New Roman"/>
              </w:rPr>
            </w:pPr>
          </w:p>
        </w:tc>
        <w:tc>
          <w:tcPr>
            <w:tcW w:w="70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89D33C1" w14:textId="77777777" w:rsidR="006C011D" w:rsidRPr="005A284F" w:rsidRDefault="006C011D">
            <w:pPr>
              <w:rPr>
                <w:rFonts w:ascii="Times New Roman" w:eastAsia="宋体" w:hAnsi="Times New Roman" w:cs="Times New Roman"/>
              </w:rPr>
            </w:pPr>
          </w:p>
        </w:tc>
        <w:tc>
          <w:tcPr>
            <w:tcW w:w="121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1D765FB" w14:textId="77777777" w:rsidR="006C011D" w:rsidRPr="005A284F" w:rsidRDefault="006C011D">
            <w:pPr>
              <w:rPr>
                <w:rFonts w:ascii="Times New Roman" w:eastAsia="宋体" w:hAnsi="Times New Roman" w:cs="Times New Roman"/>
              </w:rPr>
            </w:pPr>
          </w:p>
        </w:tc>
        <w:tc>
          <w:tcPr>
            <w:tcW w:w="91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F70131E" w14:textId="77777777" w:rsidR="006C011D" w:rsidRPr="005A284F" w:rsidRDefault="006C011D">
            <w:pPr>
              <w:rPr>
                <w:rFonts w:ascii="Times New Roman" w:eastAsia="宋体" w:hAnsi="Times New Roman" w:cs="Times New Roman"/>
              </w:rPr>
            </w:pPr>
          </w:p>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99A43EE" w14:textId="77777777" w:rsidR="006C011D" w:rsidRPr="005A284F" w:rsidRDefault="006C011D">
            <w:pPr>
              <w:rPr>
                <w:rFonts w:ascii="Times New Roman" w:eastAsia="宋体" w:hAnsi="Times New Roman" w:cs="Times New Roman"/>
              </w:rPr>
            </w:pP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E2D0017" w14:textId="77777777" w:rsidR="006C011D" w:rsidRPr="005A284F" w:rsidRDefault="006C011D">
            <w:pPr>
              <w:rPr>
                <w:rFonts w:ascii="Times New Roman" w:eastAsia="宋体" w:hAnsi="Times New Roman" w:cs="Times New Roman"/>
              </w:rPr>
            </w:pP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7F694B2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股份状态</w:t>
            </w:r>
          </w:p>
        </w:tc>
        <w:tc>
          <w:tcPr>
            <w:tcW w:w="1043" w:type="dxa"/>
            <w:tcBorders>
              <w:top w:val="single" w:sz="2" w:space="0" w:color="auto"/>
              <w:left w:val="single" w:sz="2" w:space="0" w:color="auto"/>
              <w:bottom w:val="single" w:sz="2" w:space="0" w:color="auto"/>
              <w:right w:val="single" w:sz="2" w:space="0" w:color="auto"/>
            </w:tcBorders>
            <w:shd w:val="clear" w:color="auto" w:fill="D3D3D3"/>
            <w:vAlign w:val="center"/>
          </w:tcPr>
          <w:p w14:paraId="0574ADA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数量</w:t>
            </w:r>
          </w:p>
        </w:tc>
      </w:tr>
      <w:tr w:rsidR="006C011D" w:rsidRPr="005A284F" w14:paraId="698369E1" w14:textId="77777777" w:rsidTr="008D6EA1">
        <w:trPr>
          <w:trHeight w:val="240"/>
        </w:trPr>
        <w:tc>
          <w:tcPr>
            <w:tcW w:w="1225" w:type="dxa"/>
            <w:tcBorders>
              <w:top w:val="single" w:sz="2" w:space="0" w:color="auto"/>
              <w:left w:val="single" w:sz="2" w:space="0" w:color="auto"/>
              <w:bottom w:val="single" w:sz="2" w:space="0" w:color="auto"/>
              <w:right w:val="single" w:sz="2" w:space="0" w:color="auto"/>
            </w:tcBorders>
            <w:vAlign w:val="center"/>
          </w:tcPr>
          <w:p w14:paraId="0DCC65BE"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p>
        </w:tc>
        <w:tc>
          <w:tcPr>
            <w:tcW w:w="1134" w:type="dxa"/>
            <w:tcBorders>
              <w:top w:val="single" w:sz="2" w:space="0" w:color="auto"/>
              <w:left w:val="single" w:sz="2" w:space="0" w:color="auto"/>
              <w:bottom w:val="single" w:sz="2" w:space="0" w:color="auto"/>
              <w:right w:val="single" w:sz="2" w:space="0" w:color="auto"/>
            </w:tcBorders>
            <w:vAlign w:val="center"/>
          </w:tcPr>
          <w:p w14:paraId="7567DA59"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境内非国有法人</w:t>
            </w:r>
          </w:p>
        </w:tc>
        <w:tc>
          <w:tcPr>
            <w:tcW w:w="709" w:type="dxa"/>
            <w:tcBorders>
              <w:top w:val="single" w:sz="2" w:space="0" w:color="auto"/>
              <w:left w:val="single" w:sz="2" w:space="0" w:color="auto"/>
              <w:bottom w:val="single" w:sz="2" w:space="0" w:color="auto"/>
              <w:right w:val="single" w:sz="2" w:space="0" w:color="auto"/>
            </w:tcBorders>
            <w:vAlign w:val="center"/>
          </w:tcPr>
          <w:p w14:paraId="2C308E9B"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27.23%</w:t>
            </w:r>
          </w:p>
        </w:tc>
        <w:tc>
          <w:tcPr>
            <w:tcW w:w="1216" w:type="dxa"/>
            <w:tcBorders>
              <w:top w:val="single" w:sz="2" w:space="0" w:color="auto"/>
              <w:left w:val="single" w:sz="2" w:space="0" w:color="auto"/>
              <w:bottom w:val="single" w:sz="2" w:space="0" w:color="auto"/>
              <w:right w:val="single" w:sz="2" w:space="0" w:color="auto"/>
            </w:tcBorders>
            <w:vAlign w:val="center"/>
          </w:tcPr>
          <w:p w14:paraId="5DDB96F7" w14:textId="77777777" w:rsidR="006C011D" w:rsidRPr="005A284F" w:rsidRDefault="00000000" w:rsidP="00686B44">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293,885,800</w:t>
            </w:r>
          </w:p>
        </w:tc>
        <w:tc>
          <w:tcPr>
            <w:tcW w:w="910" w:type="dxa"/>
            <w:tcBorders>
              <w:top w:val="single" w:sz="2" w:space="0" w:color="auto"/>
              <w:left w:val="single" w:sz="2" w:space="0" w:color="auto"/>
              <w:bottom w:val="single" w:sz="2" w:space="0" w:color="auto"/>
              <w:right w:val="single" w:sz="2" w:space="0" w:color="auto"/>
            </w:tcBorders>
            <w:vAlign w:val="center"/>
          </w:tcPr>
          <w:p w14:paraId="4C3B6695" w14:textId="77777777" w:rsidR="006C011D" w:rsidRPr="005A284F" w:rsidRDefault="00000000" w:rsidP="00686B44">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14:paraId="1DDB4EB4" w14:textId="77777777" w:rsidR="006C011D" w:rsidRPr="005A284F" w:rsidRDefault="00000000" w:rsidP="00686B44">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14:paraId="01670A70" w14:textId="77777777" w:rsidR="006C011D" w:rsidRPr="005A284F" w:rsidRDefault="00000000" w:rsidP="00686B44">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293,885,800</w:t>
            </w:r>
          </w:p>
        </w:tc>
        <w:tc>
          <w:tcPr>
            <w:tcW w:w="1276" w:type="dxa"/>
            <w:tcBorders>
              <w:top w:val="single" w:sz="2" w:space="0" w:color="auto"/>
              <w:left w:val="single" w:sz="2" w:space="0" w:color="auto"/>
              <w:bottom w:val="single" w:sz="2" w:space="0" w:color="auto"/>
              <w:right w:val="single" w:sz="2" w:space="0" w:color="auto"/>
            </w:tcBorders>
            <w:vAlign w:val="center"/>
          </w:tcPr>
          <w:p w14:paraId="69082342"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质押</w:t>
            </w:r>
          </w:p>
        </w:tc>
        <w:tc>
          <w:tcPr>
            <w:tcW w:w="1043" w:type="dxa"/>
            <w:tcBorders>
              <w:top w:val="single" w:sz="2" w:space="0" w:color="auto"/>
              <w:left w:val="single" w:sz="2" w:space="0" w:color="auto"/>
              <w:bottom w:val="single" w:sz="2" w:space="0" w:color="auto"/>
              <w:right w:val="single" w:sz="2" w:space="0" w:color="auto"/>
            </w:tcBorders>
            <w:vAlign w:val="center"/>
          </w:tcPr>
          <w:p w14:paraId="783D7A22"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100,885,800</w:t>
            </w:r>
          </w:p>
        </w:tc>
      </w:tr>
      <w:tr w:rsidR="006C011D" w:rsidRPr="005A284F" w14:paraId="250D5A90" w14:textId="77777777" w:rsidTr="008D6EA1">
        <w:trPr>
          <w:trHeight w:val="240"/>
        </w:trPr>
        <w:tc>
          <w:tcPr>
            <w:tcW w:w="1225" w:type="dxa"/>
            <w:tcBorders>
              <w:top w:val="single" w:sz="2" w:space="0" w:color="auto"/>
              <w:left w:val="single" w:sz="2" w:space="0" w:color="auto"/>
              <w:bottom w:val="single" w:sz="2" w:space="0" w:color="auto"/>
              <w:right w:val="single" w:sz="2" w:space="0" w:color="auto"/>
            </w:tcBorders>
            <w:vAlign w:val="center"/>
          </w:tcPr>
          <w:p w14:paraId="7181BC92"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莱阳银龙投资有限公司</w:t>
            </w:r>
          </w:p>
        </w:tc>
        <w:tc>
          <w:tcPr>
            <w:tcW w:w="1134" w:type="dxa"/>
            <w:tcBorders>
              <w:top w:val="single" w:sz="2" w:space="0" w:color="auto"/>
              <w:left w:val="single" w:sz="2" w:space="0" w:color="auto"/>
              <w:bottom w:val="single" w:sz="2" w:space="0" w:color="auto"/>
              <w:right w:val="single" w:sz="2" w:space="0" w:color="auto"/>
            </w:tcBorders>
            <w:vAlign w:val="center"/>
          </w:tcPr>
          <w:p w14:paraId="192C1318"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境内非国有法人</w:t>
            </w:r>
          </w:p>
        </w:tc>
        <w:tc>
          <w:tcPr>
            <w:tcW w:w="709" w:type="dxa"/>
            <w:tcBorders>
              <w:top w:val="single" w:sz="2" w:space="0" w:color="auto"/>
              <w:left w:val="single" w:sz="2" w:space="0" w:color="auto"/>
              <w:bottom w:val="single" w:sz="2" w:space="0" w:color="auto"/>
              <w:right w:val="single" w:sz="2" w:space="0" w:color="auto"/>
            </w:tcBorders>
            <w:vAlign w:val="center"/>
          </w:tcPr>
          <w:p w14:paraId="4AE5427B"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7.29%</w:t>
            </w:r>
          </w:p>
        </w:tc>
        <w:tc>
          <w:tcPr>
            <w:tcW w:w="1216" w:type="dxa"/>
            <w:tcBorders>
              <w:top w:val="single" w:sz="2" w:space="0" w:color="auto"/>
              <w:left w:val="single" w:sz="2" w:space="0" w:color="auto"/>
              <w:bottom w:val="single" w:sz="2" w:space="0" w:color="auto"/>
              <w:right w:val="single" w:sz="2" w:space="0" w:color="auto"/>
            </w:tcBorders>
            <w:vAlign w:val="center"/>
          </w:tcPr>
          <w:p w14:paraId="58343C74" w14:textId="77777777" w:rsidR="006C011D" w:rsidRPr="005A284F" w:rsidRDefault="00000000" w:rsidP="00686B44">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78,676,000</w:t>
            </w:r>
          </w:p>
        </w:tc>
        <w:tc>
          <w:tcPr>
            <w:tcW w:w="910" w:type="dxa"/>
            <w:tcBorders>
              <w:top w:val="single" w:sz="2" w:space="0" w:color="auto"/>
              <w:left w:val="single" w:sz="2" w:space="0" w:color="auto"/>
              <w:bottom w:val="single" w:sz="2" w:space="0" w:color="auto"/>
              <w:right w:val="single" w:sz="2" w:space="0" w:color="auto"/>
            </w:tcBorders>
            <w:vAlign w:val="center"/>
          </w:tcPr>
          <w:p w14:paraId="67000AD3" w14:textId="77777777" w:rsidR="006C011D" w:rsidRPr="005A284F" w:rsidRDefault="00000000" w:rsidP="00686B44">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14:paraId="07AC34F2" w14:textId="77777777" w:rsidR="006C011D" w:rsidRPr="005A284F" w:rsidRDefault="00000000" w:rsidP="00686B44">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14:paraId="7477D7CA" w14:textId="77777777" w:rsidR="006C011D" w:rsidRPr="005A284F" w:rsidRDefault="00000000" w:rsidP="00686B44">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78,676,000</w:t>
            </w:r>
          </w:p>
        </w:tc>
        <w:tc>
          <w:tcPr>
            <w:tcW w:w="1276" w:type="dxa"/>
            <w:tcBorders>
              <w:top w:val="single" w:sz="2" w:space="0" w:color="auto"/>
              <w:left w:val="single" w:sz="2" w:space="0" w:color="auto"/>
              <w:bottom w:val="single" w:sz="2" w:space="0" w:color="auto"/>
              <w:right w:val="single" w:sz="2" w:space="0" w:color="auto"/>
            </w:tcBorders>
            <w:vAlign w:val="center"/>
          </w:tcPr>
          <w:p w14:paraId="349E6335"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不适用</w:t>
            </w:r>
          </w:p>
        </w:tc>
        <w:tc>
          <w:tcPr>
            <w:tcW w:w="1043" w:type="dxa"/>
            <w:tcBorders>
              <w:top w:val="single" w:sz="2" w:space="0" w:color="auto"/>
              <w:left w:val="single" w:sz="2" w:space="0" w:color="auto"/>
              <w:bottom w:val="single" w:sz="2" w:space="0" w:color="auto"/>
              <w:right w:val="single" w:sz="2" w:space="0" w:color="auto"/>
            </w:tcBorders>
            <w:vAlign w:val="center"/>
          </w:tcPr>
          <w:p w14:paraId="3B50C7CA"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r>
      <w:tr w:rsidR="006C011D" w:rsidRPr="005A284F" w14:paraId="1AEA0CC0" w14:textId="77777777" w:rsidTr="008D6EA1">
        <w:trPr>
          <w:trHeight w:val="240"/>
        </w:trPr>
        <w:tc>
          <w:tcPr>
            <w:tcW w:w="1225" w:type="dxa"/>
            <w:tcBorders>
              <w:top w:val="single" w:sz="2" w:space="0" w:color="auto"/>
              <w:left w:val="single" w:sz="2" w:space="0" w:color="auto"/>
              <w:bottom w:val="single" w:sz="2" w:space="0" w:color="auto"/>
              <w:right w:val="single" w:sz="2" w:space="0" w:color="auto"/>
            </w:tcBorders>
            <w:vAlign w:val="center"/>
          </w:tcPr>
          <w:p w14:paraId="0C581969"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青岛洪亨亚和实业有限公司</w:t>
            </w:r>
          </w:p>
        </w:tc>
        <w:tc>
          <w:tcPr>
            <w:tcW w:w="1134" w:type="dxa"/>
            <w:tcBorders>
              <w:top w:val="single" w:sz="2" w:space="0" w:color="auto"/>
              <w:left w:val="single" w:sz="2" w:space="0" w:color="auto"/>
              <w:bottom w:val="single" w:sz="2" w:space="0" w:color="auto"/>
              <w:right w:val="single" w:sz="2" w:space="0" w:color="auto"/>
            </w:tcBorders>
            <w:vAlign w:val="center"/>
          </w:tcPr>
          <w:p w14:paraId="2AD3957B"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境内非国有法人</w:t>
            </w:r>
          </w:p>
        </w:tc>
        <w:tc>
          <w:tcPr>
            <w:tcW w:w="709" w:type="dxa"/>
            <w:tcBorders>
              <w:top w:val="single" w:sz="2" w:space="0" w:color="auto"/>
              <w:left w:val="single" w:sz="2" w:space="0" w:color="auto"/>
              <w:bottom w:val="single" w:sz="2" w:space="0" w:color="auto"/>
              <w:right w:val="single" w:sz="2" w:space="0" w:color="auto"/>
            </w:tcBorders>
            <w:vAlign w:val="center"/>
          </w:tcPr>
          <w:p w14:paraId="121A5C57"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5.53%</w:t>
            </w:r>
          </w:p>
        </w:tc>
        <w:tc>
          <w:tcPr>
            <w:tcW w:w="1216" w:type="dxa"/>
            <w:tcBorders>
              <w:top w:val="single" w:sz="2" w:space="0" w:color="auto"/>
              <w:left w:val="single" w:sz="2" w:space="0" w:color="auto"/>
              <w:bottom w:val="single" w:sz="2" w:space="0" w:color="auto"/>
              <w:right w:val="single" w:sz="2" w:space="0" w:color="auto"/>
            </w:tcBorders>
            <w:vAlign w:val="center"/>
          </w:tcPr>
          <w:p w14:paraId="1855221E" w14:textId="77777777" w:rsidR="006C011D" w:rsidRPr="005A284F" w:rsidRDefault="00000000" w:rsidP="00686B44">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59,714,200</w:t>
            </w:r>
          </w:p>
        </w:tc>
        <w:tc>
          <w:tcPr>
            <w:tcW w:w="910" w:type="dxa"/>
            <w:tcBorders>
              <w:top w:val="single" w:sz="2" w:space="0" w:color="auto"/>
              <w:left w:val="single" w:sz="2" w:space="0" w:color="auto"/>
              <w:bottom w:val="single" w:sz="2" w:space="0" w:color="auto"/>
              <w:right w:val="single" w:sz="2" w:space="0" w:color="auto"/>
            </w:tcBorders>
            <w:vAlign w:val="center"/>
          </w:tcPr>
          <w:p w14:paraId="150A8855" w14:textId="77777777" w:rsidR="006C011D" w:rsidRPr="005A284F" w:rsidRDefault="00000000" w:rsidP="00686B44">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14:paraId="501CD788" w14:textId="77777777" w:rsidR="006C011D" w:rsidRPr="005A284F" w:rsidRDefault="00000000" w:rsidP="00686B44">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14:paraId="7D854E26" w14:textId="77777777" w:rsidR="006C011D" w:rsidRPr="005A284F" w:rsidRDefault="00000000" w:rsidP="00686B44">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59,714,200</w:t>
            </w:r>
          </w:p>
        </w:tc>
        <w:tc>
          <w:tcPr>
            <w:tcW w:w="1276" w:type="dxa"/>
            <w:tcBorders>
              <w:top w:val="single" w:sz="2" w:space="0" w:color="auto"/>
              <w:left w:val="single" w:sz="2" w:space="0" w:color="auto"/>
              <w:bottom w:val="single" w:sz="2" w:space="0" w:color="auto"/>
              <w:right w:val="single" w:sz="2" w:space="0" w:color="auto"/>
            </w:tcBorders>
            <w:vAlign w:val="center"/>
          </w:tcPr>
          <w:p w14:paraId="7E140E86"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不适用</w:t>
            </w:r>
          </w:p>
        </w:tc>
        <w:tc>
          <w:tcPr>
            <w:tcW w:w="1043" w:type="dxa"/>
            <w:tcBorders>
              <w:top w:val="single" w:sz="2" w:space="0" w:color="auto"/>
              <w:left w:val="single" w:sz="2" w:space="0" w:color="auto"/>
              <w:bottom w:val="single" w:sz="2" w:space="0" w:color="auto"/>
              <w:right w:val="single" w:sz="2" w:space="0" w:color="auto"/>
            </w:tcBorders>
            <w:vAlign w:val="center"/>
          </w:tcPr>
          <w:p w14:paraId="627E1B4C"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r>
      <w:tr w:rsidR="006C011D" w:rsidRPr="005A284F" w14:paraId="455D5BDC" w14:textId="77777777" w:rsidTr="008D6EA1">
        <w:trPr>
          <w:trHeight w:val="240"/>
        </w:trPr>
        <w:tc>
          <w:tcPr>
            <w:tcW w:w="1225" w:type="dxa"/>
            <w:tcBorders>
              <w:top w:val="single" w:sz="2" w:space="0" w:color="auto"/>
              <w:left w:val="single" w:sz="2" w:space="0" w:color="auto"/>
              <w:bottom w:val="single" w:sz="2" w:space="0" w:color="auto"/>
              <w:right w:val="single" w:sz="2" w:space="0" w:color="auto"/>
            </w:tcBorders>
            <w:vAlign w:val="center"/>
          </w:tcPr>
          <w:p w14:paraId="1FF7E8EF"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深圳市钜珲实业有限公司</w:t>
            </w:r>
          </w:p>
        </w:tc>
        <w:tc>
          <w:tcPr>
            <w:tcW w:w="1134" w:type="dxa"/>
            <w:tcBorders>
              <w:top w:val="single" w:sz="2" w:space="0" w:color="auto"/>
              <w:left w:val="single" w:sz="2" w:space="0" w:color="auto"/>
              <w:bottom w:val="single" w:sz="2" w:space="0" w:color="auto"/>
              <w:right w:val="single" w:sz="2" w:space="0" w:color="auto"/>
            </w:tcBorders>
            <w:vAlign w:val="center"/>
          </w:tcPr>
          <w:p w14:paraId="04AFE1BC"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境内非国有法人</w:t>
            </w:r>
          </w:p>
        </w:tc>
        <w:tc>
          <w:tcPr>
            <w:tcW w:w="709" w:type="dxa"/>
            <w:tcBorders>
              <w:top w:val="single" w:sz="2" w:space="0" w:color="auto"/>
              <w:left w:val="single" w:sz="2" w:space="0" w:color="auto"/>
              <w:bottom w:val="single" w:sz="2" w:space="0" w:color="auto"/>
              <w:right w:val="single" w:sz="2" w:space="0" w:color="auto"/>
            </w:tcBorders>
            <w:vAlign w:val="center"/>
          </w:tcPr>
          <w:p w14:paraId="6A7392A8"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3.81%</w:t>
            </w:r>
          </w:p>
        </w:tc>
        <w:tc>
          <w:tcPr>
            <w:tcW w:w="1216" w:type="dxa"/>
            <w:tcBorders>
              <w:top w:val="single" w:sz="2" w:space="0" w:color="auto"/>
              <w:left w:val="single" w:sz="2" w:space="0" w:color="auto"/>
              <w:bottom w:val="single" w:sz="2" w:space="0" w:color="auto"/>
              <w:right w:val="single" w:sz="2" w:space="0" w:color="auto"/>
            </w:tcBorders>
            <w:vAlign w:val="center"/>
          </w:tcPr>
          <w:p w14:paraId="6ECE1B0F" w14:textId="77777777" w:rsidR="006C011D" w:rsidRPr="005A284F" w:rsidRDefault="00000000" w:rsidP="00686B44">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41,119,684</w:t>
            </w:r>
          </w:p>
        </w:tc>
        <w:tc>
          <w:tcPr>
            <w:tcW w:w="910" w:type="dxa"/>
            <w:tcBorders>
              <w:top w:val="single" w:sz="2" w:space="0" w:color="auto"/>
              <w:left w:val="single" w:sz="2" w:space="0" w:color="auto"/>
              <w:bottom w:val="single" w:sz="2" w:space="0" w:color="auto"/>
              <w:right w:val="single" w:sz="2" w:space="0" w:color="auto"/>
            </w:tcBorders>
            <w:vAlign w:val="center"/>
          </w:tcPr>
          <w:p w14:paraId="73F0FB18" w14:textId="77777777" w:rsidR="006C011D" w:rsidRPr="005A284F" w:rsidRDefault="00000000" w:rsidP="00686B44">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-187,800</w:t>
            </w:r>
          </w:p>
        </w:tc>
        <w:tc>
          <w:tcPr>
            <w:tcW w:w="992" w:type="dxa"/>
            <w:tcBorders>
              <w:top w:val="single" w:sz="2" w:space="0" w:color="auto"/>
              <w:left w:val="single" w:sz="2" w:space="0" w:color="auto"/>
              <w:bottom w:val="single" w:sz="2" w:space="0" w:color="auto"/>
              <w:right w:val="single" w:sz="2" w:space="0" w:color="auto"/>
            </w:tcBorders>
            <w:vAlign w:val="center"/>
          </w:tcPr>
          <w:p w14:paraId="7EDDB03D" w14:textId="77777777" w:rsidR="006C011D" w:rsidRPr="005A284F" w:rsidRDefault="00000000" w:rsidP="00686B44">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14:paraId="19BF235A" w14:textId="77777777" w:rsidR="006C011D" w:rsidRPr="005A284F" w:rsidRDefault="00000000" w:rsidP="00686B44">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41,119,684</w:t>
            </w:r>
          </w:p>
        </w:tc>
        <w:tc>
          <w:tcPr>
            <w:tcW w:w="1276" w:type="dxa"/>
            <w:tcBorders>
              <w:top w:val="single" w:sz="2" w:space="0" w:color="auto"/>
              <w:left w:val="single" w:sz="2" w:space="0" w:color="auto"/>
              <w:bottom w:val="single" w:sz="2" w:space="0" w:color="auto"/>
              <w:right w:val="single" w:sz="2" w:space="0" w:color="auto"/>
            </w:tcBorders>
            <w:vAlign w:val="center"/>
          </w:tcPr>
          <w:p w14:paraId="54BBEBAA"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不适用</w:t>
            </w:r>
          </w:p>
        </w:tc>
        <w:tc>
          <w:tcPr>
            <w:tcW w:w="1043" w:type="dxa"/>
            <w:tcBorders>
              <w:top w:val="single" w:sz="2" w:space="0" w:color="auto"/>
              <w:left w:val="single" w:sz="2" w:space="0" w:color="auto"/>
              <w:bottom w:val="single" w:sz="2" w:space="0" w:color="auto"/>
              <w:right w:val="single" w:sz="2" w:space="0" w:color="auto"/>
            </w:tcBorders>
            <w:vAlign w:val="center"/>
          </w:tcPr>
          <w:p w14:paraId="484CCCE5"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r>
      <w:tr w:rsidR="006C011D" w:rsidRPr="005A284F" w14:paraId="50D4ACD3" w14:textId="77777777" w:rsidTr="008D6EA1">
        <w:trPr>
          <w:trHeight w:val="240"/>
        </w:trPr>
        <w:tc>
          <w:tcPr>
            <w:tcW w:w="1225" w:type="dxa"/>
            <w:tcBorders>
              <w:top w:val="single" w:sz="2" w:space="0" w:color="auto"/>
              <w:left w:val="single" w:sz="2" w:space="0" w:color="auto"/>
              <w:bottom w:val="single" w:sz="2" w:space="0" w:color="auto"/>
              <w:right w:val="single" w:sz="2" w:space="0" w:color="auto"/>
            </w:tcBorders>
            <w:vAlign w:val="center"/>
          </w:tcPr>
          <w:p w14:paraId="2999EBA1"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银河德睿资本管理有限公司</w:t>
            </w:r>
          </w:p>
        </w:tc>
        <w:tc>
          <w:tcPr>
            <w:tcW w:w="1134" w:type="dxa"/>
            <w:tcBorders>
              <w:top w:val="single" w:sz="2" w:space="0" w:color="auto"/>
              <w:left w:val="single" w:sz="2" w:space="0" w:color="auto"/>
              <w:bottom w:val="single" w:sz="2" w:space="0" w:color="auto"/>
              <w:right w:val="single" w:sz="2" w:space="0" w:color="auto"/>
            </w:tcBorders>
            <w:vAlign w:val="center"/>
          </w:tcPr>
          <w:p w14:paraId="10F137C3"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境内非国有法人</w:t>
            </w:r>
          </w:p>
        </w:tc>
        <w:tc>
          <w:tcPr>
            <w:tcW w:w="709" w:type="dxa"/>
            <w:tcBorders>
              <w:top w:val="single" w:sz="2" w:space="0" w:color="auto"/>
              <w:left w:val="single" w:sz="2" w:space="0" w:color="auto"/>
              <w:bottom w:val="single" w:sz="2" w:space="0" w:color="auto"/>
              <w:right w:val="single" w:sz="2" w:space="0" w:color="auto"/>
            </w:tcBorders>
            <w:vAlign w:val="center"/>
          </w:tcPr>
          <w:p w14:paraId="10F4F721"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2.83%</w:t>
            </w:r>
          </w:p>
        </w:tc>
        <w:tc>
          <w:tcPr>
            <w:tcW w:w="1216" w:type="dxa"/>
            <w:tcBorders>
              <w:top w:val="single" w:sz="2" w:space="0" w:color="auto"/>
              <w:left w:val="single" w:sz="2" w:space="0" w:color="auto"/>
              <w:bottom w:val="single" w:sz="2" w:space="0" w:color="auto"/>
              <w:right w:val="single" w:sz="2" w:space="0" w:color="auto"/>
            </w:tcBorders>
            <w:vAlign w:val="center"/>
          </w:tcPr>
          <w:p w14:paraId="20B964D0" w14:textId="77777777" w:rsidR="006C011D" w:rsidRPr="005A284F" w:rsidRDefault="00000000" w:rsidP="00686B44">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30,528,205</w:t>
            </w:r>
          </w:p>
        </w:tc>
        <w:tc>
          <w:tcPr>
            <w:tcW w:w="910" w:type="dxa"/>
            <w:tcBorders>
              <w:top w:val="single" w:sz="2" w:space="0" w:color="auto"/>
              <w:left w:val="single" w:sz="2" w:space="0" w:color="auto"/>
              <w:bottom w:val="single" w:sz="2" w:space="0" w:color="auto"/>
              <w:right w:val="single" w:sz="2" w:space="0" w:color="auto"/>
            </w:tcBorders>
            <w:vAlign w:val="center"/>
          </w:tcPr>
          <w:p w14:paraId="035D3F68" w14:textId="77777777" w:rsidR="006C011D" w:rsidRPr="005A284F" w:rsidRDefault="00000000" w:rsidP="00686B44">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-6,499,930</w:t>
            </w:r>
          </w:p>
        </w:tc>
        <w:tc>
          <w:tcPr>
            <w:tcW w:w="992" w:type="dxa"/>
            <w:tcBorders>
              <w:top w:val="single" w:sz="2" w:space="0" w:color="auto"/>
              <w:left w:val="single" w:sz="2" w:space="0" w:color="auto"/>
              <w:bottom w:val="single" w:sz="2" w:space="0" w:color="auto"/>
              <w:right w:val="single" w:sz="2" w:space="0" w:color="auto"/>
            </w:tcBorders>
            <w:vAlign w:val="center"/>
          </w:tcPr>
          <w:p w14:paraId="2B5622F8" w14:textId="77777777" w:rsidR="006C011D" w:rsidRPr="005A284F" w:rsidRDefault="00000000" w:rsidP="00686B44">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14:paraId="228841B0" w14:textId="77777777" w:rsidR="006C011D" w:rsidRPr="005A284F" w:rsidRDefault="00000000" w:rsidP="00686B44">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30,528,205</w:t>
            </w:r>
          </w:p>
        </w:tc>
        <w:tc>
          <w:tcPr>
            <w:tcW w:w="1276" w:type="dxa"/>
            <w:tcBorders>
              <w:top w:val="single" w:sz="2" w:space="0" w:color="auto"/>
              <w:left w:val="single" w:sz="2" w:space="0" w:color="auto"/>
              <w:bottom w:val="single" w:sz="2" w:space="0" w:color="auto"/>
              <w:right w:val="single" w:sz="2" w:space="0" w:color="auto"/>
            </w:tcBorders>
            <w:vAlign w:val="center"/>
          </w:tcPr>
          <w:p w14:paraId="604CBC40"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不适用</w:t>
            </w:r>
          </w:p>
        </w:tc>
        <w:tc>
          <w:tcPr>
            <w:tcW w:w="1043" w:type="dxa"/>
            <w:tcBorders>
              <w:top w:val="single" w:sz="2" w:space="0" w:color="auto"/>
              <w:left w:val="single" w:sz="2" w:space="0" w:color="auto"/>
              <w:bottom w:val="single" w:sz="2" w:space="0" w:color="auto"/>
              <w:right w:val="single" w:sz="2" w:space="0" w:color="auto"/>
            </w:tcBorders>
            <w:vAlign w:val="center"/>
          </w:tcPr>
          <w:p w14:paraId="7ADECFBE"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r>
      <w:tr w:rsidR="006C011D" w:rsidRPr="005A284F" w14:paraId="032CB8BA" w14:textId="77777777" w:rsidTr="008D6EA1">
        <w:trPr>
          <w:trHeight w:val="240"/>
        </w:trPr>
        <w:tc>
          <w:tcPr>
            <w:tcW w:w="1225" w:type="dxa"/>
            <w:tcBorders>
              <w:top w:val="single" w:sz="2" w:space="0" w:color="auto"/>
              <w:left w:val="single" w:sz="2" w:space="0" w:color="auto"/>
              <w:bottom w:val="single" w:sz="2" w:space="0" w:color="auto"/>
              <w:right w:val="single" w:sz="2" w:space="0" w:color="auto"/>
            </w:tcBorders>
            <w:vAlign w:val="center"/>
          </w:tcPr>
          <w:p w14:paraId="09F6FDC9"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晟弘资产管理（珠海）有限公司</w:t>
            </w:r>
          </w:p>
        </w:tc>
        <w:tc>
          <w:tcPr>
            <w:tcW w:w="1134" w:type="dxa"/>
            <w:tcBorders>
              <w:top w:val="single" w:sz="2" w:space="0" w:color="auto"/>
              <w:left w:val="single" w:sz="2" w:space="0" w:color="auto"/>
              <w:bottom w:val="single" w:sz="2" w:space="0" w:color="auto"/>
              <w:right w:val="single" w:sz="2" w:space="0" w:color="auto"/>
            </w:tcBorders>
            <w:vAlign w:val="center"/>
          </w:tcPr>
          <w:p w14:paraId="6372C768"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境内非国有法人</w:t>
            </w:r>
          </w:p>
        </w:tc>
        <w:tc>
          <w:tcPr>
            <w:tcW w:w="709" w:type="dxa"/>
            <w:tcBorders>
              <w:top w:val="single" w:sz="2" w:space="0" w:color="auto"/>
              <w:left w:val="single" w:sz="2" w:space="0" w:color="auto"/>
              <w:bottom w:val="single" w:sz="2" w:space="0" w:color="auto"/>
              <w:right w:val="single" w:sz="2" w:space="0" w:color="auto"/>
            </w:tcBorders>
            <w:vAlign w:val="center"/>
          </w:tcPr>
          <w:p w14:paraId="4558D43F"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2.72%</w:t>
            </w:r>
          </w:p>
        </w:tc>
        <w:tc>
          <w:tcPr>
            <w:tcW w:w="1216" w:type="dxa"/>
            <w:tcBorders>
              <w:top w:val="single" w:sz="2" w:space="0" w:color="auto"/>
              <w:left w:val="single" w:sz="2" w:space="0" w:color="auto"/>
              <w:bottom w:val="single" w:sz="2" w:space="0" w:color="auto"/>
              <w:right w:val="single" w:sz="2" w:space="0" w:color="auto"/>
            </w:tcBorders>
            <w:vAlign w:val="center"/>
          </w:tcPr>
          <w:p w14:paraId="7BD34B33" w14:textId="77777777" w:rsidR="006C011D" w:rsidRPr="005A284F" w:rsidRDefault="00000000" w:rsidP="00686B44">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29,376,135</w:t>
            </w:r>
          </w:p>
        </w:tc>
        <w:tc>
          <w:tcPr>
            <w:tcW w:w="910" w:type="dxa"/>
            <w:tcBorders>
              <w:top w:val="single" w:sz="2" w:space="0" w:color="auto"/>
              <w:left w:val="single" w:sz="2" w:space="0" w:color="auto"/>
              <w:bottom w:val="single" w:sz="2" w:space="0" w:color="auto"/>
              <w:right w:val="single" w:sz="2" w:space="0" w:color="auto"/>
            </w:tcBorders>
            <w:vAlign w:val="center"/>
          </w:tcPr>
          <w:p w14:paraId="73F8ED51" w14:textId="77777777" w:rsidR="006C011D" w:rsidRPr="005A284F" w:rsidRDefault="00000000" w:rsidP="00686B44">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14:paraId="2FB53E21" w14:textId="77777777" w:rsidR="006C011D" w:rsidRPr="005A284F" w:rsidRDefault="00000000" w:rsidP="00686B44">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14:paraId="571D3BA6" w14:textId="77777777" w:rsidR="006C011D" w:rsidRPr="005A284F" w:rsidRDefault="00000000" w:rsidP="00686B44">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29,376,135</w:t>
            </w:r>
          </w:p>
        </w:tc>
        <w:tc>
          <w:tcPr>
            <w:tcW w:w="1276" w:type="dxa"/>
            <w:tcBorders>
              <w:top w:val="single" w:sz="2" w:space="0" w:color="auto"/>
              <w:left w:val="single" w:sz="2" w:space="0" w:color="auto"/>
              <w:bottom w:val="single" w:sz="2" w:space="0" w:color="auto"/>
              <w:right w:val="single" w:sz="2" w:space="0" w:color="auto"/>
            </w:tcBorders>
            <w:vAlign w:val="center"/>
          </w:tcPr>
          <w:p w14:paraId="178629F9"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不适用</w:t>
            </w:r>
          </w:p>
        </w:tc>
        <w:tc>
          <w:tcPr>
            <w:tcW w:w="1043" w:type="dxa"/>
            <w:tcBorders>
              <w:top w:val="single" w:sz="2" w:space="0" w:color="auto"/>
              <w:left w:val="single" w:sz="2" w:space="0" w:color="auto"/>
              <w:bottom w:val="single" w:sz="2" w:space="0" w:color="auto"/>
              <w:right w:val="single" w:sz="2" w:space="0" w:color="auto"/>
            </w:tcBorders>
            <w:vAlign w:val="center"/>
          </w:tcPr>
          <w:p w14:paraId="1104E0B2"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r>
      <w:tr w:rsidR="006C011D" w:rsidRPr="005A284F" w14:paraId="50B13963" w14:textId="77777777" w:rsidTr="008D6EA1">
        <w:trPr>
          <w:trHeight w:val="240"/>
        </w:trPr>
        <w:tc>
          <w:tcPr>
            <w:tcW w:w="1225" w:type="dxa"/>
            <w:tcBorders>
              <w:top w:val="single" w:sz="2" w:space="0" w:color="auto"/>
              <w:left w:val="single" w:sz="2" w:space="0" w:color="auto"/>
              <w:bottom w:val="single" w:sz="2" w:space="0" w:color="auto"/>
              <w:right w:val="single" w:sz="2" w:space="0" w:color="auto"/>
            </w:tcBorders>
            <w:vAlign w:val="center"/>
          </w:tcPr>
          <w:p w14:paraId="65B7638D"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广州森控实业有限公司</w:t>
            </w:r>
          </w:p>
        </w:tc>
        <w:tc>
          <w:tcPr>
            <w:tcW w:w="1134" w:type="dxa"/>
            <w:tcBorders>
              <w:top w:val="single" w:sz="2" w:space="0" w:color="auto"/>
              <w:left w:val="single" w:sz="2" w:space="0" w:color="auto"/>
              <w:bottom w:val="single" w:sz="2" w:space="0" w:color="auto"/>
              <w:right w:val="single" w:sz="2" w:space="0" w:color="auto"/>
            </w:tcBorders>
            <w:vAlign w:val="center"/>
          </w:tcPr>
          <w:p w14:paraId="477309F7"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境内非国有法人</w:t>
            </w:r>
          </w:p>
        </w:tc>
        <w:tc>
          <w:tcPr>
            <w:tcW w:w="709" w:type="dxa"/>
            <w:tcBorders>
              <w:top w:val="single" w:sz="2" w:space="0" w:color="auto"/>
              <w:left w:val="single" w:sz="2" w:space="0" w:color="auto"/>
              <w:bottom w:val="single" w:sz="2" w:space="0" w:color="auto"/>
              <w:right w:val="single" w:sz="2" w:space="0" w:color="auto"/>
            </w:tcBorders>
            <w:vAlign w:val="center"/>
          </w:tcPr>
          <w:p w14:paraId="23522F3C"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1.64%</w:t>
            </w:r>
          </w:p>
        </w:tc>
        <w:tc>
          <w:tcPr>
            <w:tcW w:w="1216" w:type="dxa"/>
            <w:tcBorders>
              <w:top w:val="single" w:sz="2" w:space="0" w:color="auto"/>
              <w:left w:val="single" w:sz="2" w:space="0" w:color="auto"/>
              <w:bottom w:val="single" w:sz="2" w:space="0" w:color="auto"/>
              <w:right w:val="single" w:sz="2" w:space="0" w:color="auto"/>
            </w:tcBorders>
            <w:vAlign w:val="center"/>
          </w:tcPr>
          <w:p w14:paraId="22EAD6DB" w14:textId="77777777" w:rsidR="006C011D" w:rsidRPr="005A284F" w:rsidRDefault="00000000" w:rsidP="00686B44">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17,732,790</w:t>
            </w:r>
          </w:p>
        </w:tc>
        <w:tc>
          <w:tcPr>
            <w:tcW w:w="910" w:type="dxa"/>
            <w:tcBorders>
              <w:top w:val="single" w:sz="2" w:space="0" w:color="auto"/>
              <w:left w:val="single" w:sz="2" w:space="0" w:color="auto"/>
              <w:bottom w:val="single" w:sz="2" w:space="0" w:color="auto"/>
              <w:right w:val="single" w:sz="2" w:space="0" w:color="auto"/>
            </w:tcBorders>
            <w:vAlign w:val="center"/>
          </w:tcPr>
          <w:p w14:paraId="26416308" w14:textId="77777777" w:rsidR="006C011D" w:rsidRPr="005A284F" w:rsidRDefault="00000000" w:rsidP="00686B44">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-1,014,600</w:t>
            </w:r>
          </w:p>
        </w:tc>
        <w:tc>
          <w:tcPr>
            <w:tcW w:w="992" w:type="dxa"/>
            <w:tcBorders>
              <w:top w:val="single" w:sz="2" w:space="0" w:color="auto"/>
              <w:left w:val="single" w:sz="2" w:space="0" w:color="auto"/>
              <w:bottom w:val="single" w:sz="2" w:space="0" w:color="auto"/>
              <w:right w:val="single" w:sz="2" w:space="0" w:color="auto"/>
            </w:tcBorders>
            <w:vAlign w:val="center"/>
          </w:tcPr>
          <w:p w14:paraId="3580EAB8" w14:textId="77777777" w:rsidR="006C011D" w:rsidRPr="005A284F" w:rsidRDefault="00000000" w:rsidP="00686B44">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14:paraId="2DB97341" w14:textId="77777777" w:rsidR="006C011D" w:rsidRPr="005A284F" w:rsidRDefault="00000000" w:rsidP="00686B44">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17,732,790</w:t>
            </w:r>
          </w:p>
        </w:tc>
        <w:tc>
          <w:tcPr>
            <w:tcW w:w="1276" w:type="dxa"/>
            <w:tcBorders>
              <w:top w:val="single" w:sz="2" w:space="0" w:color="auto"/>
              <w:left w:val="single" w:sz="2" w:space="0" w:color="auto"/>
              <w:bottom w:val="single" w:sz="2" w:space="0" w:color="auto"/>
              <w:right w:val="single" w:sz="2" w:space="0" w:color="auto"/>
            </w:tcBorders>
            <w:vAlign w:val="center"/>
          </w:tcPr>
          <w:p w14:paraId="3E87595C"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不适用</w:t>
            </w:r>
          </w:p>
        </w:tc>
        <w:tc>
          <w:tcPr>
            <w:tcW w:w="1043" w:type="dxa"/>
            <w:tcBorders>
              <w:top w:val="single" w:sz="2" w:space="0" w:color="auto"/>
              <w:left w:val="single" w:sz="2" w:space="0" w:color="auto"/>
              <w:bottom w:val="single" w:sz="2" w:space="0" w:color="auto"/>
              <w:right w:val="single" w:sz="2" w:space="0" w:color="auto"/>
            </w:tcBorders>
            <w:vAlign w:val="center"/>
          </w:tcPr>
          <w:p w14:paraId="697BE29B"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r>
      <w:tr w:rsidR="006C011D" w:rsidRPr="005A284F" w14:paraId="2CC37158" w14:textId="77777777" w:rsidTr="008D6EA1">
        <w:trPr>
          <w:trHeight w:val="240"/>
        </w:trPr>
        <w:tc>
          <w:tcPr>
            <w:tcW w:w="1225" w:type="dxa"/>
            <w:tcBorders>
              <w:top w:val="single" w:sz="2" w:space="0" w:color="auto"/>
              <w:left w:val="single" w:sz="2" w:space="0" w:color="auto"/>
              <w:bottom w:val="single" w:sz="2" w:space="0" w:color="auto"/>
              <w:right w:val="single" w:sz="2" w:space="0" w:color="auto"/>
            </w:tcBorders>
            <w:vAlign w:val="center"/>
          </w:tcPr>
          <w:p w14:paraId="39F36614"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广州钜甄实业有限公司</w:t>
            </w:r>
          </w:p>
        </w:tc>
        <w:tc>
          <w:tcPr>
            <w:tcW w:w="1134" w:type="dxa"/>
            <w:tcBorders>
              <w:top w:val="single" w:sz="2" w:space="0" w:color="auto"/>
              <w:left w:val="single" w:sz="2" w:space="0" w:color="auto"/>
              <w:bottom w:val="single" w:sz="2" w:space="0" w:color="auto"/>
              <w:right w:val="single" w:sz="2" w:space="0" w:color="auto"/>
            </w:tcBorders>
            <w:vAlign w:val="center"/>
          </w:tcPr>
          <w:p w14:paraId="499FE24F"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境内非国有法人</w:t>
            </w:r>
          </w:p>
        </w:tc>
        <w:tc>
          <w:tcPr>
            <w:tcW w:w="709" w:type="dxa"/>
            <w:tcBorders>
              <w:top w:val="single" w:sz="2" w:space="0" w:color="auto"/>
              <w:left w:val="single" w:sz="2" w:space="0" w:color="auto"/>
              <w:bottom w:val="single" w:sz="2" w:space="0" w:color="auto"/>
              <w:right w:val="single" w:sz="2" w:space="0" w:color="auto"/>
            </w:tcBorders>
            <w:vAlign w:val="center"/>
          </w:tcPr>
          <w:p w14:paraId="15B9D0C3"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1.60%</w:t>
            </w:r>
          </w:p>
        </w:tc>
        <w:tc>
          <w:tcPr>
            <w:tcW w:w="1216" w:type="dxa"/>
            <w:tcBorders>
              <w:top w:val="single" w:sz="2" w:space="0" w:color="auto"/>
              <w:left w:val="single" w:sz="2" w:space="0" w:color="auto"/>
              <w:bottom w:val="single" w:sz="2" w:space="0" w:color="auto"/>
              <w:right w:val="single" w:sz="2" w:space="0" w:color="auto"/>
            </w:tcBorders>
            <w:vAlign w:val="center"/>
          </w:tcPr>
          <w:p w14:paraId="148A7713" w14:textId="77777777" w:rsidR="006C011D" w:rsidRPr="005A284F" w:rsidRDefault="00000000" w:rsidP="00686B44">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17,270,315</w:t>
            </w:r>
          </w:p>
        </w:tc>
        <w:tc>
          <w:tcPr>
            <w:tcW w:w="910" w:type="dxa"/>
            <w:tcBorders>
              <w:top w:val="single" w:sz="2" w:space="0" w:color="auto"/>
              <w:left w:val="single" w:sz="2" w:space="0" w:color="auto"/>
              <w:bottom w:val="single" w:sz="2" w:space="0" w:color="auto"/>
              <w:right w:val="single" w:sz="2" w:space="0" w:color="auto"/>
            </w:tcBorders>
            <w:vAlign w:val="center"/>
          </w:tcPr>
          <w:p w14:paraId="1F06CA27" w14:textId="77777777" w:rsidR="006C011D" w:rsidRPr="005A284F" w:rsidRDefault="00000000" w:rsidP="00686B44">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-19,000</w:t>
            </w:r>
          </w:p>
        </w:tc>
        <w:tc>
          <w:tcPr>
            <w:tcW w:w="992" w:type="dxa"/>
            <w:tcBorders>
              <w:top w:val="single" w:sz="2" w:space="0" w:color="auto"/>
              <w:left w:val="single" w:sz="2" w:space="0" w:color="auto"/>
              <w:bottom w:val="single" w:sz="2" w:space="0" w:color="auto"/>
              <w:right w:val="single" w:sz="2" w:space="0" w:color="auto"/>
            </w:tcBorders>
            <w:vAlign w:val="center"/>
          </w:tcPr>
          <w:p w14:paraId="62860120" w14:textId="77777777" w:rsidR="006C011D" w:rsidRPr="005A284F" w:rsidRDefault="00000000" w:rsidP="00686B44">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14:paraId="49E602FD" w14:textId="77777777" w:rsidR="006C011D" w:rsidRPr="005A284F" w:rsidRDefault="00000000" w:rsidP="00686B44">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17,270,315</w:t>
            </w:r>
          </w:p>
        </w:tc>
        <w:tc>
          <w:tcPr>
            <w:tcW w:w="1276" w:type="dxa"/>
            <w:tcBorders>
              <w:top w:val="single" w:sz="2" w:space="0" w:color="auto"/>
              <w:left w:val="single" w:sz="2" w:space="0" w:color="auto"/>
              <w:bottom w:val="single" w:sz="2" w:space="0" w:color="auto"/>
              <w:right w:val="single" w:sz="2" w:space="0" w:color="auto"/>
            </w:tcBorders>
            <w:vAlign w:val="center"/>
          </w:tcPr>
          <w:p w14:paraId="180D8000"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不适用</w:t>
            </w:r>
          </w:p>
        </w:tc>
        <w:tc>
          <w:tcPr>
            <w:tcW w:w="1043" w:type="dxa"/>
            <w:tcBorders>
              <w:top w:val="single" w:sz="2" w:space="0" w:color="auto"/>
              <w:left w:val="single" w:sz="2" w:space="0" w:color="auto"/>
              <w:bottom w:val="single" w:sz="2" w:space="0" w:color="auto"/>
              <w:right w:val="single" w:sz="2" w:space="0" w:color="auto"/>
            </w:tcBorders>
            <w:vAlign w:val="center"/>
          </w:tcPr>
          <w:p w14:paraId="58F43C8A"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r>
      <w:tr w:rsidR="006C011D" w:rsidRPr="005A284F" w14:paraId="02EE6161" w14:textId="77777777" w:rsidTr="008D6EA1">
        <w:trPr>
          <w:trHeight w:val="240"/>
        </w:trPr>
        <w:tc>
          <w:tcPr>
            <w:tcW w:w="1225" w:type="dxa"/>
            <w:tcBorders>
              <w:top w:val="single" w:sz="2" w:space="0" w:color="auto"/>
              <w:left w:val="single" w:sz="2" w:space="0" w:color="auto"/>
              <w:bottom w:val="single" w:sz="2" w:space="0" w:color="auto"/>
              <w:right w:val="single" w:sz="2" w:space="0" w:color="auto"/>
            </w:tcBorders>
            <w:vAlign w:val="center"/>
          </w:tcPr>
          <w:p w14:paraId="60E0166E"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上海鼎译智能科技有限公司</w:t>
            </w:r>
          </w:p>
        </w:tc>
        <w:tc>
          <w:tcPr>
            <w:tcW w:w="1134" w:type="dxa"/>
            <w:tcBorders>
              <w:top w:val="single" w:sz="2" w:space="0" w:color="auto"/>
              <w:left w:val="single" w:sz="2" w:space="0" w:color="auto"/>
              <w:bottom w:val="single" w:sz="2" w:space="0" w:color="auto"/>
              <w:right w:val="single" w:sz="2" w:space="0" w:color="auto"/>
            </w:tcBorders>
            <w:vAlign w:val="center"/>
          </w:tcPr>
          <w:p w14:paraId="0FC97585"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境内非国有法人</w:t>
            </w:r>
          </w:p>
        </w:tc>
        <w:tc>
          <w:tcPr>
            <w:tcW w:w="709" w:type="dxa"/>
            <w:tcBorders>
              <w:top w:val="single" w:sz="2" w:space="0" w:color="auto"/>
              <w:left w:val="single" w:sz="2" w:space="0" w:color="auto"/>
              <w:bottom w:val="single" w:sz="2" w:space="0" w:color="auto"/>
              <w:right w:val="single" w:sz="2" w:space="0" w:color="auto"/>
            </w:tcBorders>
            <w:vAlign w:val="center"/>
          </w:tcPr>
          <w:p w14:paraId="3EAE36F3"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1.46%</w:t>
            </w:r>
          </w:p>
        </w:tc>
        <w:tc>
          <w:tcPr>
            <w:tcW w:w="1216" w:type="dxa"/>
            <w:tcBorders>
              <w:top w:val="single" w:sz="2" w:space="0" w:color="auto"/>
              <w:left w:val="single" w:sz="2" w:space="0" w:color="auto"/>
              <w:bottom w:val="single" w:sz="2" w:space="0" w:color="auto"/>
              <w:right w:val="single" w:sz="2" w:space="0" w:color="auto"/>
            </w:tcBorders>
            <w:vAlign w:val="center"/>
          </w:tcPr>
          <w:p w14:paraId="3C7ED4A1" w14:textId="77777777" w:rsidR="006C011D" w:rsidRPr="005A284F" w:rsidRDefault="00000000" w:rsidP="00686B44">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15,715,171</w:t>
            </w:r>
          </w:p>
        </w:tc>
        <w:tc>
          <w:tcPr>
            <w:tcW w:w="910" w:type="dxa"/>
            <w:tcBorders>
              <w:top w:val="single" w:sz="2" w:space="0" w:color="auto"/>
              <w:left w:val="single" w:sz="2" w:space="0" w:color="auto"/>
              <w:bottom w:val="single" w:sz="2" w:space="0" w:color="auto"/>
              <w:right w:val="single" w:sz="2" w:space="0" w:color="auto"/>
            </w:tcBorders>
            <w:vAlign w:val="center"/>
          </w:tcPr>
          <w:p w14:paraId="68B001D9" w14:textId="77777777" w:rsidR="006C011D" w:rsidRPr="005A284F" w:rsidRDefault="00000000" w:rsidP="00686B44">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-4,107,800</w:t>
            </w:r>
          </w:p>
        </w:tc>
        <w:tc>
          <w:tcPr>
            <w:tcW w:w="992" w:type="dxa"/>
            <w:tcBorders>
              <w:top w:val="single" w:sz="2" w:space="0" w:color="auto"/>
              <w:left w:val="single" w:sz="2" w:space="0" w:color="auto"/>
              <w:bottom w:val="single" w:sz="2" w:space="0" w:color="auto"/>
              <w:right w:val="single" w:sz="2" w:space="0" w:color="auto"/>
            </w:tcBorders>
            <w:vAlign w:val="center"/>
          </w:tcPr>
          <w:p w14:paraId="4343C81C" w14:textId="77777777" w:rsidR="006C011D" w:rsidRPr="005A284F" w:rsidRDefault="00000000" w:rsidP="00686B44">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14:paraId="1A60B1B1" w14:textId="77777777" w:rsidR="006C011D" w:rsidRPr="005A284F" w:rsidRDefault="00000000" w:rsidP="00686B44">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15,715,171</w:t>
            </w:r>
          </w:p>
        </w:tc>
        <w:tc>
          <w:tcPr>
            <w:tcW w:w="1276" w:type="dxa"/>
            <w:tcBorders>
              <w:top w:val="single" w:sz="2" w:space="0" w:color="auto"/>
              <w:left w:val="single" w:sz="2" w:space="0" w:color="auto"/>
              <w:bottom w:val="single" w:sz="2" w:space="0" w:color="auto"/>
              <w:right w:val="single" w:sz="2" w:space="0" w:color="auto"/>
            </w:tcBorders>
            <w:vAlign w:val="center"/>
          </w:tcPr>
          <w:p w14:paraId="0A8D8CC6"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不适用</w:t>
            </w:r>
          </w:p>
        </w:tc>
        <w:tc>
          <w:tcPr>
            <w:tcW w:w="1043" w:type="dxa"/>
            <w:tcBorders>
              <w:top w:val="single" w:sz="2" w:space="0" w:color="auto"/>
              <w:left w:val="single" w:sz="2" w:space="0" w:color="auto"/>
              <w:bottom w:val="single" w:sz="2" w:space="0" w:color="auto"/>
              <w:right w:val="single" w:sz="2" w:space="0" w:color="auto"/>
            </w:tcBorders>
            <w:vAlign w:val="center"/>
          </w:tcPr>
          <w:p w14:paraId="735E479E"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r>
      <w:tr w:rsidR="006C011D" w:rsidRPr="005A284F" w14:paraId="4DD753F7" w14:textId="77777777" w:rsidTr="008D6EA1">
        <w:trPr>
          <w:trHeight w:val="240"/>
        </w:trPr>
        <w:tc>
          <w:tcPr>
            <w:tcW w:w="1225" w:type="dxa"/>
            <w:tcBorders>
              <w:top w:val="single" w:sz="2" w:space="0" w:color="auto"/>
              <w:left w:val="single" w:sz="2" w:space="0" w:color="auto"/>
              <w:bottom w:val="single" w:sz="2" w:space="0" w:color="auto"/>
              <w:right w:val="single" w:sz="2" w:space="0" w:color="auto"/>
            </w:tcBorders>
            <w:vAlign w:val="center"/>
          </w:tcPr>
          <w:p w14:paraId="0E1A65C9"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上海梵钏实业有限公司</w:t>
            </w:r>
          </w:p>
        </w:tc>
        <w:tc>
          <w:tcPr>
            <w:tcW w:w="1134" w:type="dxa"/>
            <w:tcBorders>
              <w:top w:val="single" w:sz="2" w:space="0" w:color="auto"/>
              <w:left w:val="single" w:sz="2" w:space="0" w:color="auto"/>
              <w:bottom w:val="single" w:sz="2" w:space="0" w:color="auto"/>
              <w:right w:val="single" w:sz="2" w:space="0" w:color="auto"/>
            </w:tcBorders>
            <w:vAlign w:val="center"/>
          </w:tcPr>
          <w:p w14:paraId="25BF958F"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境内非国有法人</w:t>
            </w:r>
          </w:p>
        </w:tc>
        <w:tc>
          <w:tcPr>
            <w:tcW w:w="709" w:type="dxa"/>
            <w:tcBorders>
              <w:top w:val="single" w:sz="2" w:space="0" w:color="auto"/>
              <w:left w:val="single" w:sz="2" w:space="0" w:color="auto"/>
              <w:bottom w:val="single" w:sz="2" w:space="0" w:color="auto"/>
              <w:right w:val="single" w:sz="2" w:space="0" w:color="auto"/>
            </w:tcBorders>
            <w:vAlign w:val="center"/>
          </w:tcPr>
          <w:p w14:paraId="41D948A5"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1.28%</w:t>
            </w:r>
          </w:p>
        </w:tc>
        <w:tc>
          <w:tcPr>
            <w:tcW w:w="1216" w:type="dxa"/>
            <w:tcBorders>
              <w:top w:val="single" w:sz="2" w:space="0" w:color="auto"/>
              <w:left w:val="single" w:sz="2" w:space="0" w:color="auto"/>
              <w:bottom w:val="single" w:sz="2" w:space="0" w:color="auto"/>
              <w:right w:val="single" w:sz="2" w:space="0" w:color="auto"/>
            </w:tcBorders>
            <w:vAlign w:val="center"/>
          </w:tcPr>
          <w:p w14:paraId="47C4B689" w14:textId="77777777" w:rsidR="006C011D" w:rsidRPr="005A284F" w:rsidRDefault="00000000" w:rsidP="00686B44">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13,801,050</w:t>
            </w:r>
          </w:p>
        </w:tc>
        <w:tc>
          <w:tcPr>
            <w:tcW w:w="910" w:type="dxa"/>
            <w:tcBorders>
              <w:top w:val="single" w:sz="2" w:space="0" w:color="auto"/>
              <w:left w:val="single" w:sz="2" w:space="0" w:color="auto"/>
              <w:bottom w:val="single" w:sz="2" w:space="0" w:color="auto"/>
              <w:right w:val="single" w:sz="2" w:space="0" w:color="auto"/>
            </w:tcBorders>
            <w:vAlign w:val="center"/>
          </w:tcPr>
          <w:p w14:paraId="609B8261" w14:textId="77777777" w:rsidR="006C011D" w:rsidRPr="005A284F" w:rsidRDefault="00000000" w:rsidP="00686B44">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14:paraId="48E5B08F" w14:textId="77777777" w:rsidR="006C011D" w:rsidRPr="005A284F" w:rsidRDefault="00000000" w:rsidP="00686B44">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14:paraId="2EB33850" w14:textId="77777777" w:rsidR="006C011D" w:rsidRPr="005A284F" w:rsidRDefault="00000000" w:rsidP="00686B44">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13,801,050</w:t>
            </w:r>
          </w:p>
        </w:tc>
        <w:tc>
          <w:tcPr>
            <w:tcW w:w="1276" w:type="dxa"/>
            <w:tcBorders>
              <w:top w:val="single" w:sz="2" w:space="0" w:color="auto"/>
              <w:left w:val="single" w:sz="2" w:space="0" w:color="auto"/>
              <w:bottom w:val="single" w:sz="2" w:space="0" w:color="auto"/>
              <w:right w:val="single" w:sz="2" w:space="0" w:color="auto"/>
            </w:tcBorders>
            <w:vAlign w:val="center"/>
          </w:tcPr>
          <w:p w14:paraId="2C843127"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不适用</w:t>
            </w:r>
          </w:p>
        </w:tc>
        <w:tc>
          <w:tcPr>
            <w:tcW w:w="1043" w:type="dxa"/>
            <w:tcBorders>
              <w:top w:val="single" w:sz="2" w:space="0" w:color="auto"/>
              <w:left w:val="single" w:sz="2" w:space="0" w:color="auto"/>
              <w:bottom w:val="single" w:sz="2" w:space="0" w:color="auto"/>
              <w:right w:val="single" w:sz="2" w:space="0" w:color="auto"/>
            </w:tcBorders>
            <w:vAlign w:val="center"/>
          </w:tcPr>
          <w:p w14:paraId="665E61B5" w14:textId="77777777" w:rsidR="006C011D" w:rsidRPr="005A284F" w:rsidRDefault="00000000" w:rsidP="00D81019">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0</w:t>
            </w:r>
          </w:p>
        </w:tc>
      </w:tr>
      <w:tr w:rsidR="006C011D" w:rsidRPr="005A284F" w14:paraId="2A2ADC0E" w14:textId="77777777" w:rsidTr="008D6EA1">
        <w:trPr>
          <w:trHeight w:val="240"/>
        </w:trPr>
        <w:tc>
          <w:tcPr>
            <w:tcW w:w="235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8BD0432"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战略投资者或一般法人因配售新股成为前</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名股东的情况（如有）（参见注</w:t>
            </w: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w:t>
            </w:r>
          </w:p>
        </w:tc>
        <w:tc>
          <w:tcPr>
            <w:tcW w:w="7280" w:type="dxa"/>
            <w:gridSpan w:val="7"/>
            <w:tcBorders>
              <w:top w:val="single" w:sz="2" w:space="0" w:color="auto"/>
              <w:left w:val="single" w:sz="2" w:space="0" w:color="auto"/>
              <w:bottom w:val="single" w:sz="2" w:space="0" w:color="auto"/>
              <w:right w:val="single" w:sz="2" w:space="0" w:color="auto"/>
            </w:tcBorders>
            <w:vAlign w:val="center"/>
          </w:tcPr>
          <w:p w14:paraId="6656C75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无。</w:t>
            </w:r>
          </w:p>
        </w:tc>
      </w:tr>
      <w:tr w:rsidR="006C011D" w:rsidRPr="005A284F" w14:paraId="16F119A4" w14:textId="77777777" w:rsidTr="008D6EA1">
        <w:trPr>
          <w:trHeight w:val="240"/>
        </w:trPr>
        <w:tc>
          <w:tcPr>
            <w:tcW w:w="235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948D170"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上述股东关联关系或一致行动的说明</w:t>
            </w:r>
          </w:p>
        </w:tc>
        <w:tc>
          <w:tcPr>
            <w:tcW w:w="7280" w:type="dxa"/>
            <w:gridSpan w:val="7"/>
            <w:tcBorders>
              <w:top w:val="single" w:sz="2" w:space="0" w:color="auto"/>
              <w:left w:val="single" w:sz="2" w:space="0" w:color="auto"/>
              <w:bottom w:val="single" w:sz="2" w:space="0" w:color="auto"/>
              <w:right w:val="single" w:sz="2" w:space="0" w:color="auto"/>
            </w:tcBorders>
            <w:vAlign w:val="center"/>
          </w:tcPr>
          <w:p w14:paraId="0997930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公司未知前</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股东之间是否存在关联关系，也未知是否属于一致行动人。</w:t>
            </w:r>
          </w:p>
        </w:tc>
      </w:tr>
      <w:tr w:rsidR="006C011D" w:rsidRPr="005A284F" w14:paraId="03B75742" w14:textId="77777777" w:rsidTr="008D6EA1">
        <w:trPr>
          <w:trHeight w:val="240"/>
        </w:trPr>
        <w:tc>
          <w:tcPr>
            <w:tcW w:w="235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A7159BB"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上述股东涉及委托</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受托表决</w:t>
            </w:r>
            <w:r w:rsidRPr="005A284F">
              <w:rPr>
                <w:rFonts w:ascii="Times New Roman" w:eastAsia="宋体" w:hAnsi="Times New Roman" w:cs="Times New Roman"/>
                <w:sz w:val="18"/>
                <w:szCs w:val="18"/>
              </w:rPr>
              <w:lastRenderedPageBreak/>
              <w:t>权、放弃表决权情况的说明</w:t>
            </w:r>
          </w:p>
        </w:tc>
        <w:tc>
          <w:tcPr>
            <w:tcW w:w="7280" w:type="dxa"/>
            <w:gridSpan w:val="7"/>
            <w:tcBorders>
              <w:top w:val="single" w:sz="2" w:space="0" w:color="auto"/>
              <w:left w:val="single" w:sz="2" w:space="0" w:color="auto"/>
              <w:bottom w:val="single" w:sz="2" w:space="0" w:color="auto"/>
              <w:right w:val="single" w:sz="2" w:space="0" w:color="auto"/>
            </w:tcBorders>
            <w:vAlign w:val="center"/>
          </w:tcPr>
          <w:p w14:paraId="298C3AC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无。</w:t>
            </w:r>
          </w:p>
        </w:tc>
      </w:tr>
      <w:tr w:rsidR="006C011D" w:rsidRPr="005A284F" w14:paraId="130A5BDE" w14:textId="77777777" w:rsidTr="008D6EA1">
        <w:trPr>
          <w:trHeight w:val="240"/>
        </w:trPr>
        <w:tc>
          <w:tcPr>
            <w:tcW w:w="235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B9B4197"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前</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名股东中存在回购专户的特别说明（如有）（参见注</w:t>
            </w:r>
            <w:r w:rsidRPr="005A284F">
              <w:rPr>
                <w:rFonts w:ascii="Times New Roman" w:eastAsia="宋体" w:hAnsi="Times New Roman" w:cs="Times New Roman"/>
                <w:sz w:val="18"/>
                <w:szCs w:val="18"/>
              </w:rPr>
              <w:t>11</w:t>
            </w:r>
            <w:r w:rsidRPr="005A284F">
              <w:rPr>
                <w:rFonts w:ascii="Times New Roman" w:eastAsia="宋体" w:hAnsi="Times New Roman" w:cs="Times New Roman"/>
                <w:sz w:val="18"/>
                <w:szCs w:val="18"/>
              </w:rPr>
              <w:t>）</w:t>
            </w:r>
          </w:p>
        </w:tc>
        <w:tc>
          <w:tcPr>
            <w:tcW w:w="7280" w:type="dxa"/>
            <w:gridSpan w:val="7"/>
            <w:tcBorders>
              <w:top w:val="single" w:sz="2" w:space="0" w:color="auto"/>
              <w:left w:val="single" w:sz="2" w:space="0" w:color="auto"/>
              <w:bottom w:val="single" w:sz="2" w:space="0" w:color="auto"/>
              <w:right w:val="single" w:sz="2" w:space="0" w:color="auto"/>
            </w:tcBorders>
            <w:vAlign w:val="center"/>
          </w:tcPr>
          <w:p w14:paraId="7E3003A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前</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名股东中，山东龙大美食股份有限公司回购专用证券账户持有</w:t>
            </w:r>
            <w:r w:rsidRPr="005A284F">
              <w:rPr>
                <w:rFonts w:ascii="Times New Roman" w:eastAsia="宋体" w:hAnsi="Times New Roman" w:cs="Times New Roman"/>
                <w:sz w:val="18"/>
                <w:szCs w:val="18"/>
              </w:rPr>
              <w:t>41,417,183</w:t>
            </w:r>
            <w:r w:rsidRPr="005A284F">
              <w:rPr>
                <w:rFonts w:ascii="Times New Roman" w:eastAsia="宋体" w:hAnsi="Times New Roman" w:cs="Times New Roman"/>
                <w:sz w:val="18"/>
                <w:szCs w:val="18"/>
              </w:rPr>
              <w:t>股，持有比例为</w:t>
            </w:r>
            <w:r w:rsidRPr="005A284F">
              <w:rPr>
                <w:rFonts w:ascii="Times New Roman" w:eastAsia="宋体" w:hAnsi="Times New Roman" w:cs="Times New Roman"/>
                <w:sz w:val="18"/>
                <w:szCs w:val="18"/>
              </w:rPr>
              <w:t>3.84%</w:t>
            </w:r>
            <w:r w:rsidRPr="005A284F">
              <w:rPr>
                <w:rFonts w:ascii="Times New Roman" w:eastAsia="宋体" w:hAnsi="Times New Roman" w:cs="Times New Roman"/>
                <w:sz w:val="18"/>
                <w:szCs w:val="18"/>
              </w:rPr>
              <w:t>。</w:t>
            </w:r>
          </w:p>
        </w:tc>
      </w:tr>
      <w:tr w:rsidR="006C011D" w:rsidRPr="005A284F" w14:paraId="4EC1FBCF" w14:textId="77777777" w:rsidTr="008D6EA1">
        <w:trPr>
          <w:trHeight w:val="240"/>
        </w:trPr>
        <w:tc>
          <w:tcPr>
            <w:tcW w:w="9639" w:type="dxa"/>
            <w:gridSpan w:val="9"/>
            <w:tcBorders>
              <w:top w:val="single" w:sz="2" w:space="0" w:color="auto"/>
              <w:left w:val="single" w:sz="2" w:space="0" w:color="auto"/>
              <w:bottom w:val="single" w:sz="2" w:space="0" w:color="auto"/>
              <w:right w:val="single" w:sz="2" w:space="0" w:color="auto"/>
            </w:tcBorders>
            <w:shd w:val="clear" w:color="auto" w:fill="D3D3D3"/>
            <w:vAlign w:val="center"/>
          </w:tcPr>
          <w:p w14:paraId="0F7320E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前</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名无限售条件股东持股情况（不含通过转融通出借股份、高管锁定股）</w:t>
            </w:r>
          </w:p>
        </w:tc>
      </w:tr>
      <w:tr w:rsidR="006C011D" w:rsidRPr="005A284F" w14:paraId="653F0C72" w14:textId="77777777" w:rsidTr="008D6EA1">
        <w:trPr>
          <w:trHeight w:val="240"/>
        </w:trPr>
        <w:tc>
          <w:tcPr>
            <w:tcW w:w="2359"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2E60F6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股东名称</w:t>
            </w:r>
          </w:p>
        </w:tc>
        <w:tc>
          <w:tcPr>
            <w:tcW w:w="4961" w:type="dxa"/>
            <w:gridSpan w:val="5"/>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EE924F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报告期末持有无限售条件股份数量</w:t>
            </w:r>
          </w:p>
        </w:tc>
        <w:tc>
          <w:tcPr>
            <w:tcW w:w="231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13C66C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股份种类</w:t>
            </w:r>
          </w:p>
        </w:tc>
      </w:tr>
      <w:tr w:rsidR="006C011D" w:rsidRPr="005A284F" w14:paraId="7D366D59" w14:textId="77777777" w:rsidTr="008D6EA1">
        <w:trPr>
          <w:trHeight w:val="240"/>
        </w:trPr>
        <w:tc>
          <w:tcPr>
            <w:tcW w:w="2359"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14:paraId="3ECD67CD" w14:textId="77777777" w:rsidR="006C011D" w:rsidRPr="005A284F" w:rsidRDefault="006C011D">
            <w:pPr>
              <w:rPr>
                <w:rFonts w:ascii="Times New Roman" w:eastAsia="宋体" w:hAnsi="Times New Roman" w:cs="Times New Roman"/>
              </w:rPr>
            </w:pPr>
          </w:p>
        </w:tc>
        <w:tc>
          <w:tcPr>
            <w:tcW w:w="4961" w:type="dxa"/>
            <w:gridSpan w:val="5"/>
            <w:vMerge/>
            <w:tcBorders>
              <w:top w:val="single" w:sz="2" w:space="0" w:color="auto"/>
              <w:left w:val="single" w:sz="2" w:space="0" w:color="auto"/>
              <w:bottom w:val="single" w:sz="2" w:space="0" w:color="auto"/>
              <w:right w:val="single" w:sz="2" w:space="0" w:color="auto"/>
            </w:tcBorders>
            <w:shd w:val="clear" w:color="auto" w:fill="D3D3D3"/>
            <w:vAlign w:val="center"/>
          </w:tcPr>
          <w:p w14:paraId="6913FD03" w14:textId="77777777" w:rsidR="006C011D" w:rsidRPr="005A284F" w:rsidRDefault="006C011D">
            <w:pPr>
              <w:rPr>
                <w:rFonts w:ascii="Times New Roman" w:eastAsia="宋体" w:hAnsi="Times New Roman" w:cs="Times New Roman"/>
              </w:rPr>
            </w:pP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3EDE384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股份种类</w:t>
            </w:r>
          </w:p>
        </w:tc>
        <w:tc>
          <w:tcPr>
            <w:tcW w:w="1043" w:type="dxa"/>
            <w:tcBorders>
              <w:top w:val="single" w:sz="2" w:space="0" w:color="auto"/>
              <w:left w:val="single" w:sz="2" w:space="0" w:color="auto"/>
              <w:bottom w:val="single" w:sz="2" w:space="0" w:color="auto"/>
              <w:right w:val="single" w:sz="2" w:space="0" w:color="auto"/>
            </w:tcBorders>
            <w:shd w:val="clear" w:color="auto" w:fill="D3D3D3"/>
            <w:vAlign w:val="center"/>
          </w:tcPr>
          <w:p w14:paraId="6E20D91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数量</w:t>
            </w:r>
          </w:p>
        </w:tc>
      </w:tr>
      <w:tr w:rsidR="006C011D" w:rsidRPr="005A284F" w14:paraId="44014CC0" w14:textId="77777777" w:rsidTr="008D6EA1">
        <w:trPr>
          <w:trHeight w:val="240"/>
        </w:trPr>
        <w:tc>
          <w:tcPr>
            <w:tcW w:w="2359" w:type="dxa"/>
            <w:gridSpan w:val="2"/>
            <w:tcBorders>
              <w:top w:val="single" w:sz="2" w:space="0" w:color="auto"/>
              <w:left w:val="single" w:sz="2" w:space="0" w:color="auto"/>
              <w:bottom w:val="single" w:sz="2" w:space="0" w:color="auto"/>
              <w:right w:val="single" w:sz="2" w:space="0" w:color="auto"/>
            </w:tcBorders>
            <w:vAlign w:val="center"/>
          </w:tcPr>
          <w:p w14:paraId="2C0DEF8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p>
        </w:tc>
        <w:tc>
          <w:tcPr>
            <w:tcW w:w="4961" w:type="dxa"/>
            <w:gridSpan w:val="5"/>
            <w:tcBorders>
              <w:top w:val="single" w:sz="2" w:space="0" w:color="auto"/>
              <w:left w:val="single" w:sz="2" w:space="0" w:color="auto"/>
              <w:bottom w:val="single" w:sz="2" w:space="0" w:color="auto"/>
              <w:right w:val="single" w:sz="2" w:space="0" w:color="auto"/>
            </w:tcBorders>
            <w:vAlign w:val="center"/>
          </w:tcPr>
          <w:p w14:paraId="2DAB2C8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293,885,800</w:t>
            </w:r>
          </w:p>
        </w:tc>
        <w:tc>
          <w:tcPr>
            <w:tcW w:w="1276" w:type="dxa"/>
            <w:tcBorders>
              <w:top w:val="single" w:sz="2" w:space="0" w:color="auto"/>
              <w:left w:val="single" w:sz="2" w:space="0" w:color="auto"/>
              <w:bottom w:val="single" w:sz="2" w:space="0" w:color="auto"/>
              <w:right w:val="single" w:sz="2" w:space="0" w:color="auto"/>
            </w:tcBorders>
            <w:vAlign w:val="center"/>
          </w:tcPr>
          <w:p w14:paraId="1AD7A45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人民币普通股</w:t>
            </w:r>
          </w:p>
        </w:tc>
        <w:tc>
          <w:tcPr>
            <w:tcW w:w="1043" w:type="dxa"/>
            <w:tcBorders>
              <w:top w:val="single" w:sz="2" w:space="0" w:color="auto"/>
              <w:left w:val="single" w:sz="2" w:space="0" w:color="auto"/>
              <w:bottom w:val="single" w:sz="2" w:space="0" w:color="auto"/>
              <w:right w:val="single" w:sz="2" w:space="0" w:color="auto"/>
            </w:tcBorders>
            <w:vAlign w:val="center"/>
          </w:tcPr>
          <w:p w14:paraId="5DC75B2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293,885,800</w:t>
            </w:r>
          </w:p>
        </w:tc>
      </w:tr>
      <w:tr w:rsidR="006C011D" w:rsidRPr="005A284F" w14:paraId="03DEC48F" w14:textId="77777777" w:rsidTr="008D6EA1">
        <w:trPr>
          <w:trHeight w:val="240"/>
        </w:trPr>
        <w:tc>
          <w:tcPr>
            <w:tcW w:w="2359" w:type="dxa"/>
            <w:gridSpan w:val="2"/>
            <w:tcBorders>
              <w:top w:val="single" w:sz="2" w:space="0" w:color="auto"/>
              <w:left w:val="single" w:sz="2" w:space="0" w:color="auto"/>
              <w:bottom w:val="single" w:sz="2" w:space="0" w:color="auto"/>
              <w:right w:val="single" w:sz="2" w:space="0" w:color="auto"/>
            </w:tcBorders>
            <w:vAlign w:val="center"/>
          </w:tcPr>
          <w:p w14:paraId="00EA2A3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莱阳银龙投资有限公司</w:t>
            </w:r>
          </w:p>
        </w:tc>
        <w:tc>
          <w:tcPr>
            <w:tcW w:w="4961" w:type="dxa"/>
            <w:gridSpan w:val="5"/>
            <w:tcBorders>
              <w:top w:val="single" w:sz="2" w:space="0" w:color="auto"/>
              <w:left w:val="single" w:sz="2" w:space="0" w:color="auto"/>
              <w:bottom w:val="single" w:sz="2" w:space="0" w:color="auto"/>
              <w:right w:val="single" w:sz="2" w:space="0" w:color="auto"/>
            </w:tcBorders>
            <w:vAlign w:val="center"/>
          </w:tcPr>
          <w:p w14:paraId="3261FF8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78,676,000</w:t>
            </w:r>
          </w:p>
        </w:tc>
        <w:tc>
          <w:tcPr>
            <w:tcW w:w="1276" w:type="dxa"/>
            <w:tcBorders>
              <w:top w:val="single" w:sz="2" w:space="0" w:color="auto"/>
              <w:left w:val="single" w:sz="2" w:space="0" w:color="auto"/>
              <w:bottom w:val="single" w:sz="2" w:space="0" w:color="auto"/>
              <w:right w:val="single" w:sz="2" w:space="0" w:color="auto"/>
            </w:tcBorders>
            <w:vAlign w:val="center"/>
          </w:tcPr>
          <w:p w14:paraId="7494DAC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人民币普通股</w:t>
            </w:r>
          </w:p>
        </w:tc>
        <w:tc>
          <w:tcPr>
            <w:tcW w:w="1043" w:type="dxa"/>
            <w:tcBorders>
              <w:top w:val="single" w:sz="2" w:space="0" w:color="auto"/>
              <w:left w:val="single" w:sz="2" w:space="0" w:color="auto"/>
              <w:bottom w:val="single" w:sz="2" w:space="0" w:color="auto"/>
              <w:right w:val="single" w:sz="2" w:space="0" w:color="auto"/>
            </w:tcBorders>
            <w:vAlign w:val="center"/>
          </w:tcPr>
          <w:p w14:paraId="0D9ABA0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78,676,000</w:t>
            </w:r>
          </w:p>
        </w:tc>
      </w:tr>
      <w:tr w:rsidR="006C011D" w:rsidRPr="005A284F" w14:paraId="058F2047" w14:textId="77777777" w:rsidTr="008D6EA1">
        <w:trPr>
          <w:trHeight w:val="240"/>
        </w:trPr>
        <w:tc>
          <w:tcPr>
            <w:tcW w:w="2359" w:type="dxa"/>
            <w:gridSpan w:val="2"/>
            <w:tcBorders>
              <w:top w:val="single" w:sz="2" w:space="0" w:color="auto"/>
              <w:left w:val="single" w:sz="2" w:space="0" w:color="auto"/>
              <w:bottom w:val="single" w:sz="2" w:space="0" w:color="auto"/>
              <w:right w:val="single" w:sz="2" w:space="0" w:color="auto"/>
            </w:tcBorders>
            <w:vAlign w:val="center"/>
          </w:tcPr>
          <w:p w14:paraId="14274FA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青岛洪亨亚和实业有限公司</w:t>
            </w:r>
          </w:p>
        </w:tc>
        <w:tc>
          <w:tcPr>
            <w:tcW w:w="4961" w:type="dxa"/>
            <w:gridSpan w:val="5"/>
            <w:tcBorders>
              <w:top w:val="single" w:sz="2" w:space="0" w:color="auto"/>
              <w:left w:val="single" w:sz="2" w:space="0" w:color="auto"/>
              <w:bottom w:val="single" w:sz="2" w:space="0" w:color="auto"/>
              <w:right w:val="single" w:sz="2" w:space="0" w:color="auto"/>
            </w:tcBorders>
            <w:vAlign w:val="center"/>
          </w:tcPr>
          <w:p w14:paraId="4327B23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59,714,200</w:t>
            </w:r>
          </w:p>
        </w:tc>
        <w:tc>
          <w:tcPr>
            <w:tcW w:w="1276" w:type="dxa"/>
            <w:tcBorders>
              <w:top w:val="single" w:sz="2" w:space="0" w:color="auto"/>
              <w:left w:val="single" w:sz="2" w:space="0" w:color="auto"/>
              <w:bottom w:val="single" w:sz="2" w:space="0" w:color="auto"/>
              <w:right w:val="single" w:sz="2" w:space="0" w:color="auto"/>
            </w:tcBorders>
            <w:vAlign w:val="center"/>
          </w:tcPr>
          <w:p w14:paraId="64ED3ED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人民币普通股</w:t>
            </w:r>
          </w:p>
        </w:tc>
        <w:tc>
          <w:tcPr>
            <w:tcW w:w="1043" w:type="dxa"/>
            <w:tcBorders>
              <w:top w:val="single" w:sz="2" w:space="0" w:color="auto"/>
              <w:left w:val="single" w:sz="2" w:space="0" w:color="auto"/>
              <w:bottom w:val="single" w:sz="2" w:space="0" w:color="auto"/>
              <w:right w:val="single" w:sz="2" w:space="0" w:color="auto"/>
            </w:tcBorders>
            <w:vAlign w:val="center"/>
          </w:tcPr>
          <w:p w14:paraId="7C91EF1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59,714,200</w:t>
            </w:r>
          </w:p>
        </w:tc>
      </w:tr>
      <w:tr w:rsidR="006C011D" w:rsidRPr="005A284F" w14:paraId="269FF108" w14:textId="77777777" w:rsidTr="008D6EA1">
        <w:trPr>
          <w:trHeight w:val="240"/>
        </w:trPr>
        <w:tc>
          <w:tcPr>
            <w:tcW w:w="2359" w:type="dxa"/>
            <w:gridSpan w:val="2"/>
            <w:tcBorders>
              <w:top w:val="single" w:sz="2" w:space="0" w:color="auto"/>
              <w:left w:val="single" w:sz="2" w:space="0" w:color="auto"/>
              <w:bottom w:val="single" w:sz="2" w:space="0" w:color="auto"/>
              <w:right w:val="single" w:sz="2" w:space="0" w:color="auto"/>
            </w:tcBorders>
            <w:vAlign w:val="center"/>
          </w:tcPr>
          <w:p w14:paraId="5ED5F74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深圳市钜珲实业有限公司</w:t>
            </w:r>
          </w:p>
        </w:tc>
        <w:tc>
          <w:tcPr>
            <w:tcW w:w="4961" w:type="dxa"/>
            <w:gridSpan w:val="5"/>
            <w:tcBorders>
              <w:top w:val="single" w:sz="2" w:space="0" w:color="auto"/>
              <w:left w:val="single" w:sz="2" w:space="0" w:color="auto"/>
              <w:bottom w:val="single" w:sz="2" w:space="0" w:color="auto"/>
              <w:right w:val="single" w:sz="2" w:space="0" w:color="auto"/>
            </w:tcBorders>
            <w:vAlign w:val="center"/>
          </w:tcPr>
          <w:p w14:paraId="517BE3B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41,119,684</w:t>
            </w:r>
          </w:p>
        </w:tc>
        <w:tc>
          <w:tcPr>
            <w:tcW w:w="1276" w:type="dxa"/>
            <w:tcBorders>
              <w:top w:val="single" w:sz="2" w:space="0" w:color="auto"/>
              <w:left w:val="single" w:sz="2" w:space="0" w:color="auto"/>
              <w:bottom w:val="single" w:sz="2" w:space="0" w:color="auto"/>
              <w:right w:val="single" w:sz="2" w:space="0" w:color="auto"/>
            </w:tcBorders>
            <w:vAlign w:val="center"/>
          </w:tcPr>
          <w:p w14:paraId="18DCA30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人民币普通股</w:t>
            </w:r>
          </w:p>
        </w:tc>
        <w:tc>
          <w:tcPr>
            <w:tcW w:w="1043" w:type="dxa"/>
            <w:tcBorders>
              <w:top w:val="single" w:sz="2" w:space="0" w:color="auto"/>
              <w:left w:val="single" w:sz="2" w:space="0" w:color="auto"/>
              <w:bottom w:val="single" w:sz="2" w:space="0" w:color="auto"/>
              <w:right w:val="single" w:sz="2" w:space="0" w:color="auto"/>
            </w:tcBorders>
            <w:vAlign w:val="center"/>
          </w:tcPr>
          <w:p w14:paraId="6367F7F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41,119,684</w:t>
            </w:r>
          </w:p>
        </w:tc>
      </w:tr>
      <w:tr w:rsidR="006C011D" w:rsidRPr="005A284F" w14:paraId="7820095D" w14:textId="77777777" w:rsidTr="008D6EA1">
        <w:trPr>
          <w:trHeight w:val="240"/>
        </w:trPr>
        <w:tc>
          <w:tcPr>
            <w:tcW w:w="2359" w:type="dxa"/>
            <w:gridSpan w:val="2"/>
            <w:tcBorders>
              <w:top w:val="single" w:sz="2" w:space="0" w:color="auto"/>
              <w:left w:val="single" w:sz="2" w:space="0" w:color="auto"/>
              <w:bottom w:val="single" w:sz="2" w:space="0" w:color="auto"/>
              <w:right w:val="single" w:sz="2" w:space="0" w:color="auto"/>
            </w:tcBorders>
            <w:vAlign w:val="center"/>
          </w:tcPr>
          <w:p w14:paraId="60EE8BE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银河德睿资本管理有限公司</w:t>
            </w:r>
          </w:p>
        </w:tc>
        <w:tc>
          <w:tcPr>
            <w:tcW w:w="4961" w:type="dxa"/>
            <w:gridSpan w:val="5"/>
            <w:tcBorders>
              <w:top w:val="single" w:sz="2" w:space="0" w:color="auto"/>
              <w:left w:val="single" w:sz="2" w:space="0" w:color="auto"/>
              <w:bottom w:val="single" w:sz="2" w:space="0" w:color="auto"/>
              <w:right w:val="single" w:sz="2" w:space="0" w:color="auto"/>
            </w:tcBorders>
            <w:vAlign w:val="center"/>
          </w:tcPr>
          <w:p w14:paraId="3A793DF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30,528,205</w:t>
            </w:r>
          </w:p>
        </w:tc>
        <w:tc>
          <w:tcPr>
            <w:tcW w:w="1276" w:type="dxa"/>
            <w:tcBorders>
              <w:top w:val="single" w:sz="2" w:space="0" w:color="auto"/>
              <w:left w:val="single" w:sz="2" w:space="0" w:color="auto"/>
              <w:bottom w:val="single" w:sz="2" w:space="0" w:color="auto"/>
              <w:right w:val="single" w:sz="2" w:space="0" w:color="auto"/>
            </w:tcBorders>
            <w:vAlign w:val="center"/>
          </w:tcPr>
          <w:p w14:paraId="584BC11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人民币普通股</w:t>
            </w:r>
          </w:p>
        </w:tc>
        <w:tc>
          <w:tcPr>
            <w:tcW w:w="1043" w:type="dxa"/>
            <w:tcBorders>
              <w:top w:val="single" w:sz="2" w:space="0" w:color="auto"/>
              <w:left w:val="single" w:sz="2" w:space="0" w:color="auto"/>
              <w:bottom w:val="single" w:sz="2" w:space="0" w:color="auto"/>
              <w:right w:val="single" w:sz="2" w:space="0" w:color="auto"/>
            </w:tcBorders>
            <w:vAlign w:val="center"/>
          </w:tcPr>
          <w:p w14:paraId="6D3A7ED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30,528,205</w:t>
            </w:r>
          </w:p>
        </w:tc>
      </w:tr>
      <w:tr w:rsidR="006C011D" w:rsidRPr="005A284F" w14:paraId="48203264" w14:textId="77777777" w:rsidTr="008D6EA1">
        <w:trPr>
          <w:trHeight w:val="240"/>
        </w:trPr>
        <w:tc>
          <w:tcPr>
            <w:tcW w:w="2359" w:type="dxa"/>
            <w:gridSpan w:val="2"/>
            <w:tcBorders>
              <w:top w:val="single" w:sz="2" w:space="0" w:color="auto"/>
              <w:left w:val="single" w:sz="2" w:space="0" w:color="auto"/>
              <w:bottom w:val="single" w:sz="2" w:space="0" w:color="auto"/>
              <w:right w:val="single" w:sz="2" w:space="0" w:color="auto"/>
            </w:tcBorders>
            <w:vAlign w:val="center"/>
          </w:tcPr>
          <w:p w14:paraId="0014354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晟弘资产管理（珠海）有限公司</w:t>
            </w:r>
          </w:p>
        </w:tc>
        <w:tc>
          <w:tcPr>
            <w:tcW w:w="4961" w:type="dxa"/>
            <w:gridSpan w:val="5"/>
            <w:tcBorders>
              <w:top w:val="single" w:sz="2" w:space="0" w:color="auto"/>
              <w:left w:val="single" w:sz="2" w:space="0" w:color="auto"/>
              <w:bottom w:val="single" w:sz="2" w:space="0" w:color="auto"/>
              <w:right w:val="single" w:sz="2" w:space="0" w:color="auto"/>
            </w:tcBorders>
            <w:vAlign w:val="center"/>
          </w:tcPr>
          <w:p w14:paraId="224D1F2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29,376,135</w:t>
            </w:r>
          </w:p>
        </w:tc>
        <w:tc>
          <w:tcPr>
            <w:tcW w:w="1276" w:type="dxa"/>
            <w:tcBorders>
              <w:top w:val="single" w:sz="2" w:space="0" w:color="auto"/>
              <w:left w:val="single" w:sz="2" w:space="0" w:color="auto"/>
              <w:bottom w:val="single" w:sz="2" w:space="0" w:color="auto"/>
              <w:right w:val="single" w:sz="2" w:space="0" w:color="auto"/>
            </w:tcBorders>
            <w:vAlign w:val="center"/>
          </w:tcPr>
          <w:p w14:paraId="03B077F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人民币普通股</w:t>
            </w:r>
          </w:p>
        </w:tc>
        <w:tc>
          <w:tcPr>
            <w:tcW w:w="1043" w:type="dxa"/>
            <w:tcBorders>
              <w:top w:val="single" w:sz="2" w:space="0" w:color="auto"/>
              <w:left w:val="single" w:sz="2" w:space="0" w:color="auto"/>
              <w:bottom w:val="single" w:sz="2" w:space="0" w:color="auto"/>
              <w:right w:val="single" w:sz="2" w:space="0" w:color="auto"/>
            </w:tcBorders>
            <w:vAlign w:val="center"/>
          </w:tcPr>
          <w:p w14:paraId="23F6A4E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29,376,135</w:t>
            </w:r>
          </w:p>
        </w:tc>
      </w:tr>
      <w:tr w:rsidR="006C011D" w:rsidRPr="005A284F" w14:paraId="399E202C" w14:textId="77777777" w:rsidTr="008D6EA1">
        <w:trPr>
          <w:trHeight w:val="240"/>
        </w:trPr>
        <w:tc>
          <w:tcPr>
            <w:tcW w:w="2359" w:type="dxa"/>
            <w:gridSpan w:val="2"/>
            <w:tcBorders>
              <w:top w:val="single" w:sz="2" w:space="0" w:color="auto"/>
              <w:left w:val="single" w:sz="2" w:space="0" w:color="auto"/>
              <w:bottom w:val="single" w:sz="2" w:space="0" w:color="auto"/>
              <w:right w:val="single" w:sz="2" w:space="0" w:color="auto"/>
            </w:tcBorders>
            <w:vAlign w:val="center"/>
          </w:tcPr>
          <w:p w14:paraId="1639FA5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广州森控实业有限公司</w:t>
            </w:r>
          </w:p>
        </w:tc>
        <w:tc>
          <w:tcPr>
            <w:tcW w:w="4961" w:type="dxa"/>
            <w:gridSpan w:val="5"/>
            <w:tcBorders>
              <w:top w:val="single" w:sz="2" w:space="0" w:color="auto"/>
              <w:left w:val="single" w:sz="2" w:space="0" w:color="auto"/>
              <w:bottom w:val="single" w:sz="2" w:space="0" w:color="auto"/>
              <w:right w:val="single" w:sz="2" w:space="0" w:color="auto"/>
            </w:tcBorders>
            <w:vAlign w:val="center"/>
          </w:tcPr>
          <w:p w14:paraId="49450D6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17,732,790</w:t>
            </w:r>
          </w:p>
        </w:tc>
        <w:tc>
          <w:tcPr>
            <w:tcW w:w="1276" w:type="dxa"/>
            <w:tcBorders>
              <w:top w:val="single" w:sz="2" w:space="0" w:color="auto"/>
              <w:left w:val="single" w:sz="2" w:space="0" w:color="auto"/>
              <w:bottom w:val="single" w:sz="2" w:space="0" w:color="auto"/>
              <w:right w:val="single" w:sz="2" w:space="0" w:color="auto"/>
            </w:tcBorders>
            <w:vAlign w:val="center"/>
          </w:tcPr>
          <w:p w14:paraId="791F2A2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人民币普通股</w:t>
            </w:r>
          </w:p>
        </w:tc>
        <w:tc>
          <w:tcPr>
            <w:tcW w:w="1043" w:type="dxa"/>
            <w:tcBorders>
              <w:top w:val="single" w:sz="2" w:space="0" w:color="auto"/>
              <w:left w:val="single" w:sz="2" w:space="0" w:color="auto"/>
              <w:bottom w:val="single" w:sz="2" w:space="0" w:color="auto"/>
              <w:right w:val="single" w:sz="2" w:space="0" w:color="auto"/>
            </w:tcBorders>
            <w:vAlign w:val="center"/>
          </w:tcPr>
          <w:p w14:paraId="3BA164A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17,732,790</w:t>
            </w:r>
          </w:p>
        </w:tc>
      </w:tr>
      <w:tr w:rsidR="006C011D" w:rsidRPr="005A284F" w14:paraId="54E9A2B3" w14:textId="77777777" w:rsidTr="008D6EA1">
        <w:trPr>
          <w:trHeight w:val="240"/>
        </w:trPr>
        <w:tc>
          <w:tcPr>
            <w:tcW w:w="2359" w:type="dxa"/>
            <w:gridSpan w:val="2"/>
            <w:tcBorders>
              <w:top w:val="single" w:sz="2" w:space="0" w:color="auto"/>
              <w:left w:val="single" w:sz="2" w:space="0" w:color="auto"/>
              <w:bottom w:val="single" w:sz="2" w:space="0" w:color="auto"/>
              <w:right w:val="single" w:sz="2" w:space="0" w:color="auto"/>
            </w:tcBorders>
            <w:vAlign w:val="center"/>
          </w:tcPr>
          <w:p w14:paraId="02450DD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广州钜甄实业有限公司</w:t>
            </w:r>
          </w:p>
        </w:tc>
        <w:tc>
          <w:tcPr>
            <w:tcW w:w="4961" w:type="dxa"/>
            <w:gridSpan w:val="5"/>
            <w:tcBorders>
              <w:top w:val="single" w:sz="2" w:space="0" w:color="auto"/>
              <w:left w:val="single" w:sz="2" w:space="0" w:color="auto"/>
              <w:bottom w:val="single" w:sz="2" w:space="0" w:color="auto"/>
              <w:right w:val="single" w:sz="2" w:space="0" w:color="auto"/>
            </w:tcBorders>
            <w:vAlign w:val="center"/>
          </w:tcPr>
          <w:p w14:paraId="2E31442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17,270,315</w:t>
            </w:r>
          </w:p>
        </w:tc>
        <w:tc>
          <w:tcPr>
            <w:tcW w:w="1276" w:type="dxa"/>
            <w:tcBorders>
              <w:top w:val="single" w:sz="2" w:space="0" w:color="auto"/>
              <w:left w:val="single" w:sz="2" w:space="0" w:color="auto"/>
              <w:bottom w:val="single" w:sz="2" w:space="0" w:color="auto"/>
              <w:right w:val="single" w:sz="2" w:space="0" w:color="auto"/>
            </w:tcBorders>
            <w:vAlign w:val="center"/>
          </w:tcPr>
          <w:p w14:paraId="3311665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人民币普通股</w:t>
            </w:r>
          </w:p>
        </w:tc>
        <w:tc>
          <w:tcPr>
            <w:tcW w:w="1043" w:type="dxa"/>
            <w:tcBorders>
              <w:top w:val="single" w:sz="2" w:space="0" w:color="auto"/>
              <w:left w:val="single" w:sz="2" w:space="0" w:color="auto"/>
              <w:bottom w:val="single" w:sz="2" w:space="0" w:color="auto"/>
              <w:right w:val="single" w:sz="2" w:space="0" w:color="auto"/>
            </w:tcBorders>
            <w:vAlign w:val="center"/>
          </w:tcPr>
          <w:p w14:paraId="3D8FE8F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17,270,315</w:t>
            </w:r>
          </w:p>
        </w:tc>
      </w:tr>
      <w:tr w:rsidR="006C011D" w:rsidRPr="005A284F" w14:paraId="171F6B01" w14:textId="77777777" w:rsidTr="008D6EA1">
        <w:trPr>
          <w:trHeight w:val="240"/>
        </w:trPr>
        <w:tc>
          <w:tcPr>
            <w:tcW w:w="2359" w:type="dxa"/>
            <w:gridSpan w:val="2"/>
            <w:tcBorders>
              <w:top w:val="single" w:sz="2" w:space="0" w:color="auto"/>
              <w:left w:val="single" w:sz="2" w:space="0" w:color="auto"/>
              <w:bottom w:val="single" w:sz="2" w:space="0" w:color="auto"/>
              <w:right w:val="single" w:sz="2" w:space="0" w:color="auto"/>
            </w:tcBorders>
            <w:vAlign w:val="center"/>
          </w:tcPr>
          <w:p w14:paraId="22138BB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上海鼎译智能科技有限公司</w:t>
            </w:r>
          </w:p>
        </w:tc>
        <w:tc>
          <w:tcPr>
            <w:tcW w:w="4961" w:type="dxa"/>
            <w:gridSpan w:val="5"/>
            <w:tcBorders>
              <w:top w:val="single" w:sz="2" w:space="0" w:color="auto"/>
              <w:left w:val="single" w:sz="2" w:space="0" w:color="auto"/>
              <w:bottom w:val="single" w:sz="2" w:space="0" w:color="auto"/>
              <w:right w:val="single" w:sz="2" w:space="0" w:color="auto"/>
            </w:tcBorders>
            <w:vAlign w:val="center"/>
          </w:tcPr>
          <w:p w14:paraId="62E49BE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15,715,171</w:t>
            </w:r>
          </w:p>
        </w:tc>
        <w:tc>
          <w:tcPr>
            <w:tcW w:w="1276" w:type="dxa"/>
            <w:tcBorders>
              <w:top w:val="single" w:sz="2" w:space="0" w:color="auto"/>
              <w:left w:val="single" w:sz="2" w:space="0" w:color="auto"/>
              <w:bottom w:val="single" w:sz="2" w:space="0" w:color="auto"/>
              <w:right w:val="single" w:sz="2" w:space="0" w:color="auto"/>
            </w:tcBorders>
            <w:vAlign w:val="center"/>
          </w:tcPr>
          <w:p w14:paraId="773E3A1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人民币普通股</w:t>
            </w:r>
          </w:p>
        </w:tc>
        <w:tc>
          <w:tcPr>
            <w:tcW w:w="1043" w:type="dxa"/>
            <w:tcBorders>
              <w:top w:val="single" w:sz="2" w:space="0" w:color="auto"/>
              <w:left w:val="single" w:sz="2" w:space="0" w:color="auto"/>
              <w:bottom w:val="single" w:sz="2" w:space="0" w:color="auto"/>
              <w:right w:val="single" w:sz="2" w:space="0" w:color="auto"/>
            </w:tcBorders>
            <w:vAlign w:val="center"/>
          </w:tcPr>
          <w:p w14:paraId="2946AB1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15,715,171</w:t>
            </w:r>
          </w:p>
        </w:tc>
      </w:tr>
      <w:tr w:rsidR="006C011D" w:rsidRPr="005A284F" w14:paraId="2CFA2CE2" w14:textId="77777777" w:rsidTr="008D6EA1">
        <w:trPr>
          <w:trHeight w:val="240"/>
        </w:trPr>
        <w:tc>
          <w:tcPr>
            <w:tcW w:w="2359" w:type="dxa"/>
            <w:gridSpan w:val="2"/>
            <w:tcBorders>
              <w:top w:val="single" w:sz="2" w:space="0" w:color="auto"/>
              <w:left w:val="single" w:sz="2" w:space="0" w:color="auto"/>
              <w:bottom w:val="single" w:sz="2" w:space="0" w:color="auto"/>
              <w:right w:val="single" w:sz="2" w:space="0" w:color="auto"/>
            </w:tcBorders>
            <w:vAlign w:val="center"/>
          </w:tcPr>
          <w:p w14:paraId="2B58B55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上海梵钏实业有限公司</w:t>
            </w:r>
          </w:p>
        </w:tc>
        <w:tc>
          <w:tcPr>
            <w:tcW w:w="4961" w:type="dxa"/>
            <w:gridSpan w:val="5"/>
            <w:tcBorders>
              <w:top w:val="single" w:sz="2" w:space="0" w:color="auto"/>
              <w:left w:val="single" w:sz="2" w:space="0" w:color="auto"/>
              <w:bottom w:val="single" w:sz="2" w:space="0" w:color="auto"/>
              <w:right w:val="single" w:sz="2" w:space="0" w:color="auto"/>
            </w:tcBorders>
            <w:vAlign w:val="center"/>
          </w:tcPr>
          <w:p w14:paraId="0530C7D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13,801,050</w:t>
            </w:r>
          </w:p>
        </w:tc>
        <w:tc>
          <w:tcPr>
            <w:tcW w:w="1276" w:type="dxa"/>
            <w:tcBorders>
              <w:top w:val="single" w:sz="2" w:space="0" w:color="auto"/>
              <w:left w:val="single" w:sz="2" w:space="0" w:color="auto"/>
              <w:bottom w:val="single" w:sz="2" w:space="0" w:color="auto"/>
              <w:right w:val="single" w:sz="2" w:space="0" w:color="auto"/>
            </w:tcBorders>
            <w:vAlign w:val="center"/>
          </w:tcPr>
          <w:p w14:paraId="3B6FF7D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人民币普通股</w:t>
            </w:r>
          </w:p>
        </w:tc>
        <w:tc>
          <w:tcPr>
            <w:tcW w:w="1043" w:type="dxa"/>
            <w:tcBorders>
              <w:top w:val="single" w:sz="2" w:space="0" w:color="auto"/>
              <w:left w:val="single" w:sz="2" w:space="0" w:color="auto"/>
              <w:bottom w:val="single" w:sz="2" w:space="0" w:color="auto"/>
              <w:right w:val="single" w:sz="2" w:space="0" w:color="auto"/>
            </w:tcBorders>
            <w:vAlign w:val="center"/>
          </w:tcPr>
          <w:p w14:paraId="5183164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13,801,050</w:t>
            </w:r>
          </w:p>
        </w:tc>
      </w:tr>
      <w:tr w:rsidR="006C011D" w:rsidRPr="005A284F" w14:paraId="5BE0F0A8" w14:textId="77777777" w:rsidTr="008D6EA1">
        <w:trPr>
          <w:trHeight w:val="240"/>
        </w:trPr>
        <w:tc>
          <w:tcPr>
            <w:tcW w:w="235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498AF73"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前</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名无限售条件股东之间，以及前</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名无限售条件股东和前</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名股东之间关联关系或一致行动的说明</w:t>
            </w:r>
          </w:p>
        </w:tc>
        <w:tc>
          <w:tcPr>
            <w:tcW w:w="7280" w:type="dxa"/>
            <w:gridSpan w:val="7"/>
            <w:tcBorders>
              <w:top w:val="single" w:sz="2" w:space="0" w:color="auto"/>
              <w:left w:val="single" w:sz="2" w:space="0" w:color="auto"/>
              <w:bottom w:val="single" w:sz="2" w:space="0" w:color="auto"/>
              <w:right w:val="single" w:sz="2" w:space="0" w:color="auto"/>
            </w:tcBorders>
            <w:vAlign w:val="center"/>
          </w:tcPr>
          <w:p w14:paraId="408F7DF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公司未知前</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股东之间是否存在关联关系，也未知是否属于一致行动人。</w:t>
            </w:r>
          </w:p>
        </w:tc>
      </w:tr>
      <w:tr w:rsidR="006C011D" w:rsidRPr="005A284F" w14:paraId="19B5D8BC" w14:textId="77777777" w:rsidTr="008D6EA1">
        <w:trPr>
          <w:trHeight w:val="240"/>
        </w:trPr>
        <w:tc>
          <w:tcPr>
            <w:tcW w:w="235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F7D3B24"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前</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名普通股股东参与融资融券业务情况说明（如有）（参见注</w:t>
            </w: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w:t>
            </w:r>
          </w:p>
        </w:tc>
        <w:tc>
          <w:tcPr>
            <w:tcW w:w="7280" w:type="dxa"/>
            <w:gridSpan w:val="7"/>
            <w:tcBorders>
              <w:top w:val="single" w:sz="2" w:space="0" w:color="auto"/>
              <w:left w:val="single" w:sz="2" w:space="0" w:color="auto"/>
              <w:bottom w:val="single" w:sz="2" w:space="0" w:color="auto"/>
              <w:right w:val="single" w:sz="2" w:space="0" w:color="auto"/>
            </w:tcBorders>
            <w:vAlign w:val="center"/>
          </w:tcPr>
          <w:p w14:paraId="6252B34F" w14:textId="77777777" w:rsidR="006C011D" w:rsidRPr="005A284F" w:rsidRDefault="00000000" w:rsidP="008D6EA1">
            <w:pPr>
              <w:spacing w:after="0" w:line="276" w:lineRule="auto"/>
              <w:jc w:val="both"/>
              <w:rPr>
                <w:rFonts w:ascii="Times New Roman" w:eastAsia="宋体" w:hAnsi="Times New Roman" w:cs="Times New Roman"/>
                <w:sz w:val="18"/>
                <w:szCs w:val="18"/>
              </w:rPr>
            </w:pPr>
            <w:r w:rsidRPr="005A284F">
              <w:rPr>
                <w:rFonts w:ascii="Times New Roman" w:eastAsia="宋体" w:hAnsi="Times New Roman" w:cs="Times New Roman"/>
                <w:sz w:val="18"/>
                <w:szCs w:val="18"/>
              </w:rPr>
              <w:t>深圳市钜珲实业有限公司通过中邮证券有限责任公司客户信用交易担保证券账户持有</w:t>
            </w:r>
            <w:r w:rsidRPr="005A284F">
              <w:rPr>
                <w:rFonts w:ascii="Times New Roman" w:eastAsia="宋体" w:hAnsi="Times New Roman" w:cs="Times New Roman"/>
                <w:sz w:val="18"/>
                <w:szCs w:val="18"/>
              </w:rPr>
              <w:t>41,117,700</w:t>
            </w:r>
            <w:r w:rsidRPr="005A284F">
              <w:rPr>
                <w:rFonts w:ascii="Times New Roman" w:eastAsia="宋体" w:hAnsi="Times New Roman" w:cs="Times New Roman"/>
                <w:sz w:val="18"/>
                <w:szCs w:val="18"/>
              </w:rPr>
              <w:t>股；蓝润发展控股集团有限公司通过东海证券股份有限公司客户信用交易担保证券账户持有</w:t>
            </w:r>
            <w:r w:rsidRPr="005A284F">
              <w:rPr>
                <w:rFonts w:ascii="Times New Roman" w:eastAsia="宋体" w:hAnsi="Times New Roman" w:cs="Times New Roman"/>
                <w:sz w:val="18"/>
                <w:szCs w:val="18"/>
              </w:rPr>
              <w:t>34,000,000</w:t>
            </w:r>
            <w:r w:rsidRPr="005A284F">
              <w:rPr>
                <w:rFonts w:ascii="Times New Roman" w:eastAsia="宋体" w:hAnsi="Times New Roman" w:cs="Times New Roman"/>
                <w:sz w:val="18"/>
                <w:szCs w:val="18"/>
              </w:rPr>
              <w:t>股；晟弘资产管理（珠海）有限公司通过广发证券股份有限公司客户信用交易担保证券账户持有</w:t>
            </w:r>
            <w:r w:rsidRPr="005A284F">
              <w:rPr>
                <w:rFonts w:ascii="Times New Roman" w:eastAsia="宋体" w:hAnsi="Times New Roman" w:cs="Times New Roman"/>
                <w:sz w:val="18"/>
                <w:szCs w:val="18"/>
              </w:rPr>
              <w:t>29,376,135</w:t>
            </w:r>
            <w:r w:rsidRPr="005A284F">
              <w:rPr>
                <w:rFonts w:ascii="Times New Roman" w:eastAsia="宋体" w:hAnsi="Times New Roman" w:cs="Times New Roman"/>
                <w:sz w:val="18"/>
                <w:szCs w:val="18"/>
              </w:rPr>
              <w:t>股；广州森控实业有限公司通过东兴证券股份有限公司客户信用交易担保证券账户持有</w:t>
            </w:r>
            <w:r w:rsidRPr="005A284F">
              <w:rPr>
                <w:rFonts w:ascii="Times New Roman" w:eastAsia="宋体" w:hAnsi="Times New Roman" w:cs="Times New Roman"/>
                <w:sz w:val="18"/>
                <w:szCs w:val="18"/>
              </w:rPr>
              <w:t>17,732,790</w:t>
            </w:r>
            <w:r w:rsidRPr="005A284F">
              <w:rPr>
                <w:rFonts w:ascii="Times New Roman" w:eastAsia="宋体" w:hAnsi="Times New Roman" w:cs="Times New Roman"/>
                <w:sz w:val="18"/>
                <w:szCs w:val="18"/>
              </w:rPr>
              <w:t>股；广州钜甄实业有限公司通过中信建投证券股份有限公司客户信用交易担保证券账户持有</w:t>
            </w:r>
            <w:r w:rsidRPr="005A284F">
              <w:rPr>
                <w:rFonts w:ascii="Times New Roman" w:eastAsia="宋体" w:hAnsi="Times New Roman" w:cs="Times New Roman"/>
                <w:sz w:val="18"/>
                <w:szCs w:val="18"/>
              </w:rPr>
              <w:t>17,262,600</w:t>
            </w:r>
            <w:r w:rsidRPr="005A284F">
              <w:rPr>
                <w:rFonts w:ascii="Times New Roman" w:eastAsia="宋体" w:hAnsi="Times New Roman" w:cs="Times New Roman"/>
                <w:sz w:val="18"/>
                <w:szCs w:val="18"/>
              </w:rPr>
              <w:t>股；上海鼎译智能科技有限公司通过长城证券股份有限公司客户信用交易担保证券账户持有</w:t>
            </w:r>
            <w:r w:rsidRPr="005A284F">
              <w:rPr>
                <w:rFonts w:ascii="Times New Roman" w:eastAsia="宋体" w:hAnsi="Times New Roman" w:cs="Times New Roman"/>
                <w:sz w:val="18"/>
                <w:szCs w:val="18"/>
              </w:rPr>
              <w:t>15,715,171</w:t>
            </w:r>
            <w:r w:rsidRPr="005A284F">
              <w:rPr>
                <w:rFonts w:ascii="Times New Roman" w:eastAsia="宋体" w:hAnsi="Times New Roman" w:cs="Times New Roman"/>
                <w:sz w:val="18"/>
                <w:szCs w:val="18"/>
              </w:rPr>
              <w:t>股；上海梵钏实业有限公司通过长城证券股份有限公司客户信用交易担保证券账户持有</w:t>
            </w:r>
            <w:r w:rsidRPr="005A284F">
              <w:rPr>
                <w:rFonts w:ascii="Times New Roman" w:eastAsia="宋体" w:hAnsi="Times New Roman" w:cs="Times New Roman"/>
                <w:sz w:val="18"/>
                <w:szCs w:val="18"/>
              </w:rPr>
              <w:t>13,801,050</w:t>
            </w:r>
            <w:r w:rsidRPr="005A284F">
              <w:rPr>
                <w:rFonts w:ascii="Times New Roman" w:eastAsia="宋体" w:hAnsi="Times New Roman" w:cs="Times New Roman"/>
                <w:sz w:val="18"/>
                <w:szCs w:val="18"/>
              </w:rPr>
              <w:t>股。</w:t>
            </w:r>
          </w:p>
        </w:tc>
      </w:tr>
    </w:tbl>
    <w:p w14:paraId="70486183"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持股</w:t>
      </w:r>
      <w:r w:rsidRPr="005A284F">
        <w:rPr>
          <w:rFonts w:ascii="Times New Roman" w:eastAsia="宋体" w:hAnsi="Times New Roman" w:cs="Times New Roman"/>
          <w:sz w:val="18"/>
          <w:szCs w:val="18"/>
        </w:rPr>
        <w:t>5%</w:t>
      </w:r>
      <w:r w:rsidRPr="005A284F">
        <w:rPr>
          <w:rFonts w:ascii="Times New Roman" w:eastAsia="宋体" w:hAnsi="Times New Roman" w:cs="Times New Roman"/>
          <w:sz w:val="18"/>
          <w:szCs w:val="18"/>
        </w:rPr>
        <w:t>以上股东、前</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名股东及前</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名无限售流通股股东参与转融通业务出借股份情况</w:t>
      </w:r>
    </w:p>
    <w:p w14:paraId="23D1C7CB" w14:textId="77777777" w:rsidR="006C011D" w:rsidRPr="008D6EA1" w:rsidRDefault="00000000">
      <w:pPr>
        <w:spacing w:after="0" w:line="240" w:lineRule="exact"/>
        <w:rPr>
          <w:rFonts w:ascii="宋体" w:eastAsia="宋体" w:hAnsi="宋体" w:cs="Times New Roman" w:hint="eastAsia"/>
          <w:sz w:val="18"/>
          <w:szCs w:val="18"/>
        </w:rPr>
      </w:pPr>
      <w:r w:rsidRPr="008D6EA1">
        <w:rPr>
          <w:rFonts w:ascii="宋体" w:eastAsia="宋体" w:hAnsi="宋体" w:cs="Times New Roman"/>
          <w:sz w:val="18"/>
          <w:szCs w:val="18"/>
        </w:rPr>
        <w:t xml:space="preserve">□适用 </w:t>
      </w:r>
      <w:r w:rsidRPr="008D6EA1">
        <w:rPr>
          <w:rFonts w:ascii="宋体" w:eastAsia="宋体" w:hAnsi="宋体" w:cs="Times New Roman"/>
          <w:sz w:val="18"/>
          <w:szCs w:val="18"/>
        </w:rPr>
        <w:sym w:font="Wingdings 2" w:char="F052"/>
      </w:r>
      <w:r w:rsidRPr="008D6EA1">
        <w:rPr>
          <w:rFonts w:ascii="宋体" w:eastAsia="宋体" w:hAnsi="宋体" w:cs="Times New Roman"/>
          <w:sz w:val="18"/>
          <w:szCs w:val="18"/>
        </w:rPr>
        <w:t>不适用</w:t>
      </w:r>
    </w:p>
    <w:p w14:paraId="41EA6B1F"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前</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名股东及前</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名无限售流通股股东因转融通出借</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归还原因导致较上期发生变化</w:t>
      </w:r>
    </w:p>
    <w:p w14:paraId="591C5CD3" w14:textId="77777777" w:rsidR="006C011D" w:rsidRPr="008D6EA1" w:rsidRDefault="00000000">
      <w:pPr>
        <w:spacing w:after="0" w:line="240" w:lineRule="exact"/>
        <w:rPr>
          <w:rFonts w:ascii="宋体" w:eastAsia="宋体" w:hAnsi="宋体" w:cs="Times New Roman" w:hint="eastAsia"/>
          <w:sz w:val="18"/>
          <w:szCs w:val="18"/>
        </w:rPr>
      </w:pPr>
      <w:r w:rsidRPr="008D6EA1">
        <w:rPr>
          <w:rFonts w:ascii="宋体" w:eastAsia="宋体" w:hAnsi="宋体" w:cs="Times New Roman"/>
          <w:sz w:val="18"/>
          <w:szCs w:val="18"/>
        </w:rPr>
        <w:t xml:space="preserve">□适用 </w:t>
      </w:r>
      <w:r w:rsidRPr="008D6EA1">
        <w:rPr>
          <w:rFonts w:ascii="宋体" w:eastAsia="宋体" w:hAnsi="宋体" w:cs="Times New Roman"/>
          <w:sz w:val="18"/>
          <w:szCs w:val="18"/>
        </w:rPr>
        <w:sym w:font="Wingdings 2" w:char="F052"/>
      </w:r>
      <w:r w:rsidRPr="008D6EA1">
        <w:rPr>
          <w:rFonts w:ascii="宋体" w:eastAsia="宋体" w:hAnsi="宋体" w:cs="Times New Roman"/>
          <w:sz w:val="18"/>
          <w:szCs w:val="18"/>
        </w:rPr>
        <w:t>不适用</w:t>
      </w:r>
    </w:p>
    <w:p w14:paraId="3021FF51"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公司前</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名普通股股东、前</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名无限售条件普通股股东在报告期内是否进行约定购回交易</w:t>
      </w:r>
    </w:p>
    <w:p w14:paraId="234C9926" w14:textId="77777777" w:rsidR="006C011D" w:rsidRPr="008D6EA1" w:rsidRDefault="00000000" w:rsidP="008D6EA1">
      <w:pPr>
        <w:spacing w:after="0" w:line="240" w:lineRule="exact"/>
        <w:rPr>
          <w:rFonts w:ascii="宋体" w:eastAsia="宋体" w:hAnsi="宋体" w:cs="Times New Roman" w:hint="eastAsia"/>
          <w:sz w:val="18"/>
          <w:szCs w:val="18"/>
        </w:rPr>
      </w:pPr>
      <w:r w:rsidRPr="008D6EA1">
        <w:rPr>
          <w:rFonts w:ascii="宋体" w:eastAsia="宋体" w:hAnsi="宋体" w:cs="Times New Roman"/>
          <w:sz w:val="18"/>
          <w:szCs w:val="18"/>
        </w:rPr>
        <w:t xml:space="preserve">□是 </w:t>
      </w:r>
      <w:r w:rsidRPr="008D6EA1">
        <w:rPr>
          <w:rFonts w:ascii="宋体" w:eastAsia="宋体" w:hAnsi="宋体" w:cs="Times New Roman"/>
          <w:sz w:val="18"/>
          <w:szCs w:val="18"/>
        </w:rPr>
        <w:sym w:font="Wingdings 2" w:char="F052"/>
      </w:r>
      <w:r w:rsidRPr="008D6EA1">
        <w:rPr>
          <w:rFonts w:ascii="宋体" w:eastAsia="宋体" w:hAnsi="宋体" w:cs="Times New Roman"/>
          <w:sz w:val="18"/>
          <w:szCs w:val="18"/>
        </w:rPr>
        <w:t>否</w:t>
      </w:r>
    </w:p>
    <w:p w14:paraId="4C9C0EA9"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公司前</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名普通股股东、前</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名无限售条件普通股股东在报告期内未进行约定购回交易。</w:t>
      </w:r>
    </w:p>
    <w:p w14:paraId="19EB4AA7"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83" w:name="_Toc988972"/>
      <w:r w:rsidRPr="005A284F">
        <w:rPr>
          <w:rFonts w:ascii="Times New Roman" w:eastAsia="宋体" w:hAnsi="Times New Roman" w:cs="Times New Roman"/>
          <w:b/>
          <w:bCs/>
          <w:sz w:val="24"/>
          <w:szCs w:val="24"/>
        </w:rPr>
        <w:t>四、董事、监事和高级管理人员持股变动</w:t>
      </w:r>
      <w:bookmarkEnd w:id="83"/>
    </w:p>
    <w:p w14:paraId="729BB9AA" w14:textId="77777777" w:rsidR="006C011D" w:rsidRPr="008D6EA1" w:rsidRDefault="00000000" w:rsidP="008D6EA1">
      <w:pPr>
        <w:spacing w:after="0" w:line="240" w:lineRule="exact"/>
        <w:rPr>
          <w:rFonts w:ascii="宋体" w:eastAsia="宋体" w:hAnsi="宋体" w:cs="Times New Roman" w:hint="eastAsia"/>
          <w:sz w:val="18"/>
          <w:szCs w:val="18"/>
        </w:rPr>
      </w:pPr>
      <w:r w:rsidRPr="008D6EA1">
        <w:rPr>
          <w:rFonts w:ascii="宋体" w:eastAsia="宋体" w:hAnsi="宋体" w:cs="Times New Roman"/>
          <w:sz w:val="18"/>
          <w:szCs w:val="18"/>
        </w:rPr>
        <w:t xml:space="preserve">□适用 </w:t>
      </w:r>
      <w:r w:rsidRPr="008D6EA1">
        <w:rPr>
          <w:rFonts w:ascii="宋体" w:eastAsia="宋体" w:hAnsi="宋体" w:cs="Times New Roman"/>
          <w:sz w:val="18"/>
          <w:szCs w:val="18"/>
        </w:rPr>
        <w:sym w:font="Wingdings 2" w:char="F052"/>
      </w:r>
      <w:r w:rsidRPr="008D6EA1">
        <w:rPr>
          <w:rFonts w:ascii="宋体" w:eastAsia="宋体" w:hAnsi="宋体" w:cs="Times New Roman"/>
          <w:sz w:val="18"/>
          <w:szCs w:val="18"/>
        </w:rPr>
        <w:t>不适用</w:t>
      </w:r>
    </w:p>
    <w:p w14:paraId="5B2E9628"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公司董事、监事和高级管理人员在报告期持股情况没有发生变动，具体可参见</w:t>
      </w: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年年报。</w:t>
      </w:r>
    </w:p>
    <w:p w14:paraId="25436FD9"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84" w:name="_Toc988973"/>
      <w:r w:rsidRPr="005A284F">
        <w:rPr>
          <w:rFonts w:ascii="Times New Roman" w:eastAsia="宋体" w:hAnsi="Times New Roman" w:cs="Times New Roman"/>
          <w:b/>
          <w:bCs/>
          <w:sz w:val="24"/>
          <w:szCs w:val="24"/>
        </w:rPr>
        <w:t>五、控股股东或实际控制人变更情况</w:t>
      </w:r>
      <w:bookmarkEnd w:id="84"/>
    </w:p>
    <w:p w14:paraId="2726A037"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控股股东报告期内变更</w:t>
      </w:r>
    </w:p>
    <w:p w14:paraId="0FDD234B" w14:textId="77777777" w:rsidR="006C011D" w:rsidRPr="008D6EA1" w:rsidRDefault="00000000" w:rsidP="008D6EA1">
      <w:pPr>
        <w:spacing w:after="0" w:line="240" w:lineRule="exact"/>
        <w:rPr>
          <w:rFonts w:ascii="宋体" w:eastAsia="宋体" w:hAnsi="宋体" w:cs="Times New Roman" w:hint="eastAsia"/>
          <w:sz w:val="18"/>
          <w:szCs w:val="18"/>
        </w:rPr>
      </w:pPr>
      <w:r w:rsidRPr="008D6EA1">
        <w:rPr>
          <w:rFonts w:ascii="宋体" w:eastAsia="宋体" w:hAnsi="宋体" w:cs="Times New Roman"/>
          <w:sz w:val="18"/>
          <w:szCs w:val="18"/>
        </w:rPr>
        <w:t xml:space="preserve">□适用 </w:t>
      </w:r>
      <w:r w:rsidRPr="008D6EA1">
        <w:rPr>
          <w:rFonts w:ascii="宋体" w:eastAsia="宋体" w:hAnsi="宋体" w:cs="Times New Roman"/>
          <w:sz w:val="18"/>
          <w:szCs w:val="18"/>
        </w:rPr>
        <w:sym w:font="Wingdings 2" w:char="F052"/>
      </w:r>
      <w:r w:rsidRPr="008D6EA1">
        <w:rPr>
          <w:rFonts w:ascii="宋体" w:eastAsia="宋体" w:hAnsi="宋体" w:cs="Times New Roman"/>
          <w:sz w:val="18"/>
          <w:szCs w:val="18"/>
        </w:rPr>
        <w:t>不适用</w:t>
      </w:r>
    </w:p>
    <w:p w14:paraId="319FA866"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公司报告期控股股东未发生变更。</w:t>
      </w:r>
    </w:p>
    <w:p w14:paraId="550C14B7"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实际控制人报告期内变更</w:t>
      </w:r>
    </w:p>
    <w:p w14:paraId="4B838B25" w14:textId="77777777" w:rsidR="006C011D" w:rsidRPr="008D6EA1" w:rsidRDefault="00000000" w:rsidP="008D6EA1">
      <w:pPr>
        <w:spacing w:after="0" w:line="240" w:lineRule="exact"/>
        <w:rPr>
          <w:rFonts w:ascii="宋体" w:eastAsia="宋体" w:hAnsi="宋体" w:cs="Times New Roman" w:hint="eastAsia"/>
          <w:sz w:val="18"/>
          <w:szCs w:val="18"/>
        </w:rPr>
      </w:pPr>
      <w:r w:rsidRPr="008D6EA1">
        <w:rPr>
          <w:rFonts w:ascii="宋体" w:eastAsia="宋体" w:hAnsi="宋体" w:cs="Times New Roman"/>
          <w:sz w:val="18"/>
          <w:szCs w:val="18"/>
        </w:rPr>
        <w:lastRenderedPageBreak/>
        <w:t xml:space="preserve">□适用 </w:t>
      </w:r>
      <w:r w:rsidRPr="008D6EA1">
        <w:rPr>
          <w:rFonts w:ascii="宋体" w:eastAsia="宋体" w:hAnsi="宋体" w:cs="Times New Roman"/>
          <w:sz w:val="18"/>
          <w:szCs w:val="18"/>
        </w:rPr>
        <w:sym w:font="Wingdings 2" w:char="F052"/>
      </w:r>
      <w:r w:rsidRPr="008D6EA1">
        <w:rPr>
          <w:rFonts w:ascii="宋体" w:eastAsia="宋体" w:hAnsi="宋体" w:cs="Times New Roman"/>
          <w:sz w:val="18"/>
          <w:szCs w:val="18"/>
        </w:rPr>
        <w:t>不适用</w:t>
      </w:r>
    </w:p>
    <w:p w14:paraId="107DDC0B"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公司报告期实际控制人未发生变更。</w:t>
      </w:r>
    </w:p>
    <w:p w14:paraId="11AC716F"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85" w:name="_Toc988974"/>
      <w:r w:rsidRPr="005A284F">
        <w:rPr>
          <w:rFonts w:ascii="Times New Roman" w:eastAsia="宋体" w:hAnsi="Times New Roman" w:cs="Times New Roman"/>
          <w:b/>
          <w:bCs/>
          <w:sz w:val="24"/>
          <w:szCs w:val="24"/>
        </w:rPr>
        <w:t>六、优先股相关情况</w:t>
      </w:r>
      <w:bookmarkEnd w:id="85"/>
    </w:p>
    <w:p w14:paraId="1F887AB4" w14:textId="77777777" w:rsidR="006C011D" w:rsidRPr="008D6EA1" w:rsidRDefault="00000000" w:rsidP="008D6EA1">
      <w:pPr>
        <w:spacing w:after="0" w:line="240" w:lineRule="exact"/>
        <w:rPr>
          <w:rFonts w:ascii="宋体" w:eastAsia="宋体" w:hAnsi="宋体" w:cs="Times New Roman" w:hint="eastAsia"/>
          <w:sz w:val="18"/>
          <w:szCs w:val="18"/>
        </w:rPr>
      </w:pPr>
      <w:r w:rsidRPr="008D6EA1">
        <w:rPr>
          <w:rFonts w:ascii="宋体" w:eastAsia="宋体" w:hAnsi="宋体" w:cs="Times New Roman"/>
          <w:sz w:val="18"/>
          <w:szCs w:val="18"/>
        </w:rPr>
        <w:t xml:space="preserve">□适用 </w:t>
      </w:r>
      <w:r w:rsidRPr="008D6EA1">
        <w:rPr>
          <w:rFonts w:ascii="宋体" w:eastAsia="宋体" w:hAnsi="宋体" w:cs="Times New Roman"/>
          <w:sz w:val="18"/>
          <w:szCs w:val="18"/>
        </w:rPr>
        <w:sym w:font="Wingdings 2" w:char="F052"/>
      </w:r>
      <w:r w:rsidRPr="008D6EA1">
        <w:rPr>
          <w:rFonts w:ascii="宋体" w:eastAsia="宋体" w:hAnsi="宋体" w:cs="Times New Roman"/>
          <w:sz w:val="18"/>
          <w:szCs w:val="18"/>
        </w:rPr>
        <w:t>不适用</w:t>
      </w:r>
    </w:p>
    <w:p w14:paraId="51D81AE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报告期公司不存在优先股。</w:t>
      </w:r>
    </w:p>
    <w:p w14:paraId="6A8C6BF3" w14:textId="77777777" w:rsidR="006C011D" w:rsidRPr="005A284F" w:rsidRDefault="00000000">
      <w:pPr>
        <w:rPr>
          <w:rFonts w:ascii="Times New Roman" w:eastAsia="宋体" w:hAnsi="Times New Roman" w:cs="Times New Roman"/>
        </w:rPr>
      </w:pPr>
      <w:r w:rsidRPr="005A284F">
        <w:rPr>
          <w:rFonts w:ascii="Times New Roman" w:eastAsia="宋体" w:hAnsi="Times New Roman" w:cs="Times New Roman"/>
        </w:rPr>
        <w:br w:type="page"/>
      </w:r>
    </w:p>
    <w:p w14:paraId="2816424A" w14:textId="77777777" w:rsidR="006C011D" w:rsidRPr="005A284F" w:rsidRDefault="00000000">
      <w:pPr>
        <w:pStyle w:val="headingh1"/>
        <w:spacing w:before="340" w:after="330" w:line="773" w:lineRule="exact"/>
        <w:jc w:val="center"/>
        <w:rPr>
          <w:rFonts w:ascii="Times New Roman" w:eastAsia="宋体" w:hAnsi="Times New Roman" w:cs="Times New Roman"/>
          <w:b/>
          <w:bCs/>
          <w:sz w:val="32"/>
          <w:szCs w:val="32"/>
        </w:rPr>
      </w:pPr>
      <w:bookmarkStart w:id="86" w:name="_Toc988975"/>
      <w:r w:rsidRPr="005A284F">
        <w:rPr>
          <w:rFonts w:ascii="Times New Roman" w:eastAsia="宋体" w:hAnsi="Times New Roman" w:cs="Times New Roman"/>
          <w:b/>
          <w:bCs/>
          <w:sz w:val="32"/>
          <w:szCs w:val="32"/>
        </w:rPr>
        <w:lastRenderedPageBreak/>
        <w:t>第七节</w:t>
      </w:r>
      <w:r w:rsidRPr="005A284F">
        <w:rPr>
          <w:rFonts w:ascii="Times New Roman" w:eastAsia="宋体" w:hAnsi="Times New Roman" w:cs="Times New Roman"/>
          <w:b/>
          <w:bCs/>
          <w:sz w:val="32"/>
          <w:szCs w:val="32"/>
        </w:rPr>
        <w:t xml:space="preserve"> </w:t>
      </w:r>
      <w:r w:rsidRPr="005A284F">
        <w:rPr>
          <w:rFonts w:ascii="Times New Roman" w:eastAsia="宋体" w:hAnsi="Times New Roman" w:cs="Times New Roman"/>
          <w:b/>
          <w:bCs/>
          <w:sz w:val="32"/>
          <w:szCs w:val="32"/>
        </w:rPr>
        <w:t>债券相关情况</w:t>
      </w:r>
      <w:bookmarkEnd w:id="86"/>
    </w:p>
    <w:p w14:paraId="22F157F2"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87" w:name="_Toc988976"/>
      <w:r w:rsidRPr="005A284F">
        <w:rPr>
          <w:rFonts w:ascii="Times New Roman" w:eastAsia="宋体" w:hAnsi="Times New Roman" w:cs="Times New Roman"/>
          <w:b/>
          <w:bCs/>
          <w:sz w:val="24"/>
          <w:szCs w:val="24"/>
        </w:rPr>
        <w:t>一、企业债券</w:t>
      </w:r>
      <w:bookmarkEnd w:id="87"/>
    </w:p>
    <w:p w14:paraId="1FC7AF9D" w14:textId="77777777" w:rsidR="006C011D" w:rsidRPr="00294815" w:rsidRDefault="00000000">
      <w:pPr>
        <w:spacing w:before="40" w:after="40" w:line="240" w:lineRule="exact"/>
        <w:rPr>
          <w:rFonts w:ascii="宋体" w:eastAsia="宋体" w:hAnsi="宋体" w:cs="Times New Roman" w:hint="eastAsia"/>
          <w:sz w:val="18"/>
          <w:szCs w:val="18"/>
        </w:rPr>
      </w:pPr>
      <w:r w:rsidRPr="00294815">
        <w:rPr>
          <w:rFonts w:ascii="宋体" w:eastAsia="宋体" w:hAnsi="宋体" w:cs="Times New Roman"/>
          <w:sz w:val="18"/>
          <w:szCs w:val="18"/>
        </w:rPr>
        <w:t xml:space="preserve">□适用 </w:t>
      </w:r>
      <w:r w:rsidRPr="00294815">
        <w:rPr>
          <w:rFonts w:ascii="宋体" w:eastAsia="宋体" w:hAnsi="宋体" w:cs="Times New Roman"/>
          <w:sz w:val="18"/>
          <w:szCs w:val="18"/>
        </w:rPr>
        <w:sym w:font="Wingdings 2" w:char="F052"/>
      </w:r>
      <w:r w:rsidRPr="00294815">
        <w:rPr>
          <w:rFonts w:ascii="宋体" w:eastAsia="宋体" w:hAnsi="宋体" w:cs="Times New Roman"/>
          <w:sz w:val="18"/>
          <w:szCs w:val="18"/>
        </w:rPr>
        <w:t>不适用</w:t>
      </w:r>
    </w:p>
    <w:p w14:paraId="4AA8E59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报告期公司不存在企业债券。</w:t>
      </w:r>
    </w:p>
    <w:p w14:paraId="4C7BA2BF"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88" w:name="_Toc988977"/>
      <w:r w:rsidRPr="005A284F">
        <w:rPr>
          <w:rFonts w:ascii="Times New Roman" w:eastAsia="宋体" w:hAnsi="Times New Roman" w:cs="Times New Roman"/>
          <w:b/>
          <w:bCs/>
          <w:sz w:val="24"/>
          <w:szCs w:val="24"/>
        </w:rPr>
        <w:t>二、公司债券</w:t>
      </w:r>
      <w:bookmarkEnd w:id="88"/>
    </w:p>
    <w:p w14:paraId="3E1F66A2" w14:textId="77777777" w:rsidR="006C011D" w:rsidRPr="00294815" w:rsidRDefault="00000000">
      <w:pPr>
        <w:spacing w:before="40" w:after="40" w:line="240" w:lineRule="exact"/>
        <w:rPr>
          <w:rFonts w:ascii="宋体" w:eastAsia="宋体" w:hAnsi="宋体" w:cs="Times New Roman" w:hint="eastAsia"/>
          <w:sz w:val="18"/>
          <w:szCs w:val="18"/>
        </w:rPr>
      </w:pPr>
      <w:r w:rsidRPr="00294815">
        <w:rPr>
          <w:rFonts w:ascii="宋体" w:eastAsia="宋体" w:hAnsi="宋体" w:cs="Times New Roman"/>
          <w:sz w:val="18"/>
          <w:szCs w:val="18"/>
        </w:rPr>
        <w:t xml:space="preserve">□适用 </w:t>
      </w:r>
      <w:r w:rsidRPr="00294815">
        <w:rPr>
          <w:rFonts w:ascii="宋体" w:eastAsia="宋体" w:hAnsi="宋体" w:cs="Times New Roman"/>
          <w:sz w:val="18"/>
          <w:szCs w:val="18"/>
        </w:rPr>
        <w:sym w:font="Wingdings 2" w:char="F052"/>
      </w:r>
      <w:r w:rsidRPr="00294815">
        <w:rPr>
          <w:rFonts w:ascii="宋体" w:eastAsia="宋体" w:hAnsi="宋体" w:cs="Times New Roman"/>
          <w:sz w:val="18"/>
          <w:szCs w:val="18"/>
        </w:rPr>
        <w:t>不适用</w:t>
      </w:r>
    </w:p>
    <w:p w14:paraId="55B1283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报告期公司不存在公司债券。</w:t>
      </w:r>
    </w:p>
    <w:p w14:paraId="0861D919"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89" w:name="_Toc988978"/>
      <w:r w:rsidRPr="005A284F">
        <w:rPr>
          <w:rFonts w:ascii="Times New Roman" w:eastAsia="宋体" w:hAnsi="Times New Roman" w:cs="Times New Roman"/>
          <w:b/>
          <w:bCs/>
          <w:sz w:val="24"/>
          <w:szCs w:val="24"/>
        </w:rPr>
        <w:t>三、非金融企业债务融资工具</w:t>
      </w:r>
      <w:bookmarkEnd w:id="89"/>
    </w:p>
    <w:p w14:paraId="2CD25040" w14:textId="77777777" w:rsidR="006C011D" w:rsidRPr="00294815" w:rsidRDefault="00000000">
      <w:pPr>
        <w:spacing w:before="40" w:after="40" w:line="240" w:lineRule="exact"/>
        <w:rPr>
          <w:rFonts w:ascii="宋体" w:eastAsia="宋体" w:hAnsi="宋体" w:cs="Times New Roman" w:hint="eastAsia"/>
          <w:sz w:val="18"/>
          <w:szCs w:val="18"/>
        </w:rPr>
      </w:pPr>
      <w:r w:rsidRPr="00294815">
        <w:rPr>
          <w:rFonts w:ascii="宋体" w:eastAsia="宋体" w:hAnsi="宋体" w:cs="Times New Roman"/>
          <w:sz w:val="18"/>
          <w:szCs w:val="18"/>
        </w:rPr>
        <w:t xml:space="preserve">□适用 </w:t>
      </w:r>
      <w:r w:rsidRPr="00294815">
        <w:rPr>
          <w:rFonts w:ascii="宋体" w:eastAsia="宋体" w:hAnsi="宋体" w:cs="Times New Roman"/>
          <w:sz w:val="18"/>
          <w:szCs w:val="18"/>
        </w:rPr>
        <w:sym w:font="Wingdings 2" w:char="F052"/>
      </w:r>
      <w:r w:rsidRPr="00294815">
        <w:rPr>
          <w:rFonts w:ascii="宋体" w:eastAsia="宋体" w:hAnsi="宋体" w:cs="Times New Roman"/>
          <w:sz w:val="18"/>
          <w:szCs w:val="18"/>
        </w:rPr>
        <w:t>不适用</w:t>
      </w:r>
    </w:p>
    <w:p w14:paraId="1B5D7B9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报告期公司不存在非金融企业债务融资工具。</w:t>
      </w:r>
    </w:p>
    <w:p w14:paraId="6C5C4A77"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90" w:name="_Toc988979"/>
      <w:r w:rsidRPr="005A284F">
        <w:rPr>
          <w:rFonts w:ascii="Times New Roman" w:eastAsia="宋体" w:hAnsi="Times New Roman" w:cs="Times New Roman"/>
          <w:b/>
          <w:bCs/>
          <w:sz w:val="24"/>
          <w:szCs w:val="24"/>
        </w:rPr>
        <w:t>四、可转换公司债券</w:t>
      </w:r>
      <w:bookmarkEnd w:id="90"/>
    </w:p>
    <w:p w14:paraId="2BA1B0EA" w14:textId="77777777" w:rsidR="006C011D" w:rsidRPr="00294815" w:rsidRDefault="00000000">
      <w:pPr>
        <w:spacing w:before="40" w:after="40" w:line="240" w:lineRule="exact"/>
        <w:rPr>
          <w:rFonts w:ascii="宋体" w:eastAsia="宋体" w:hAnsi="宋体" w:cs="Times New Roman" w:hint="eastAsia"/>
          <w:sz w:val="18"/>
          <w:szCs w:val="18"/>
        </w:rPr>
      </w:pPr>
      <w:r w:rsidRPr="00294815">
        <w:rPr>
          <w:rFonts w:ascii="宋体" w:eastAsia="宋体" w:hAnsi="宋体" w:cs="Times New Roman"/>
          <w:sz w:val="18"/>
          <w:szCs w:val="18"/>
        </w:rPr>
        <w:sym w:font="Wingdings 2" w:char="F052"/>
      </w:r>
      <w:r w:rsidRPr="00294815">
        <w:rPr>
          <w:rFonts w:ascii="宋体" w:eastAsia="宋体" w:hAnsi="宋体" w:cs="Times New Roman"/>
          <w:sz w:val="18"/>
          <w:szCs w:val="18"/>
        </w:rPr>
        <w:t>适用 □不适用</w:t>
      </w:r>
    </w:p>
    <w:p w14:paraId="750CDA3F" w14:textId="77777777" w:rsidR="006C011D" w:rsidRPr="005A284F" w:rsidRDefault="00000000">
      <w:pPr>
        <w:pStyle w:val="3"/>
        <w:spacing w:line="280" w:lineRule="exact"/>
        <w:jc w:val="left"/>
        <w:rPr>
          <w:rFonts w:ascii="Times New Roman" w:hAnsi="Times New Roman" w:cs="Times New Roman"/>
          <w:b/>
          <w:bCs/>
        </w:rPr>
      </w:pPr>
      <w:bookmarkStart w:id="91" w:name="_Toc988980"/>
      <w:r w:rsidRPr="005A284F">
        <w:rPr>
          <w:rFonts w:ascii="Times New Roman" w:hAnsi="Times New Roman" w:cs="Times New Roman"/>
          <w:b/>
          <w:bCs/>
        </w:rPr>
        <w:t>1</w:t>
      </w:r>
      <w:r w:rsidRPr="005A284F">
        <w:rPr>
          <w:rFonts w:ascii="Times New Roman" w:hAnsi="Times New Roman" w:cs="Times New Roman"/>
          <w:b/>
          <w:bCs/>
        </w:rPr>
        <w:t>、可转债发行情况</w:t>
      </w:r>
      <w:bookmarkEnd w:id="91"/>
    </w:p>
    <w:p w14:paraId="091D898B" w14:textId="77777777" w:rsidR="000309B5" w:rsidRPr="005A284F" w:rsidRDefault="00000000" w:rsidP="00294815">
      <w:pPr>
        <w:pStyle w:val="a3"/>
        <w:spacing w:before="0" w:beforeAutospacing="0" w:after="0" w:afterAutospacing="0" w:line="276" w:lineRule="auto"/>
        <w:ind w:firstLineChars="200" w:firstLine="360"/>
        <w:jc w:val="both"/>
        <w:divId w:val="22947861"/>
        <w:rPr>
          <w:rFonts w:ascii="Times New Roman" w:hAnsi="Times New Roman" w:cs="Times New Roman"/>
          <w:sz w:val="18"/>
          <w:szCs w:val="18"/>
        </w:rPr>
      </w:pPr>
      <w:r w:rsidRPr="005A284F">
        <w:rPr>
          <w:rFonts w:ascii="Times New Roman" w:hAnsi="Times New Roman" w:cs="Times New Roman"/>
          <w:sz w:val="18"/>
          <w:szCs w:val="18"/>
        </w:rPr>
        <w:t>经中国证券监督管理委员会</w:t>
      </w:r>
      <w:r w:rsidRPr="005A284F">
        <w:rPr>
          <w:rFonts w:ascii="Times New Roman" w:hAnsi="Times New Roman" w:cs="Times New Roman"/>
          <w:sz w:val="18"/>
          <w:szCs w:val="18"/>
        </w:rPr>
        <w:t>“</w:t>
      </w:r>
      <w:r w:rsidRPr="005A284F">
        <w:rPr>
          <w:rFonts w:ascii="Times New Roman" w:hAnsi="Times New Roman" w:cs="Times New Roman"/>
          <w:sz w:val="18"/>
          <w:szCs w:val="18"/>
        </w:rPr>
        <w:t>证监许可</w:t>
      </w:r>
      <w:r w:rsidRPr="005A284F">
        <w:rPr>
          <w:rFonts w:ascii="Times New Roman" w:hAnsi="Times New Roman" w:cs="Times New Roman"/>
          <w:sz w:val="18"/>
          <w:szCs w:val="18"/>
        </w:rPr>
        <w:t>[2020]1077</w:t>
      </w:r>
      <w:r w:rsidRPr="005A284F">
        <w:rPr>
          <w:rFonts w:ascii="Times New Roman" w:hAnsi="Times New Roman" w:cs="Times New Roman"/>
          <w:sz w:val="18"/>
          <w:szCs w:val="18"/>
        </w:rPr>
        <w:t>号</w:t>
      </w:r>
      <w:r w:rsidRPr="005A284F">
        <w:rPr>
          <w:rFonts w:ascii="Times New Roman" w:hAnsi="Times New Roman" w:cs="Times New Roman"/>
          <w:sz w:val="18"/>
          <w:szCs w:val="18"/>
        </w:rPr>
        <w:t>”</w:t>
      </w:r>
      <w:r w:rsidRPr="005A284F">
        <w:rPr>
          <w:rFonts w:ascii="Times New Roman" w:hAnsi="Times New Roman" w:cs="Times New Roman"/>
          <w:sz w:val="18"/>
          <w:szCs w:val="18"/>
        </w:rPr>
        <w:t>核准，公司于</w:t>
      </w:r>
      <w:r w:rsidRPr="005A284F">
        <w:rPr>
          <w:rFonts w:ascii="Times New Roman" w:hAnsi="Times New Roman" w:cs="Times New Roman"/>
          <w:sz w:val="18"/>
          <w:szCs w:val="18"/>
        </w:rPr>
        <w:t>2020</w:t>
      </w:r>
      <w:r w:rsidRPr="005A284F">
        <w:rPr>
          <w:rFonts w:ascii="Times New Roman" w:hAnsi="Times New Roman" w:cs="Times New Roman"/>
          <w:sz w:val="18"/>
          <w:szCs w:val="18"/>
        </w:rPr>
        <w:t>年</w:t>
      </w:r>
      <w:r w:rsidRPr="005A284F">
        <w:rPr>
          <w:rFonts w:ascii="Times New Roman" w:hAnsi="Times New Roman" w:cs="Times New Roman"/>
          <w:sz w:val="18"/>
          <w:szCs w:val="18"/>
        </w:rPr>
        <w:t>7</w:t>
      </w:r>
      <w:r w:rsidRPr="005A284F">
        <w:rPr>
          <w:rFonts w:ascii="Times New Roman" w:hAnsi="Times New Roman" w:cs="Times New Roman"/>
          <w:sz w:val="18"/>
          <w:szCs w:val="18"/>
        </w:rPr>
        <w:t>月</w:t>
      </w:r>
      <w:r w:rsidRPr="005A284F">
        <w:rPr>
          <w:rFonts w:ascii="Times New Roman" w:hAnsi="Times New Roman" w:cs="Times New Roman"/>
          <w:sz w:val="18"/>
          <w:szCs w:val="18"/>
        </w:rPr>
        <w:t>13</w:t>
      </w:r>
      <w:r w:rsidRPr="005A284F">
        <w:rPr>
          <w:rFonts w:ascii="Times New Roman" w:hAnsi="Times New Roman" w:cs="Times New Roman"/>
          <w:sz w:val="18"/>
          <w:szCs w:val="18"/>
        </w:rPr>
        <w:t>日公开发行了</w:t>
      </w:r>
      <w:r w:rsidRPr="005A284F">
        <w:rPr>
          <w:rFonts w:ascii="Times New Roman" w:hAnsi="Times New Roman" w:cs="Times New Roman"/>
          <w:sz w:val="18"/>
          <w:szCs w:val="18"/>
        </w:rPr>
        <w:t>950</w:t>
      </w:r>
      <w:r w:rsidRPr="005A284F">
        <w:rPr>
          <w:rFonts w:ascii="Times New Roman" w:hAnsi="Times New Roman" w:cs="Times New Roman"/>
          <w:sz w:val="18"/>
          <w:szCs w:val="18"/>
        </w:rPr>
        <w:t>万张可转换公司债券，每张面值</w:t>
      </w:r>
      <w:r w:rsidRPr="005A284F">
        <w:rPr>
          <w:rFonts w:ascii="Times New Roman" w:hAnsi="Times New Roman" w:cs="Times New Roman"/>
          <w:sz w:val="18"/>
          <w:szCs w:val="18"/>
        </w:rPr>
        <w:t>100</w:t>
      </w:r>
      <w:r w:rsidRPr="005A284F">
        <w:rPr>
          <w:rFonts w:ascii="Times New Roman" w:hAnsi="Times New Roman" w:cs="Times New Roman"/>
          <w:sz w:val="18"/>
          <w:szCs w:val="18"/>
        </w:rPr>
        <w:t>元，发行总额</w:t>
      </w:r>
      <w:r w:rsidRPr="005A284F">
        <w:rPr>
          <w:rFonts w:ascii="Times New Roman" w:hAnsi="Times New Roman" w:cs="Times New Roman"/>
          <w:sz w:val="18"/>
          <w:szCs w:val="18"/>
        </w:rPr>
        <w:t>95,000.00</w:t>
      </w:r>
      <w:r w:rsidRPr="005A284F">
        <w:rPr>
          <w:rFonts w:ascii="Times New Roman" w:hAnsi="Times New Roman" w:cs="Times New Roman"/>
          <w:sz w:val="18"/>
          <w:szCs w:val="18"/>
        </w:rPr>
        <w:t>万元。经深交所</w:t>
      </w:r>
      <w:r w:rsidRPr="005A284F">
        <w:rPr>
          <w:rFonts w:ascii="Times New Roman" w:hAnsi="Times New Roman" w:cs="Times New Roman"/>
          <w:sz w:val="18"/>
          <w:szCs w:val="18"/>
        </w:rPr>
        <w:t>“</w:t>
      </w:r>
      <w:r w:rsidRPr="005A284F">
        <w:rPr>
          <w:rFonts w:ascii="Times New Roman" w:hAnsi="Times New Roman" w:cs="Times New Roman"/>
          <w:sz w:val="18"/>
          <w:szCs w:val="18"/>
        </w:rPr>
        <w:t>深证上</w:t>
      </w:r>
      <w:r w:rsidRPr="005A284F">
        <w:rPr>
          <w:rFonts w:ascii="Times New Roman" w:hAnsi="Times New Roman" w:cs="Times New Roman"/>
          <w:sz w:val="18"/>
          <w:szCs w:val="18"/>
        </w:rPr>
        <w:t xml:space="preserve">[2020]683 </w:t>
      </w:r>
      <w:r w:rsidRPr="005A284F">
        <w:rPr>
          <w:rFonts w:ascii="Times New Roman" w:hAnsi="Times New Roman" w:cs="Times New Roman"/>
          <w:sz w:val="18"/>
          <w:szCs w:val="18"/>
        </w:rPr>
        <w:t>号</w:t>
      </w:r>
      <w:r w:rsidRPr="005A284F">
        <w:rPr>
          <w:rFonts w:ascii="Times New Roman" w:hAnsi="Times New Roman" w:cs="Times New Roman"/>
          <w:sz w:val="18"/>
          <w:szCs w:val="18"/>
        </w:rPr>
        <w:t>”</w:t>
      </w:r>
      <w:r w:rsidRPr="005A284F">
        <w:rPr>
          <w:rFonts w:ascii="Times New Roman" w:hAnsi="Times New Roman" w:cs="Times New Roman"/>
          <w:sz w:val="18"/>
          <w:szCs w:val="18"/>
        </w:rPr>
        <w:t>文同意，公司</w:t>
      </w:r>
      <w:r w:rsidRPr="005A284F">
        <w:rPr>
          <w:rFonts w:ascii="Times New Roman" w:hAnsi="Times New Roman" w:cs="Times New Roman"/>
          <w:sz w:val="18"/>
          <w:szCs w:val="18"/>
        </w:rPr>
        <w:t>95,000.00</w:t>
      </w:r>
      <w:r w:rsidRPr="005A284F">
        <w:rPr>
          <w:rFonts w:ascii="Times New Roman" w:hAnsi="Times New Roman" w:cs="Times New Roman"/>
          <w:sz w:val="18"/>
          <w:szCs w:val="18"/>
        </w:rPr>
        <w:t>万元可转换公司债券于</w:t>
      </w:r>
      <w:r w:rsidRPr="005A284F">
        <w:rPr>
          <w:rFonts w:ascii="Times New Roman" w:hAnsi="Times New Roman" w:cs="Times New Roman"/>
          <w:sz w:val="18"/>
          <w:szCs w:val="18"/>
        </w:rPr>
        <w:t>2020</w:t>
      </w:r>
      <w:r w:rsidRPr="005A284F">
        <w:rPr>
          <w:rFonts w:ascii="Times New Roman" w:hAnsi="Times New Roman" w:cs="Times New Roman"/>
          <w:sz w:val="18"/>
          <w:szCs w:val="18"/>
        </w:rPr>
        <w:t>年</w:t>
      </w:r>
      <w:r w:rsidRPr="005A284F">
        <w:rPr>
          <w:rFonts w:ascii="Times New Roman" w:hAnsi="Times New Roman" w:cs="Times New Roman"/>
          <w:sz w:val="18"/>
          <w:szCs w:val="18"/>
        </w:rPr>
        <w:t>8</w:t>
      </w:r>
      <w:r w:rsidRPr="005A284F">
        <w:rPr>
          <w:rFonts w:ascii="Times New Roman" w:hAnsi="Times New Roman" w:cs="Times New Roman"/>
          <w:sz w:val="18"/>
          <w:szCs w:val="18"/>
        </w:rPr>
        <w:t>月</w:t>
      </w:r>
      <w:r w:rsidRPr="005A284F">
        <w:rPr>
          <w:rFonts w:ascii="Times New Roman" w:hAnsi="Times New Roman" w:cs="Times New Roman"/>
          <w:sz w:val="18"/>
          <w:szCs w:val="18"/>
        </w:rPr>
        <w:t>7</w:t>
      </w:r>
      <w:r w:rsidRPr="005A284F">
        <w:rPr>
          <w:rFonts w:ascii="Times New Roman" w:hAnsi="Times New Roman" w:cs="Times New Roman"/>
          <w:sz w:val="18"/>
          <w:szCs w:val="18"/>
        </w:rPr>
        <w:t>日起在深交所挂牌交易，债券简称</w:t>
      </w:r>
      <w:r w:rsidRPr="005A284F">
        <w:rPr>
          <w:rFonts w:ascii="Times New Roman" w:hAnsi="Times New Roman" w:cs="Times New Roman"/>
          <w:sz w:val="18"/>
          <w:szCs w:val="18"/>
        </w:rPr>
        <w:t>“</w:t>
      </w:r>
      <w:r w:rsidRPr="005A284F">
        <w:rPr>
          <w:rFonts w:ascii="Times New Roman" w:hAnsi="Times New Roman" w:cs="Times New Roman"/>
          <w:sz w:val="18"/>
          <w:szCs w:val="18"/>
        </w:rPr>
        <w:t>龙大转债</w:t>
      </w:r>
      <w:r w:rsidRPr="005A284F">
        <w:rPr>
          <w:rFonts w:ascii="Times New Roman" w:hAnsi="Times New Roman" w:cs="Times New Roman"/>
          <w:sz w:val="18"/>
          <w:szCs w:val="18"/>
        </w:rPr>
        <w:t>”</w:t>
      </w:r>
      <w:r w:rsidRPr="005A284F">
        <w:rPr>
          <w:rFonts w:ascii="Times New Roman" w:hAnsi="Times New Roman" w:cs="Times New Roman"/>
          <w:sz w:val="18"/>
          <w:szCs w:val="18"/>
        </w:rPr>
        <w:t>，债券代码</w:t>
      </w:r>
      <w:r w:rsidRPr="005A284F">
        <w:rPr>
          <w:rFonts w:ascii="Times New Roman" w:hAnsi="Times New Roman" w:cs="Times New Roman"/>
          <w:sz w:val="18"/>
          <w:szCs w:val="18"/>
        </w:rPr>
        <w:t>“128119.SZ”</w:t>
      </w:r>
      <w:r w:rsidRPr="005A284F">
        <w:rPr>
          <w:rFonts w:ascii="Times New Roman" w:hAnsi="Times New Roman" w:cs="Times New Roman"/>
          <w:sz w:val="18"/>
          <w:szCs w:val="18"/>
        </w:rPr>
        <w:t>。</w:t>
      </w:r>
    </w:p>
    <w:p w14:paraId="4D324747" w14:textId="77777777" w:rsidR="006C011D" w:rsidRPr="005A284F" w:rsidRDefault="00000000">
      <w:pPr>
        <w:pStyle w:val="3"/>
        <w:spacing w:line="280" w:lineRule="exact"/>
        <w:jc w:val="left"/>
        <w:rPr>
          <w:rFonts w:ascii="Times New Roman" w:hAnsi="Times New Roman" w:cs="Times New Roman"/>
          <w:b/>
          <w:bCs/>
        </w:rPr>
      </w:pPr>
      <w:bookmarkStart w:id="92" w:name="_Toc988981"/>
      <w:r w:rsidRPr="005A284F">
        <w:rPr>
          <w:rFonts w:ascii="Times New Roman" w:hAnsi="Times New Roman" w:cs="Times New Roman"/>
          <w:b/>
          <w:bCs/>
        </w:rPr>
        <w:t>2</w:t>
      </w:r>
      <w:r w:rsidRPr="005A284F">
        <w:rPr>
          <w:rFonts w:ascii="Times New Roman" w:hAnsi="Times New Roman" w:cs="Times New Roman"/>
          <w:b/>
          <w:bCs/>
        </w:rPr>
        <w:t>、报告期转债担保人及前十名持有人情况</w:t>
      </w:r>
      <w:bookmarkEnd w:id="92"/>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4A0" w:firstRow="1" w:lastRow="0" w:firstColumn="1" w:lastColumn="0" w:noHBand="0" w:noVBand="1"/>
      </w:tblPr>
      <w:tblGrid>
        <w:gridCol w:w="709"/>
        <w:gridCol w:w="2642"/>
        <w:gridCol w:w="1560"/>
        <w:gridCol w:w="1514"/>
        <w:gridCol w:w="1606"/>
        <w:gridCol w:w="1608"/>
      </w:tblGrid>
      <w:tr w:rsidR="006C011D" w:rsidRPr="005A284F" w14:paraId="46DE750E" w14:textId="77777777" w:rsidTr="00294815">
        <w:trPr>
          <w:trHeight w:val="240"/>
        </w:trPr>
        <w:tc>
          <w:tcPr>
            <w:tcW w:w="335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CE547F6"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可转换公司债券名称</w:t>
            </w:r>
          </w:p>
        </w:tc>
        <w:tc>
          <w:tcPr>
            <w:tcW w:w="6288" w:type="dxa"/>
            <w:gridSpan w:val="4"/>
            <w:tcBorders>
              <w:top w:val="single" w:sz="2" w:space="0" w:color="auto"/>
              <w:left w:val="single" w:sz="2" w:space="0" w:color="auto"/>
              <w:bottom w:val="single" w:sz="2" w:space="0" w:color="auto"/>
              <w:right w:val="single" w:sz="2" w:space="0" w:color="auto"/>
            </w:tcBorders>
            <w:vAlign w:val="center"/>
          </w:tcPr>
          <w:p w14:paraId="230661B0" w14:textId="77777777" w:rsidR="006C011D" w:rsidRPr="005A284F" w:rsidRDefault="00000000" w:rsidP="00294815">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龙大转债</w:t>
            </w:r>
          </w:p>
        </w:tc>
      </w:tr>
      <w:tr w:rsidR="006C011D" w:rsidRPr="005A284F" w14:paraId="737AD0D2" w14:textId="77777777" w:rsidTr="00294815">
        <w:trPr>
          <w:trHeight w:val="240"/>
        </w:trPr>
        <w:tc>
          <w:tcPr>
            <w:tcW w:w="335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F3D64F0"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期末转债持有人数</w:t>
            </w:r>
          </w:p>
        </w:tc>
        <w:tc>
          <w:tcPr>
            <w:tcW w:w="6288" w:type="dxa"/>
            <w:gridSpan w:val="4"/>
            <w:tcBorders>
              <w:top w:val="single" w:sz="2" w:space="0" w:color="auto"/>
              <w:left w:val="single" w:sz="2" w:space="0" w:color="auto"/>
              <w:bottom w:val="single" w:sz="2" w:space="0" w:color="auto"/>
              <w:right w:val="single" w:sz="2" w:space="0" w:color="auto"/>
            </w:tcBorders>
            <w:vAlign w:val="center"/>
          </w:tcPr>
          <w:p w14:paraId="515636A2" w14:textId="77777777" w:rsidR="006C011D" w:rsidRPr="005A284F" w:rsidRDefault="00000000" w:rsidP="00294815">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10,433</w:t>
            </w:r>
          </w:p>
        </w:tc>
      </w:tr>
      <w:tr w:rsidR="006C011D" w:rsidRPr="005A284F" w14:paraId="12940E21" w14:textId="77777777" w:rsidTr="00294815">
        <w:trPr>
          <w:trHeight w:val="240"/>
        </w:trPr>
        <w:tc>
          <w:tcPr>
            <w:tcW w:w="335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9A9FEAD"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本公司转债的担保人</w:t>
            </w:r>
          </w:p>
        </w:tc>
        <w:tc>
          <w:tcPr>
            <w:tcW w:w="6288" w:type="dxa"/>
            <w:gridSpan w:val="4"/>
            <w:tcBorders>
              <w:top w:val="single" w:sz="2" w:space="0" w:color="auto"/>
              <w:left w:val="single" w:sz="2" w:space="0" w:color="auto"/>
              <w:bottom w:val="single" w:sz="2" w:space="0" w:color="auto"/>
              <w:right w:val="single" w:sz="2" w:space="0" w:color="auto"/>
            </w:tcBorders>
            <w:vAlign w:val="center"/>
          </w:tcPr>
          <w:p w14:paraId="199C0C64" w14:textId="77777777" w:rsidR="006C011D" w:rsidRPr="005A284F" w:rsidRDefault="00000000" w:rsidP="00294815">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无</w:t>
            </w:r>
          </w:p>
        </w:tc>
      </w:tr>
      <w:tr w:rsidR="006C011D" w:rsidRPr="005A284F" w14:paraId="25521CE9" w14:textId="77777777" w:rsidTr="00294815">
        <w:trPr>
          <w:trHeight w:val="240"/>
        </w:trPr>
        <w:tc>
          <w:tcPr>
            <w:tcW w:w="335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4EECB7F"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担保人盈利能力、资产状况和信用状况重大变化情况</w:t>
            </w:r>
          </w:p>
        </w:tc>
        <w:tc>
          <w:tcPr>
            <w:tcW w:w="6288" w:type="dxa"/>
            <w:gridSpan w:val="4"/>
            <w:tcBorders>
              <w:top w:val="single" w:sz="2" w:space="0" w:color="auto"/>
              <w:left w:val="single" w:sz="2" w:space="0" w:color="auto"/>
              <w:bottom w:val="single" w:sz="2" w:space="0" w:color="auto"/>
              <w:right w:val="single" w:sz="2" w:space="0" w:color="auto"/>
            </w:tcBorders>
            <w:vAlign w:val="center"/>
          </w:tcPr>
          <w:p w14:paraId="6801BA39" w14:textId="77777777" w:rsidR="006C011D" w:rsidRPr="005A284F" w:rsidRDefault="00000000" w:rsidP="00294815">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不适用</w:t>
            </w:r>
          </w:p>
        </w:tc>
      </w:tr>
      <w:tr w:rsidR="006C011D" w:rsidRPr="005A284F" w14:paraId="617C44D0" w14:textId="77777777" w:rsidTr="00294815">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5A2BE851"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前十名转债持有人情况如下：</w:t>
            </w:r>
          </w:p>
        </w:tc>
      </w:tr>
      <w:tr w:rsidR="006C011D" w:rsidRPr="005A284F" w14:paraId="7CC4A1D0" w14:textId="77777777" w:rsidTr="00294815">
        <w:trPr>
          <w:trHeight w:val="240"/>
        </w:trPr>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7768D42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序号</w:t>
            </w:r>
          </w:p>
        </w:tc>
        <w:tc>
          <w:tcPr>
            <w:tcW w:w="2642" w:type="dxa"/>
            <w:tcBorders>
              <w:top w:val="single" w:sz="2" w:space="0" w:color="auto"/>
              <w:left w:val="single" w:sz="2" w:space="0" w:color="auto"/>
              <w:bottom w:val="single" w:sz="2" w:space="0" w:color="auto"/>
              <w:right w:val="single" w:sz="2" w:space="0" w:color="auto"/>
            </w:tcBorders>
            <w:shd w:val="clear" w:color="auto" w:fill="D3D3D3"/>
            <w:vAlign w:val="center"/>
          </w:tcPr>
          <w:p w14:paraId="0B9FA7E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可转债持有人名称</w:t>
            </w: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06F9D4C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可转债持有人性质</w:t>
            </w:r>
          </w:p>
        </w:tc>
        <w:tc>
          <w:tcPr>
            <w:tcW w:w="1514" w:type="dxa"/>
            <w:tcBorders>
              <w:top w:val="single" w:sz="2" w:space="0" w:color="auto"/>
              <w:left w:val="single" w:sz="2" w:space="0" w:color="auto"/>
              <w:bottom w:val="single" w:sz="2" w:space="0" w:color="auto"/>
              <w:right w:val="single" w:sz="2" w:space="0" w:color="auto"/>
            </w:tcBorders>
            <w:shd w:val="clear" w:color="auto" w:fill="D3D3D3"/>
            <w:vAlign w:val="center"/>
          </w:tcPr>
          <w:p w14:paraId="39650AD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报告期末持有可转债数量（张）</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45EDD6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报告期末持有可转债金额（元）</w:t>
            </w:r>
          </w:p>
        </w:tc>
        <w:tc>
          <w:tcPr>
            <w:tcW w:w="1608" w:type="dxa"/>
            <w:tcBorders>
              <w:top w:val="single" w:sz="2" w:space="0" w:color="auto"/>
              <w:left w:val="single" w:sz="2" w:space="0" w:color="auto"/>
              <w:bottom w:val="single" w:sz="2" w:space="0" w:color="auto"/>
              <w:right w:val="single" w:sz="2" w:space="0" w:color="auto"/>
            </w:tcBorders>
            <w:shd w:val="clear" w:color="auto" w:fill="D3D3D3"/>
            <w:vAlign w:val="center"/>
          </w:tcPr>
          <w:p w14:paraId="7660DB2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报告期末持有可转债占比</w:t>
            </w:r>
          </w:p>
        </w:tc>
      </w:tr>
      <w:tr w:rsidR="006C011D" w:rsidRPr="005A284F" w14:paraId="0FB0DC49" w14:textId="77777777" w:rsidTr="00294815">
        <w:trPr>
          <w:trHeight w:val="240"/>
        </w:trPr>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1E80946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1</w:t>
            </w:r>
          </w:p>
        </w:tc>
        <w:tc>
          <w:tcPr>
            <w:tcW w:w="2642" w:type="dxa"/>
            <w:tcBorders>
              <w:top w:val="single" w:sz="2" w:space="0" w:color="auto"/>
              <w:left w:val="single" w:sz="2" w:space="0" w:color="auto"/>
              <w:bottom w:val="single" w:sz="2" w:space="0" w:color="auto"/>
              <w:right w:val="single" w:sz="2" w:space="0" w:color="auto"/>
            </w:tcBorders>
            <w:vAlign w:val="center"/>
          </w:tcPr>
          <w:p w14:paraId="45C95C2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西北投资管理（香港）有限公司－西北飞龙基金有限公司</w:t>
            </w:r>
          </w:p>
        </w:tc>
        <w:tc>
          <w:tcPr>
            <w:tcW w:w="1560" w:type="dxa"/>
            <w:tcBorders>
              <w:top w:val="single" w:sz="2" w:space="0" w:color="auto"/>
              <w:left w:val="single" w:sz="2" w:space="0" w:color="auto"/>
              <w:bottom w:val="single" w:sz="2" w:space="0" w:color="auto"/>
              <w:right w:val="single" w:sz="2" w:space="0" w:color="auto"/>
            </w:tcBorders>
            <w:vAlign w:val="center"/>
          </w:tcPr>
          <w:p w14:paraId="58E0206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境外法人</w:t>
            </w:r>
          </w:p>
        </w:tc>
        <w:tc>
          <w:tcPr>
            <w:tcW w:w="1514" w:type="dxa"/>
            <w:tcBorders>
              <w:top w:val="single" w:sz="2" w:space="0" w:color="auto"/>
              <w:left w:val="single" w:sz="2" w:space="0" w:color="auto"/>
              <w:bottom w:val="single" w:sz="2" w:space="0" w:color="auto"/>
              <w:right w:val="single" w:sz="2" w:space="0" w:color="auto"/>
            </w:tcBorders>
            <w:vAlign w:val="center"/>
          </w:tcPr>
          <w:p w14:paraId="2946DA2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465,099</w:t>
            </w:r>
          </w:p>
        </w:tc>
        <w:tc>
          <w:tcPr>
            <w:tcW w:w="1606" w:type="dxa"/>
            <w:tcBorders>
              <w:top w:val="single" w:sz="2" w:space="0" w:color="auto"/>
              <w:left w:val="single" w:sz="2" w:space="0" w:color="auto"/>
              <w:bottom w:val="single" w:sz="2" w:space="0" w:color="auto"/>
              <w:right w:val="single" w:sz="2" w:space="0" w:color="auto"/>
            </w:tcBorders>
            <w:vAlign w:val="center"/>
          </w:tcPr>
          <w:p w14:paraId="1E2C6E8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46,509,900.00</w:t>
            </w:r>
          </w:p>
        </w:tc>
        <w:tc>
          <w:tcPr>
            <w:tcW w:w="1608" w:type="dxa"/>
            <w:tcBorders>
              <w:top w:val="single" w:sz="2" w:space="0" w:color="auto"/>
              <w:left w:val="single" w:sz="2" w:space="0" w:color="auto"/>
              <w:bottom w:val="single" w:sz="2" w:space="0" w:color="auto"/>
              <w:right w:val="single" w:sz="2" w:space="0" w:color="auto"/>
            </w:tcBorders>
            <w:vAlign w:val="center"/>
          </w:tcPr>
          <w:p w14:paraId="2999E34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4.92%</w:t>
            </w:r>
          </w:p>
        </w:tc>
      </w:tr>
      <w:tr w:rsidR="006C011D" w:rsidRPr="005A284F" w14:paraId="289E6EC8" w14:textId="77777777" w:rsidTr="00294815">
        <w:trPr>
          <w:trHeight w:val="240"/>
        </w:trPr>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0EFF868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w:t>
            </w:r>
          </w:p>
        </w:tc>
        <w:tc>
          <w:tcPr>
            <w:tcW w:w="2642" w:type="dxa"/>
            <w:tcBorders>
              <w:top w:val="single" w:sz="2" w:space="0" w:color="auto"/>
              <w:left w:val="single" w:sz="2" w:space="0" w:color="auto"/>
              <w:bottom w:val="single" w:sz="2" w:space="0" w:color="auto"/>
              <w:right w:val="single" w:sz="2" w:space="0" w:color="auto"/>
            </w:tcBorders>
            <w:vAlign w:val="center"/>
          </w:tcPr>
          <w:p w14:paraId="7BD9CB9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中国工商银行股份有限公司－中欧可转债债券型证券投资基金</w:t>
            </w:r>
          </w:p>
        </w:tc>
        <w:tc>
          <w:tcPr>
            <w:tcW w:w="1560" w:type="dxa"/>
            <w:tcBorders>
              <w:top w:val="single" w:sz="2" w:space="0" w:color="auto"/>
              <w:left w:val="single" w:sz="2" w:space="0" w:color="auto"/>
              <w:bottom w:val="single" w:sz="2" w:space="0" w:color="auto"/>
              <w:right w:val="single" w:sz="2" w:space="0" w:color="auto"/>
            </w:tcBorders>
            <w:vAlign w:val="center"/>
          </w:tcPr>
          <w:p w14:paraId="6D64C0D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境内非国有法人</w:t>
            </w:r>
          </w:p>
        </w:tc>
        <w:tc>
          <w:tcPr>
            <w:tcW w:w="1514" w:type="dxa"/>
            <w:tcBorders>
              <w:top w:val="single" w:sz="2" w:space="0" w:color="auto"/>
              <w:left w:val="single" w:sz="2" w:space="0" w:color="auto"/>
              <w:bottom w:val="single" w:sz="2" w:space="0" w:color="auto"/>
              <w:right w:val="single" w:sz="2" w:space="0" w:color="auto"/>
            </w:tcBorders>
            <w:vAlign w:val="center"/>
          </w:tcPr>
          <w:p w14:paraId="4D47CA1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426,095</w:t>
            </w:r>
          </w:p>
        </w:tc>
        <w:tc>
          <w:tcPr>
            <w:tcW w:w="1606" w:type="dxa"/>
            <w:tcBorders>
              <w:top w:val="single" w:sz="2" w:space="0" w:color="auto"/>
              <w:left w:val="single" w:sz="2" w:space="0" w:color="auto"/>
              <w:bottom w:val="single" w:sz="2" w:space="0" w:color="auto"/>
              <w:right w:val="single" w:sz="2" w:space="0" w:color="auto"/>
            </w:tcBorders>
            <w:vAlign w:val="center"/>
          </w:tcPr>
          <w:p w14:paraId="5621565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42,609,500.00</w:t>
            </w:r>
          </w:p>
        </w:tc>
        <w:tc>
          <w:tcPr>
            <w:tcW w:w="1608" w:type="dxa"/>
            <w:tcBorders>
              <w:top w:val="single" w:sz="2" w:space="0" w:color="auto"/>
              <w:left w:val="single" w:sz="2" w:space="0" w:color="auto"/>
              <w:bottom w:val="single" w:sz="2" w:space="0" w:color="auto"/>
              <w:right w:val="single" w:sz="2" w:space="0" w:color="auto"/>
            </w:tcBorders>
            <w:vAlign w:val="center"/>
          </w:tcPr>
          <w:p w14:paraId="57F9E3A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4.50%</w:t>
            </w:r>
          </w:p>
        </w:tc>
      </w:tr>
      <w:tr w:rsidR="006C011D" w:rsidRPr="005A284F" w14:paraId="39D36DE9" w14:textId="77777777" w:rsidTr="00294815">
        <w:trPr>
          <w:trHeight w:val="240"/>
        </w:trPr>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610CB99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3</w:t>
            </w:r>
          </w:p>
        </w:tc>
        <w:tc>
          <w:tcPr>
            <w:tcW w:w="2642" w:type="dxa"/>
            <w:tcBorders>
              <w:top w:val="single" w:sz="2" w:space="0" w:color="auto"/>
              <w:left w:val="single" w:sz="2" w:space="0" w:color="auto"/>
              <w:bottom w:val="single" w:sz="2" w:space="0" w:color="auto"/>
              <w:right w:val="single" w:sz="2" w:space="0" w:color="auto"/>
            </w:tcBorders>
            <w:vAlign w:val="center"/>
          </w:tcPr>
          <w:p w14:paraId="40387B8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钟宝申</w:t>
            </w:r>
          </w:p>
        </w:tc>
        <w:tc>
          <w:tcPr>
            <w:tcW w:w="1560" w:type="dxa"/>
            <w:tcBorders>
              <w:top w:val="single" w:sz="2" w:space="0" w:color="auto"/>
              <w:left w:val="single" w:sz="2" w:space="0" w:color="auto"/>
              <w:bottom w:val="single" w:sz="2" w:space="0" w:color="auto"/>
              <w:right w:val="single" w:sz="2" w:space="0" w:color="auto"/>
            </w:tcBorders>
            <w:vAlign w:val="center"/>
          </w:tcPr>
          <w:p w14:paraId="51E86B5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境内自然人</w:t>
            </w:r>
          </w:p>
        </w:tc>
        <w:tc>
          <w:tcPr>
            <w:tcW w:w="1514" w:type="dxa"/>
            <w:tcBorders>
              <w:top w:val="single" w:sz="2" w:space="0" w:color="auto"/>
              <w:left w:val="single" w:sz="2" w:space="0" w:color="auto"/>
              <w:bottom w:val="single" w:sz="2" w:space="0" w:color="auto"/>
              <w:right w:val="single" w:sz="2" w:space="0" w:color="auto"/>
            </w:tcBorders>
            <w:vAlign w:val="center"/>
          </w:tcPr>
          <w:p w14:paraId="5C6B05B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416,853</w:t>
            </w:r>
          </w:p>
        </w:tc>
        <w:tc>
          <w:tcPr>
            <w:tcW w:w="1606" w:type="dxa"/>
            <w:tcBorders>
              <w:top w:val="single" w:sz="2" w:space="0" w:color="auto"/>
              <w:left w:val="single" w:sz="2" w:space="0" w:color="auto"/>
              <w:bottom w:val="single" w:sz="2" w:space="0" w:color="auto"/>
              <w:right w:val="single" w:sz="2" w:space="0" w:color="auto"/>
            </w:tcBorders>
            <w:vAlign w:val="center"/>
          </w:tcPr>
          <w:p w14:paraId="10C7ACF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41,685,300.00</w:t>
            </w:r>
          </w:p>
        </w:tc>
        <w:tc>
          <w:tcPr>
            <w:tcW w:w="1608" w:type="dxa"/>
            <w:tcBorders>
              <w:top w:val="single" w:sz="2" w:space="0" w:color="auto"/>
              <w:left w:val="single" w:sz="2" w:space="0" w:color="auto"/>
              <w:bottom w:val="single" w:sz="2" w:space="0" w:color="auto"/>
              <w:right w:val="single" w:sz="2" w:space="0" w:color="auto"/>
            </w:tcBorders>
            <w:vAlign w:val="center"/>
          </w:tcPr>
          <w:p w14:paraId="5742D43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4.41%</w:t>
            </w:r>
          </w:p>
        </w:tc>
      </w:tr>
      <w:tr w:rsidR="006C011D" w:rsidRPr="005A284F" w14:paraId="0ECD791D" w14:textId="77777777" w:rsidTr="00294815">
        <w:trPr>
          <w:trHeight w:val="240"/>
        </w:trPr>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7F2C651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4</w:t>
            </w:r>
          </w:p>
        </w:tc>
        <w:tc>
          <w:tcPr>
            <w:tcW w:w="2642" w:type="dxa"/>
            <w:tcBorders>
              <w:top w:val="single" w:sz="2" w:space="0" w:color="auto"/>
              <w:left w:val="single" w:sz="2" w:space="0" w:color="auto"/>
              <w:bottom w:val="single" w:sz="2" w:space="0" w:color="auto"/>
              <w:right w:val="single" w:sz="2" w:space="0" w:color="auto"/>
            </w:tcBorders>
            <w:vAlign w:val="center"/>
          </w:tcPr>
          <w:p w14:paraId="6530628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招商银行股份有限公司－博时中证可转债及可交换债券交易型开放式指数证券投资基金</w:t>
            </w:r>
          </w:p>
        </w:tc>
        <w:tc>
          <w:tcPr>
            <w:tcW w:w="1560" w:type="dxa"/>
            <w:tcBorders>
              <w:top w:val="single" w:sz="2" w:space="0" w:color="auto"/>
              <w:left w:val="single" w:sz="2" w:space="0" w:color="auto"/>
              <w:bottom w:val="single" w:sz="2" w:space="0" w:color="auto"/>
              <w:right w:val="single" w:sz="2" w:space="0" w:color="auto"/>
            </w:tcBorders>
            <w:vAlign w:val="center"/>
          </w:tcPr>
          <w:p w14:paraId="0C40B01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境内非国有法人</w:t>
            </w:r>
          </w:p>
        </w:tc>
        <w:tc>
          <w:tcPr>
            <w:tcW w:w="1514" w:type="dxa"/>
            <w:tcBorders>
              <w:top w:val="single" w:sz="2" w:space="0" w:color="auto"/>
              <w:left w:val="single" w:sz="2" w:space="0" w:color="auto"/>
              <w:bottom w:val="single" w:sz="2" w:space="0" w:color="auto"/>
              <w:right w:val="single" w:sz="2" w:space="0" w:color="auto"/>
            </w:tcBorders>
            <w:vAlign w:val="center"/>
          </w:tcPr>
          <w:p w14:paraId="28AFE3B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409,953</w:t>
            </w:r>
          </w:p>
        </w:tc>
        <w:tc>
          <w:tcPr>
            <w:tcW w:w="1606" w:type="dxa"/>
            <w:tcBorders>
              <w:top w:val="single" w:sz="2" w:space="0" w:color="auto"/>
              <w:left w:val="single" w:sz="2" w:space="0" w:color="auto"/>
              <w:bottom w:val="single" w:sz="2" w:space="0" w:color="auto"/>
              <w:right w:val="single" w:sz="2" w:space="0" w:color="auto"/>
            </w:tcBorders>
            <w:vAlign w:val="center"/>
          </w:tcPr>
          <w:p w14:paraId="7EBF549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40,995,300.00</w:t>
            </w:r>
          </w:p>
        </w:tc>
        <w:tc>
          <w:tcPr>
            <w:tcW w:w="1608" w:type="dxa"/>
            <w:tcBorders>
              <w:top w:val="single" w:sz="2" w:space="0" w:color="auto"/>
              <w:left w:val="single" w:sz="2" w:space="0" w:color="auto"/>
              <w:bottom w:val="single" w:sz="2" w:space="0" w:color="auto"/>
              <w:right w:val="single" w:sz="2" w:space="0" w:color="auto"/>
            </w:tcBorders>
            <w:vAlign w:val="center"/>
          </w:tcPr>
          <w:p w14:paraId="0D1C394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4.33%</w:t>
            </w:r>
          </w:p>
        </w:tc>
      </w:tr>
      <w:tr w:rsidR="006C011D" w:rsidRPr="005A284F" w14:paraId="007EAC77" w14:textId="77777777" w:rsidTr="00294815">
        <w:trPr>
          <w:trHeight w:val="240"/>
        </w:trPr>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7BAC02B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5</w:t>
            </w:r>
          </w:p>
        </w:tc>
        <w:tc>
          <w:tcPr>
            <w:tcW w:w="2642" w:type="dxa"/>
            <w:tcBorders>
              <w:top w:val="single" w:sz="2" w:space="0" w:color="auto"/>
              <w:left w:val="single" w:sz="2" w:space="0" w:color="auto"/>
              <w:bottom w:val="single" w:sz="2" w:space="0" w:color="auto"/>
              <w:right w:val="single" w:sz="2" w:space="0" w:color="auto"/>
            </w:tcBorders>
            <w:vAlign w:val="center"/>
          </w:tcPr>
          <w:p w14:paraId="10F1BEC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大成国际资产管理有限公司－大</w:t>
            </w:r>
            <w:r w:rsidRPr="005A284F">
              <w:rPr>
                <w:rFonts w:ascii="Times New Roman" w:eastAsia="宋体" w:hAnsi="Times New Roman" w:cs="Times New Roman"/>
                <w:sz w:val="18"/>
                <w:szCs w:val="18"/>
              </w:rPr>
              <w:lastRenderedPageBreak/>
              <w:t>成中国灵活配置基金</w:t>
            </w:r>
          </w:p>
        </w:tc>
        <w:tc>
          <w:tcPr>
            <w:tcW w:w="1560" w:type="dxa"/>
            <w:tcBorders>
              <w:top w:val="single" w:sz="2" w:space="0" w:color="auto"/>
              <w:left w:val="single" w:sz="2" w:space="0" w:color="auto"/>
              <w:bottom w:val="single" w:sz="2" w:space="0" w:color="auto"/>
              <w:right w:val="single" w:sz="2" w:space="0" w:color="auto"/>
            </w:tcBorders>
            <w:vAlign w:val="center"/>
          </w:tcPr>
          <w:p w14:paraId="253112C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境外法人</w:t>
            </w:r>
          </w:p>
        </w:tc>
        <w:tc>
          <w:tcPr>
            <w:tcW w:w="1514" w:type="dxa"/>
            <w:tcBorders>
              <w:top w:val="single" w:sz="2" w:space="0" w:color="auto"/>
              <w:left w:val="single" w:sz="2" w:space="0" w:color="auto"/>
              <w:bottom w:val="single" w:sz="2" w:space="0" w:color="auto"/>
              <w:right w:val="single" w:sz="2" w:space="0" w:color="auto"/>
            </w:tcBorders>
            <w:vAlign w:val="center"/>
          </w:tcPr>
          <w:p w14:paraId="66AAAD3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364,320</w:t>
            </w:r>
          </w:p>
        </w:tc>
        <w:tc>
          <w:tcPr>
            <w:tcW w:w="1606" w:type="dxa"/>
            <w:tcBorders>
              <w:top w:val="single" w:sz="2" w:space="0" w:color="auto"/>
              <w:left w:val="single" w:sz="2" w:space="0" w:color="auto"/>
              <w:bottom w:val="single" w:sz="2" w:space="0" w:color="auto"/>
              <w:right w:val="single" w:sz="2" w:space="0" w:color="auto"/>
            </w:tcBorders>
            <w:vAlign w:val="center"/>
          </w:tcPr>
          <w:p w14:paraId="3CC31A8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36,432,000.00</w:t>
            </w:r>
          </w:p>
        </w:tc>
        <w:tc>
          <w:tcPr>
            <w:tcW w:w="1608" w:type="dxa"/>
            <w:tcBorders>
              <w:top w:val="single" w:sz="2" w:space="0" w:color="auto"/>
              <w:left w:val="single" w:sz="2" w:space="0" w:color="auto"/>
              <w:bottom w:val="single" w:sz="2" w:space="0" w:color="auto"/>
              <w:right w:val="single" w:sz="2" w:space="0" w:color="auto"/>
            </w:tcBorders>
            <w:vAlign w:val="center"/>
          </w:tcPr>
          <w:p w14:paraId="23DD6BD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3.85%</w:t>
            </w:r>
          </w:p>
        </w:tc>
      </w:tr>
      <w:tr w:rsidR="006C011D" w:rsidRPr="005A284F" w14:paraId="05883696" w14:textId="77777777" w:rsidTr="00294815">
        <w:trPr>
          <w:trHeight w:val="240"/>
        </w:trPr>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16AAFBC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6</w:t>
            </w:r>
          </w:p>
        </w:tc>
        <w:tc>
          <w:tcPr>
            <w:tcW w:w="2642" w:type="dxa"/>
            <w:tcBorders>
              <w:top w:val="single" w:sz="2" w:space="0" w:color="auto"/>
              <w:left w:val="single" w:sz="2" w:space="0" w:color="auto"/>
              <w:bottom w:val="single" w:sz="2" w:space="0" w:color="auto"/>
              <w:right w:val="single" w:sz="2" w:space="0" w:color="auto"/>
            </w:tcBorders>
            <w:vAlign w:val="center"/>
          </w:tcPr>
          <w:p w14:paraId="388A54D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上海睿郡资产管理有限公司－睿郡昕享私募证券投资基金</w:t>
            </w:r>
          </w:p>
        </w:tc>
        <w:tc>
          <w:tcPr>
            <w:tcW w:w="1560" w:type="dxa"/>
            <w:tcBorders>
              <w:top w:val="single" w:sz="2" w:space="0" w:color="auto"/>
              <w:left w:val="single" w:sz="2" w:space="0" w:color="auto"/>
              <w:bottom w:val="single" w:sz="2" w:space="0" w:color="auto"/>
              <w:right w:val="single" w:sz="2" w:space="0" w:color="auto"/>
            </w:tcBorders>
            <w:vAlign w:val="center"/>
          </w:tcPr>
          <w:p w14:paraId="2DE4B28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境内非国有法人</w:t>
            </w:r>
          </w:p>
        </w:tc>
        <w:tc>
          <w:tcPr>
            <w:tcW w:w="1514" w:type="dxa"/>
            <w:tcBorders>
              <w:top w:val="single" w:sz="2" w:space="0" w:color="auto"/>
              <w:left w:val="single" w:sz="2" w:space="0" w:color="auto"/>
              <w:bottom w:val="single" w:sz="2" w:space="0" w:color="auto"/>
              <w:right w:val="single" w:sz="2" w:space="0" w:color="auto"/>
            </w:tcBorders>
            <w:vAlign w:val="center"/>
          </w:tcPr>
          <w:p w14:paraId="39A0AF1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333,551</w:t>
            </w:r>
          </w:p>
        </w:tc>
        <w:tc>
          <w:tcPr>
            <w:tcW w:w="1606" w:type="dxa"/>
            <w:tcBorders>
              <w:top w:val="single" w:sz="2" w:space="0" w:color="auto"/>
              <w:left w:val="single" w:sz="2" w:space="0" w:color="auto"/>
              <w:bottom w:val="single" w:sz="2" w:space="0" w:color="auto"/>
              <w:right w:val="single" w:sz="2" w:space="0" w:color="auto"/>
            </w:tcBorders>
            <w:vAlign w:val="center"/>
          </w:tcPr>
          <w:p w14:paraId="646AEAD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33,355,100.00</w:t>
            </w:r>
          </w:p>
        </w:tc>
        <w:tc>
          <w:tcPr>
            <w:tcW w:w="1608" w:type="dxa"/>
            <w:tcBorders>
              <w:top w:val="single" w:sz="2" w:space="0" w:color="auto"/>
              <w:left w:val="single" w:sz="2" w:space="0" w:color="auto"/>
              <w:bottom w:val="single" w:sz="2" w:space="0" w:color="auto"/>
              <w:right w:val="single" w:sz="2" w:space="0" w:color="auto"/>
            </w:tcBorders>
            <w:vAlign w:val="center"/>
          </w:tcPr>
          <w:p w14:paraId="74C004E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3.53%</w:t>
            </w:r>
          </w:p>
        </w:tc>
      </w:tr>
      <w:tr w:rsidR="006C011D" w:rsidRPr="005A284F" w14:paraId="02F1D26A" w14:textId="77777777" w:rsidTr="00294815">
        <w:trPr>
          <w:trHeight w:val="240"/>
        </w:trPr>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55A2BBE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7</w:t>
            </w:r>
          </w:p>
        </w:tc>
        <w:tc>
          <w:tcPr>
            <w:tcW w:w="2642" w:type="dxa"/>
            <w:tcBorders>
              <w:top w:val="single" w:sz="2" w:space="0" w:color="auto"/>
              <w:left w:val="single" w:sz="2" w:space="0" w:color="auto"/>
              <w:bottom w:val="single" w:sz="2" w:space="0" w:color="auto"/>
              <w:right w:val="single" w:sz="2" w:space="0" w:color="auto"/>
            </w:tcBorders>
            <w:vAlign w:val="center"/>
          </w:tcPr>
          <w:p w14:paraId="5F10967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中信银行股份有限公司－华夏鼎利债券型发起式证券投资基金</w:t>
            </w:r>
          </w:p>
        </w:tc>
        <w:tc>
          <w:tcPr>
            <w:tcW w:w="1560" w:type="dxa"/>
            <w:tcBorders>
              <w:top w:val="single" w:sz="2" w:space="0" w:color="auto"/>
              <w:left w:val="single" w:sz="2" w:space="0" w:color="auto"/>
              <w:bottom w:val="single" w:sz="2" w:space="0" w:color="auto"/>
              <w:right w:val="single" w:sz="2" w:space="0" w:color="auto"/>
            </w:tcBorders>
            <w:vAlign w:val="center"/>
          </w:tcPr>
          <w:p w14:paraId="1A6845F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境内非国有法人</w:t>
            </w:r>
          </w:p>
        </w:tc>
        <w:tc>
          <w:tcPr>
            <w:tcW w:w="1514" w:type="dxa"/>
            <w:tcBorders>
              <w:top w:val="single" w:sz="2" w:space="0" w:color="auto"/>
              <w:left w:val="single" w:sz="2" w:space="0" w:color="auto"/>
              <w:bottom w:val="single" w:sz="2" w:space="0" w:color="auto"/>
              <w:right w:val="single" w:sz="2" w:space="0" w:color="auto"/>
            </w:tcBorders>
            <w:vAlign w:val="center"/>
          </w:tcPr>
          <w:p w14:paraId="2D51EC0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234,415</w:t>
            </w:r>
          </w:p>
        </w:tc>
        <w:tc>
          <w:tcPr>
            <w:tcW w:w="1606" w:type="dxa"/>
            <w:tcBorders>
              <w:top w:val="single" w:sz="2" w:space="0" w:color="auto"/>
              <w:left w:val="single" w:sz="2" w:space="0" w:color="auto"/>
              <w:bottom w:val="single" w:sz="2" w:space="0" w:color="auto"/>
              <w:right w:val="single" w:sz="2" w:space="0" w:color="auto"/>
            </w:tcBorders>
            <w:vAlign w:val="center"/>
          </w:tcPr>
          <w:p w14:paraId="3AD9933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23,441,500.00</w:t>
            </w:r>
          </w:p>
        </w:tc>
        <w:tc>
          <w:tcPr>
            <w:tcW w:w="1608" w:type="dxa"/>
            <w:tcBorders>
              <w:top w:val="single" w:sz="2" w:space="0" w:color="auto"/>
              <w:left w:val="single" w:sz="2" w:space="0" w:color="auto"/>
              <w:bottom w:val="single" w:sz="2" w:space="0" w:color="auto"/>
              <w:right w:val="single" w:sz="2" w:space="0" w:color="auto"/>
            </w:tcBorders>
            <w:vAlign w:val="center"/>
          </w:tcPr>
          <w:p w14:paraId="47F0FB9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2.48%</w:t>
            </w:r>
          </w:p>
        </w:tc>
      </w:tr>
      <w:tr w:rsidR="006C011D" w:rsidRPr="005A284F" w14:paraId="446934C7" w14:textId="77777777" w:rsidTr="00294815">
        <w:trPr>
          <w:trHeight w:val="240"/>
        </w:trPr>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1221E33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8</w:t>
            </w:r>
          </w:p>
        </w:tc>
        <w:tc>
          <w:tcPr>
            <w:tcW w:w="2642" w:type="dxa"/>
            <w:tcBorders>
              <w:top w:val="single" w:sz="2" w:space="0" w:color="auto"/>
              <w:left w:val="single" w:sz="2" w:space="0" w:color="auto"/>
              <w:bottom w:val="single" w:sz="2" w:space="0" w:color="auto"/>
              <w:right w:val="single" w:sz="2" w:space="0" w:color="auto"/>
            </w:tcBorders>
            <w:vAlign w:val="center"/>
          </w:tcPr>
          <w:p w14:paraId="391632A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中信银行股份有限公司－信澳信用债债券型证券投资基金</w:t>
            </w:r>
          </w:p>
        </w:tc>
        <w:tc>
          <w:tcPr>
            <w:tcW w:w="1560" w:type="dxa"/>
            <w:tcBorders>
              <w:top w:val="single" w:sz="2" w:space="0" w:color="auto"/>
              <w:left w:val="single" w:sz="2" w:space="0" w:color="auto"/>
              <w:bottom w:val="single" w:sz="2" w:space="0" w:color="auto"/>
              <w:right w:val="single" w:sz="2" w:space="0" w:color="auto"/>
            </w:tcBorders>
            <w:vAlign w:val="center"/>
          </w:tcPr>
          <w:p w14:paraId="23A2560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境内非国有法人</w:t>
            </w:r>
          </w:p>
        </w:tc>
        <w:tc>
          <w:tcPr>
            <w:tcW w:w="1514" w:type="dxa"/>
            <w:tcBorders>
              <w:top w:val="single" w:sz="2" w:space="0" w:color="auto"/>
              <w:left w:val="single" w:sz="2" w:space="0" w:color="auto"/>
              <w:bottom w:val="single" w:sz="2" w:space="0" w:color="auto"/>
              <w:right w:val="single" w:sz="2" w:space="0" w:color="auto"/>
            </w:tcBorders>
            <w:vAlign w:val="center"/>
          </w:tcPr>
          <w:p w14:paraId="25CB6C8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176,660</w:t>
            </w:r>
          </w:p>
        </w:tc>
        <w:tc>
          <w:tcPr>
            <w:tcW w:w="1606" w:type="dxa"/>
            <w:tcBorders>
              <w:top w:val="single" w:sz="2" w:space="0" w:color="auto"/>
              <w:left w:val="single" w:sz="2" w:space="0" w:color="auto"/>
              <w:bottom w:val="single" w:sz="2" w:space="0" w:color="auto"/>
              <w:right w:val="single" w:sz="2" w:space="0" w:color="auto"/>
            </w:tcBorders>
            <w:vAlign w:val="center"/>
          </w:tcPr>
          <w:p w14:paraId="080FB8B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17,666,000.00</w:t>
            </w:r>
          </w:p>
        </w:tc>
        <w:tc>
          <w:tcPr>
            <w:tcW w:w="1608" w:type="dxa"/>
            <w:tcBorders>
              <w:top w:val="single" w:sz="2" w:space="0" w:color="auto"/>
              <w:left w:val="single" w:sz="2" w:space="0" w:color="auto"/>
              <w:bottom w:val="single" w:sz="2" w:space="0" w:color="auto"/>
              <w:right w:val="single" w:sz="2" w:space="0" w:color="auto"/>
            </w:tcBorders>
            <w:vAlign w:val="center"/>
          </w:tcPr>
          <w:p w14:paraId="5E2ECC8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1.87%</w:t>
            </w:r>
          </w:p>
        </w:tc>
      </w:tr>
      <w:tr w:rsidR="006C011D" w:rsidRPr="005A284F" w14:paraId="4ED60DF2" w14:textId="77777777" w:rsidTr="00294815">
        <w:trPr>
          <w:trHeight w:val="240"/>
        </w:trPr>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131A990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9</w:t>
            </w:r>
          </w:p>
        </w:tc>
        <w:tc>
          <w:tcPr>
            <w:tcW w:w="2642" w:type="dxa"/>
            <w:tcBorders>
              <w:top w:val="single" w:sz="2" w:space="0" w:color="auto"/>
              <w:left w:val="single" w:sz="2" w:space="0" w:color="auto"/>
              <w:bottom w:val="single" w:sz="2" w:space="0" w:color="auto"/>
              <w:right w:val="single" w:sz="2" w:space="0" w:color="auto"/>
            </w:tcBorders>
            <w:vAlign w:val="center"/>
          </w:tcPr>
          <w:p w14:paraId="7E6E4AA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中国银行股份有限公司－易方达稳健收益债券型证券投资基金</w:t>
            </w:r>
          </w:p>
        </w:tc>
        <w:tc>
          <w:tcPr>
            <w:tcW w:w="1560" w:type="dxa"/>
            <w:tcBorders>
              <w:top w:val="single" w:sz="2" w:space="0" w:color="auto"/>
              <w:left w:val="single" w:sz="2" w:space="0" w:color="auto"/>
              <w:bottom w:val="single" w:sz="2" w:space="0" w:color="auto"/>
              <w:right w:val="single" w:sz="2" w:space="0" w:color="auto"/>
            </w:tcBorders>
            <w:vAlign w:val="center"/>
          </w:tcPr>
          <w:p w14:paraId="68320A8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境内非国有法人</w:t>
            </w:r>
          </w:p>
        </w:tc>
        <w:tc>
          <w:tcPr>
            <w:tcW w:w="1514" w:type="dxa"/>
            <w:tcBorders>
              <w:top w:val="single" w:sz="2" w:space="0" w:color="auto"/>
              <w:left w:val="single" w:sz="2" w:space="0" w:color="auto"/>
              <w:bottom w:val="single" w:sz="2" w:space="0" w:color="auto"/>
              <w:right w:val="single" w:sz="2" w:space="0" w:color="auto"/>
            </w:tcBorders>
            <w:vAlign w:val="center"/>
          </w:tcPr>
          <w:p w14:paraId="62CBE46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147,260</w:t>
            </w:r>
          </w:p>
        </w:tc>
        <w:tc>
          <w:tcPr>
            <w:tcW w:w="1606" w:type="dxa"/>
            <w:tcBorders>
              <w:top w:val="single" w:sz="2" w:space="0" w:color="auto"/>
              <w:left w:val="single" w:sz="2" w:space="0" w:color="auto"/>
              <w:bottom w:val="single" w:sz="2" w:space="0" w:color="auto"/>
              <w:right w:val="single" w:sz="2" w:space="0" w:color="auto"/>
            </w:tcBorders>
            <w:vAlign w:val="center"/>
          </w:tcPr>
          <w:p w14:paraId="4305C55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14,726,000.00</w:t>
            </w:r>
          </w:p>
        </w:tc>
        <w:tc>
          <w:tcPr>
            <w:tcW w:w="1608" w:type="dxa"/>
            <w:tcBorders>
              <w:top w:val="single" w:sz="2" w:space="0" w:color="auto"/>
              <w:left w:val="single" w:sz="2" w:space="0" w:color="auto"/>
              <w:bottom w:val="single" w:sz="2" w:space="0" w:color="auto"/>
              <w:right w:val="single" w:sz="2" w:space="0" w:color="auto"/>
            </w:tcBorders>
            <w:vAlign w:val="center"/>
          </w:tcPr>
          <w:p w14:paraId="4F71765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1.56%</w:t>
            </w:r>
          </w:p>
        </w:tc>
      </w:tr>
      <w:tr w:rsidR="006C011D" w:rsidRPr="005A284F" w14:paraId="20AFE440" w14:textId="77777777" w:rsidTr="00294815">
        <w:trPr>
          <w:trHeight w:val="240"/>
        </w:trPr>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04E1E00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10</w:t>
            </w:r>
          </w:p>
        </w:tc>
        <w:tc>
          <w:tcPr>
            <w:tcW w:w="2642" w:type="dxa"/>
            <w:tcBorders>
              <w:top w:val="single" w:sz="2" w:space="0" w:color="auto"/>
              <w:left w:val="single" w:sz="2" w:space="0" w:color="auto"/>
              <w:bottom w:val="single" w:sz="2" w:space="0" w:color="auto"/>
              <w:right w:val="single" w:sz="2" w:space="0" w:color="auto"/>
            </w:tcBorders>
            <w:vAlign w:val="center"/>
          </w:tcPr>
          <w:p w14:paraId="685CEBB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广发银行股份有限公司－中欧增强回报债券型证券投资基金</w:t>
            </w:r>
          </w:p>
        </w:tc>
        <w:tc>
          <w:tcPr>
            <w:tcW w:w="1560" w:type="dxa"/>
            <w:tcBorders>
              <w:top w:val="single" w:sz="2" w:space="0" w:color="auto"/>
              <w:left w:val="single" w:sz="2" w:space="0" w:color="auto"/>
              <w:bottom w:val="single" w:sz="2" w:space="0" w:color="auto"/>
              <w:right w:val="single" w:sz="2" w:space="0" w:color="auto"/>
            </w:tcBorders>
            <w:vAlign w:val="center"/>
          </w:tcPr>
          <w:p w14:paraId="4FCCF1D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境内非国有法人</w:t>
            </w:r>
          </w:p>
        </w:tc>
        <w:tc>
          <w:tcPr>
            <w:tcW w:w="1514" w:type="dxa"/>
            <w:tcBorders>
              <w:top w:val="single" w:sz="2" w:space="0" w:color="auto"/>
              <w:left w:val="single" w:sz="2" w:space="0" w:color="auto"/>
              <w:bottom w:val="single" w:sz="2" w:space="0" w:color="auto"/>
              <w:right w:val="single" w:sz="2" w:space="0" w:color="auto"/>
            </w:tcBorders>
            <w:vAlign w:val="center"/>
          </w:tcPr>
          <w:p w14:paraId="04670E8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120,351</w:t>
            </w:r>
          </w:p>
        </w:tc>
        <w:tc>
          <w:tcPr>
            <w:tcW w:w="1606" w:type="dxa"/>
            <w:tcBorders>
              <w:top w:val="single" w:sz="2" w:space="0" w:color="auto"/>
              <w:left w:val="single" w:sz="2" w:space="0" w:color="auto"/>
              <w:bottom w:val="single" w:sz="2" w:space="0" w:color="auto"/>
              <w:right w:val="single" w:sz="2" w:space="0" w:color="auto"/>
            </w:tcBorders>
            <w:vAlign w:val="center"/>
          </w:tcPr>
          <w:p w14:paraId="00A49B0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12,035,100.00</w:t>
            </w:r>
          </w:p>
        </w:tc>
        <w:tc>
          <w:tcPr>
            <w:tcW w:w="1608" w:type="dxa"/>
            <w:tcBorders>
              <w:top w:val="single" w:sz="2" w:space="0" w:color="auto"/>
              <w:left w:val="single" w:sz="2" w:space="0" w:color="auto"/>
              <w:bottom w:val="single" w:sz="2" w:space="0" w:color="auto"/>
              <w:right w:val="single" w:sz="2" w:space="0" w:color="auto"/>
            </w:tcBorders>
            <w:vAlign w:val="center"/>
          </w:tcPr>
          <w:p w14:paraId="45DBEA1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1.27%</w:t>
            </w:r>
          </w:p>
        </w:tc>
      </w:tr>
    </w:tbl>
    <w:p w14:paraId="16D4282B" w14:textId="77777777" w:rsidR="006C011D" w:rsidRPr="005A284F" w:rsidRDefault="006C011D">
      <w:pPr>
        <w:spacing w:after="0" w:line="0" w:lineRule="atLeast"/>
        <w:rPr>
          <w:rFonts w:ascii="Times New Roman" w:eastAsia="宋体" w:hAnsi="Times New Roman" w:cs="Times New Roman"/>
        </w:rPr>
      </w:pPr>
    </w:p>
    <w:p w14:paraId="6415C6F2" w14:textId="77777777" w:rsidR="006C011D" w:rsidRPr="005A284F" w:rsidRDefault="00000000">
      <w:pPr>
        <w:pStyle w:val="3"/>
        <w:spacing w:line="280" w:lineRule="exact"/>
        <w:jc w:val="left"/>
        <w:rPr>
          <w:rFonts w:ascii="Times New Roman" w:hAnsi="Times New Roman" w:cs="Times New Roman"/>
          <w:b/>
          <w:bCs/>
        </w:rPr>
      </w:pPr>
      <w:bookmarkStart w:id="93" w:name="_Toc988982"/>
      <w:r w:rsidRPr="005A284F">
        <w:rPr>
          <w:rFonts w:ascii="Times New Roman" w:hAnsi="Times New Roman" w:cs="Times New Roman"/>
          <w:b/>
          <w:bCs/>
        </w:rPr>
        <w:t>3</w:t>
      </w:r>
      <w:r w:rsidRPr="005A284F">
        <w:rPr>
          <w:rFonts w:ascii="Times New Roman" w:hAnsi="Times New Roman" w:cs="Times New Roman"/>
          <w:b/>
          <w:bCs/>
        </w:rPr>
        <w:t>、报告期转债变动情况</w:t>
      </w:r>
      <w:bookmarkEnd w:id="93"/>
    </w:p>
    <w:p w14:paraId="327E1D23" w14:textId="77777777" w:rsidR="006C011D" w:rsidRPr="00294815" w:rsidRDefault="00000000">
      <w:pPr>
        <w:spacing w:before="40" w:after="40" w:line="240" w:lineRule="exact"/>
        <w:rPr>
          <w:rFonts w:ascii="宋体" w:eastAsia="宋体" w:hAnsi="宋体" w:cs="Times New Roman" w:hint="eastAsia"/>
          <w:sz w:val="18"/>
          <w:szCs w:val="18"/>
        </w:rPr>
      </w:pPr>
      <w:r w:rsidRPr="00294815">
        <w:rPr>
          <w:rFonts w:ascii="宋体" w:eastAsia="宋体" w:hAnsi="宋体" w:cs="Times New Roman"/>
          <w:sz w:val="18"/>
          <w:szCs w:val="18"/>
        </w:rPr>
        <w:sym w:font="Wingdings 2" w:char="F052"/>
      </w:r>
      <w:r w:rsidRPr="00294815">
        <w:rPr>
          <w:rFonts w:ascii="宋体" w:eastAsia="宋体" w:hAnsi="宋体" w:cs="Times New Roman"/>
          <w:sz w:val="18"/>
          <w:szCs w:val="18"/>
        </w:rPr>
        <w:t>适用 □不适用</w:t>
      </w:r>
    </w:p>
    <w:p w14:paraId="2B309EC8"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43"/>
        <w:gridCol w:w="1370"/>
        <w:gridCol w:w="1606"/>
        <w:gridCol w:w="1606"/>
        <w:gridCol w:w="1608"/>
        <w:gridCol w:w="1606"/>
      </w:tblGrid>
      <w:tr w:rsidR="006C011D" w:rsidRPr="005A284F" w14:paraId="79343E3D" w14:textId="77777777" w:rsidTr="00294815">
        <w:trPr>
          <w:trHeight w:val="240"/>
        </w:trPr>
        <w:tc>
          <w:tcPr>
            <w:tcW w:w="184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3483B0C" w14:textId="77777777" w:rsidR="006C011D" w:rsidRPr="005A284F" w:rsidRDefault="00000000" w:rsidP="00294815">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可转换公司债券名称</w:t>
            </w:r>
          </w:p>
        </w:tc>
        <w:tc>
          <w:tcPr>
            <w:tcW w:w="137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50DED6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本次变动前</w:t>
            </w:r>
          </w:p>
        </w:tc>
        <w:tc>
          <w:tcPr>
            <w:tcW w:w="4820"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0259BBE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本次变动增减</w:t>
            </w:r>
          </w:p>
        </w:tc>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7894BF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本次变动后</w:t>
            </w:r>
          </w:p>
        </w:tc>
      </w:tr>
      <w:tr w:rsidR="006C011D" w:rsidRPr="005A284F" w14:paraId="4F57090C" w14:textId="77777777" w:rsidTr="00294815">
        <w:trPr>
          <w:trHeight w:val="240"/>
        </w:trPr>
        <w:tc>
          <w:tcPr>
            <w:tcW w:w="184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444AF9B" w14:textId="77777777" w:rsidR="006C011D" w:rsidRPr="005A284F" w:rsidRDefault="006C011D" w:rsidP="00294815">
            <w:pPr>
              <w:jc w:val="center"/>
              <w:rPr>
                <w:rFonts w:ascii="Times New Roman" w:eastAsia="宋体" w:hAnsi="Times New Roman" w:cs="Times New Roman"/>
              </w:rPr>
            </w:pPr>
          </w:p>
        </w:tc>
        <w:tc>
          <w:tcPr>
            <w:tcW w:w="137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A11BA7B" w14:textId="77777777" w:rsidR="006C011D" w:rsidRPr="005A284F" w:rsidRDefault="006C011D">
            <w:pPr>
              <w:rPr>
                <w:rFonts w:ascii="Times New Roman" w:eastAsia="宋体" w:hAnsi="Times New Roman" w:cs="Times New Roman"/>
              </w:rPr>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52BCD1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转股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C688F8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赎回</w:t>
            </w:r>
          </w:p>
        </w:tc>
        <w:tc>
          <w:tcPr>
            <w:tcW w:w="1608" w:type="dxa"/>
            <w:tcBorders>
              <w:top w:val="single" w:sz="2" w:space="0" w:color="auto"/>
              <w:left w:val="single" w:sz="2" w:space="0" w:color="auto"/>
              <w:bottom w:val="single" w:sz="2" w:space="0" w:color="auto"/>
              <w:right w:val="single" w:sz="2" w:space="0" w:color="auto"/>
            </w:tcBorders>
            <w:shd w:val="clear" w:color="auto" w:fill="D3D3D3"/>
            <w:vAlign w:val="center"/>
          </w:tcPr>
          <w:p w14:paraId="225603A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回售</w:t>
            </w:r>
          </w:p>
        </w:tc>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8D71BEC" w14:textId="77777777" w:rsidR="006C011D" w:rsidRPr="005A284F" w:rsidRDefault="006C011D">
            <w:pPr>
              <w:rPr>
                <w:rFonts w:ascii="Times New Roman" w:eastAsia="宋体" w:hAnsi="Times New Roman" w:cs="Times New Roman"/>
              </w:rPr>
            </w:pPr>
          </w:p>
        </w:tc>
      </w:tr>
      <w:tr w:rsidR="006C011D" w:rsidRPr="005A284F" w14:paraId="38A05EED" w14:textId="77777777" w:rsidTr="00294815">
        <w:trPr>
          <w:trHeight w:val="240"/>
        </w:trPr>
        <w:tc>
          <w:tcPr>
            <w:tcW w:w="1843" w:type="dxa"/>
            <w:tcBorders>
              <w:top w:val="single" w:sz="2" w:space="0" w:color="auto"/>
              <w:left w:val="single" w:sz="2" w:space="0" w:color="auto"/>
              <w:bottom w:val="single" w:sz="2" w:space="0" w:color="auto"/>
              <w:right w:val="single" w:sz="2" w:space="0" w:color="auto"/>
            </w:tcBorders>
            <w:vAlign w:val="center"/>
          </w:tcPr>
          <w:p w14:paraId="5902E2CE" w14:textId="77777777" w:rsidR="006C011D" w:rsidRPr="005A284F" w:rsidRDefault="00000000" w:rsidP="00294815">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龙大转债</w:t>
            </w:r>
          </w:p>
        </w:tc>
        <w:tc>
          <w:tcPr>
            <w:tcW w:w="1370" w:type="dxa"/>
            <w:tcBorders>
              <w:top w:val="single" w:sz="2" w:space="0" w:color="auto"/>
              <w:left w:val="single" w:sz="2" w:space="0" w:color="auto"/>
              <w:bottom w:val="single" w:sz="2" w:space="0" w:color="auto"/>
              <w:right w:val="single" w:sz="2" w:space="0" w:color="auto"/>
            </w:tcBorders>
            <w:vAlign w:val="center"/>
          </w:tcPr>
          <w:p w14:paraId="5EC3E3A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946,052,700.00</w:t>
            </w:r>
          </w:p>
        </w:tc>
        <w:tc>
          <w:tcPr>
            <w:tcW w:w="1606" w:type="dxa"/>
            <w:tcBorders>
              <w:top w:val="single" w:sz="2" w:space="0" w:color="auto"/>
              <w:left w:val="single" w:sz="2" w:space="0" w:color="auto"/>
              <w:bottom w:val="single" w:sz="2" w:space="0" w:color="auto"/>
              <w:right w:val="single" w:sz="2" w:space="0" w:color="auto"/>
            </w:tcBorders>
            <w:vAlign w:val="center"/>
          </w:tcPr>
          <w:p w14:paraId="1C028B2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4,000.00</w:t>
            </w:r>
          </w:p>
        </w:tc>
        <w:tc>
          <w:tcPr>
            <w:tcW w:w="1606" w:type="dxa"/>
            <w:tcBorders>
              <w:top w:val="single" w:sz="2" w:space="0" w:color="auto"/>
              <w:left w:val="single" w:sz="2" w:space="0" w:color="auto"/>
              <w:bottom w:val="single" w:sz="2" w:space="0" w:color="auto"/>
              <w:right w:val="single" w:sz="2" w:space="0" w:color="auto"/>
            </w:tcBorders>
            <w:vAlign w:val="center"/>
          </w:tcPr>
          <w:p w14:paraId="28A194E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608" w:type="dxa"/>
            <w:tcBorders>
              <w:top w:val="single" w:sz="2" w:space="0" w:color="auto"/>
              <w:left w:val="single" w:sz="2" w:space="0" w:color="auto"/>
              <w:bottom w:val="single" w:sz="2" w:space="0" w:color="auto"/>
              <w:right w:val="single" w:sz="2" w:space="0" w:color="auto"/>
            </w:tcBorders>
            <w:vAlign w:val="center"/>
          </w:tcPr>
          <w:p w14:paraId="59D99F0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1,100.00</w:t>
            </w:r>
          </w:p>
        </w:tc>
        <w:tc>
          <w:tcPr>
            <w:tcW w:w="1606" w:type="dxa"/>
            <w:tcBorders>
              <w:top w:val="single" w:sz="2" w:space="0" w:color="auto"/>
              <w:left w:val="single" w:sz="2" w:space="0" w:color="auto"/>
              <w:bottom w:val="single" w:sz="2" w:space="0" w:color="auto"/>
              <w:right w:val="single" w:sz="2" w:space="0" w:color="auto"/>
            </w:tcBorders>
            <w:vAlign w:val="center"/>
          </w:tcPr>
          <w:p w14:paraId="0CB5E1B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946,047,600.00</w:t>
            </w:r>
          </w:p>
        </w:tc>
      </w:tr>
    </w:tbl>
    <w:p w14:paraId="7B668E33" w14:textId="77777777" w:rsidR="006C011D" w:rsidRPr="005A284F" w:rsidRDefault="00000000">
      <w:pPr>
        <w:pStyle w:val="3"/>
        <w:spacing w:line="280" w:lineRule="exact"/>
        <w:jc w:val="left"/>
        <w:rPr>
          <w:rFonts w:ascii="Times New Roman" w:hAnsi="Times New Roman" w:cs="Times New Roman"/>
          <w:b/>
          <w:bCs/>
        </w:rPr>
      </w:pPr>
      <w:bookmarkStart w:id="94" w:name="_Toc988983"/>
      <w:r w:rsidRPr="005A284F">
        <w:rPr>
          <w:rFonts w:ascii="Times New Roman" w:hAnsi="Times New Roman" w:cs="Times New Roman"/>
          <w:b/>
          <w:bCs/>
        </w:rPr>
        <w:t>4</w:t>
      </w:r>
      <w:r w:rsidRPr="005A284F">
        <w:rPr>
          <w:rFonts w:ascii="Times New Roman" w:hAnsi="Times New Roman" w:cs="Times New Roman"/>
          <w:b/>
          <w:bCs/>
        </w:rPr>
        <w:t>、累计转股情况</w:t>
      </w:r>
      <w:bookmarkEnd w:id="94"/>
    </w:p>
    <w:p w14:paraId="286A2E25" w14:textId="77777777" w:rsidR="006C011D" w:rsidRPr="00294815" w:rsidRDefault="00000000" w:rsidP="00294815">
      <w:pPr>
        <w:spacing w:before="40" w:after="40" w:line="240" w:lineRule="exact"/>
        <w:rPr>
          <w:rFonts w:ascii="宋体" w:eastAsia="宋体" w:hAnsi="宋体" w:cs="Times New Roman" w:hint="eastAsia"/>
          <w:sz w:val="18"/>
          <w:szCs w:val="18"/>
        </w:rPr>
      </w:pPr>
      <w:r w:rsidRPr="00294815">
        <w:rPr>
          <w:rFonts w:ascii="宋体" w:eastAsia="宋体" w:hAnsi="宋体" w:cs="Times New Roman"/>
          <w:sz w:val="18"/>
          <w:szCs w:val="18"/>
        </w:rPr>
        <w:sym w:font="Wingdings 2" w:char="F052"/>
      </w:r>
      <w:r w:rsidRPr="00294815">
        <w:rPr>
          <w:rFonts w:ascii="宋体" w:eastAsia="宋体" w:hAnsi="宋体" w:cs="Times New Roman"/>
          <w:sz w:val="18"/>
          <w:szCs w:val="18"/>
        </w:rPr>
        <w:t>适用 □不适用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4A0" w:firstRow="1" w:lastRow="0" w:firstColumn="1" w:lastColumn="0" w:noHBand="0" w:noVBand="1"/>
      </w:tblPr>
      <w:tblGrid>
        <w:gridCol w:w="942"/>
        <w:gridCol w:w="1559"/>
        <w:gridCol w:w="850"/>
        <w:gridCol w:w="1276"/>
        <w:gridCol w:w="1134"/>
        <w:gridCol w:w="709"/>
        <w:gridCol w:w="1027"/>
        <w:gridCol w:w="1241"/>
        <w:gridCol w:w="901"/>
      </w:tblGrid>
      <w:tr w:rsidR="006C011D" w:rsidRPr="005A284F" w14:paraId="14EA372E" w14:textId="77777777" w:rsidTr="00294815">
        <w:trPr>
          <w:trHeight w:val="240"/>
        </w:trPr>
        <w:tc>
          <w:tcPr>
            <w:tcW w:w="942" w:type="dxa"/>
            <w:tcBorders>
              <w:top w:val="single" w:sz="2" w:space="0" w:color="auto"/>
              <w:left w:val="single" w:sz="2" w:space="0" w:color="auto"/>
              <w:bottom w:val="single" w:sz="2" w:space="0" w:color="auto"/>
              <w:right w:val="single" w:sz="2" w:space="0" w:color="auto"/>
            </w:tcBorders>
            <w:shd w:val="clear" w:color="auto" w:fill="D3D3D3"/>
            <w:vAlign w:val="center"/>
          </w:tcPr>
          <w:p w14:paraId="0C78FF69" w14:textId="77777777" w:rsidR="006C011D" w:rsidRPr="005A284F" w:rsidRDefault="00000000" w:rsidP="00294815">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可转换公司债券名称</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18EB1AF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转股起止日期</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0E75411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发行总量（张）</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434E789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发行总金额（元）</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3474973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累计转股金额（元）</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77D9DD7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累计转股数</w:t>
            </w:r>
          </w:p>
          <w:p w14:paraId="7C11F8D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（股）</w:t>
            </w:r>
          </w:p>
        </w:tc>
        <w:tc>
          <w:tcPr>
            <w:tcW w:w="1027" w:type="dxa"/>
            <w:tcBorders>
              <w:top w:val="single" w:sz="2" w:space="0" w:color="auto"/>
              <w:left w:val="single" w:sz="2" w:space="0" w:color="auto"/>
              <w:bottom w:val="single" w:sz="2" w:space="0" w:color="auto"/>
              <w:right w:val="single" w:sz="2" w:space="0" w:color="auto"/>
            </w:tcBorders>
            <w:shd w:val="clear" w:color="auto" w:fill="D3D3D3"/>
            <w:vAlign w:val="center"/>
          </w:tcPr>
          <w:p w14:paraId="58835AF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转股数量占转股开始日前公司已发行股份总额的比例</w:t>
            </w:r>
          </w:p>
        </w:tc>
        <w:tc>
          <w:tcPr>
            <w:tcW w:w="1241" w:type="dxa"/>
            <w:tcBorders>
              <w:top w:val="single" w:sz="2" w:space="0" w:color="auto"/>
              <w:left w:val="single" w:sz="2" w:space="0" w:color="auto"/>
              <w:bottom w:val="single" w:sz="2" w:space="0" w:color="auto"/>
              <w:right w:val="single" w:sz="2" w:space="0" w:color="auto"/>
            </w:tcBorders>
            <w:shd w:val="clear" w:color="auto" w:fill="D3D3D3"/>
            <w:vAlign w:val="center"/>
          </w:tcPr>
          <w:p w14:paraId="42469FD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尚未转股金额</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元</w:t>
            </w:r>
            <w:r w:rsidRPr="005A284F">
              <w:rPr>
                <w:rFonts w:ascii="Times New Roman" w:eastAsia="宋体" w:hAnsi="Times New Roman" w:cs="Times New Roman"/>
                <w:sz w:val="18"/>
                <w:szCs w:val="18"/>
              </w:rPr>
              <w:t>)</w:t>
            </w:r>
          </w:p>
        </w:tc>
        <w:tc>
          <w:tcPr>
            <w:tcW w:w="901" w:type="dxa"/>
            <w:tcBorders>
              <w:top w:val="single" w:sz="2" w:space="0" w:color="auto"/>
              <w:left w:val="single" w:sz="2" w:space="0" w:color="auto"/>
              <w:bottom w:val="single" w:sz="2" w:space="0" w:color="auto"/>
              <w:right w:val="single" w:sz="2" w:space="0" w:color="auto"/>
            </w:tcBorders>
            <w:shd w:val="clear" w:color="auto" w:fill="D3D3D3"/>
            <w:vAlign w:val="center"/>
          </w:tcPr>
          <w:p w14:paraId="2A6F8FB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未转股金额占发行总金额的比例</w:t>
            </w:r>
          </w:p>
        </w:tc>
      </w:tr>
      <w:tr w:rsidR="006C011D" w:rsidRPr="005A284F" w14:paraId="0F024147" w14:textId="77777777" w:rsidTr="00294815">
        <w:trPr>
          <w:trHeight w:val="240"/>
        </w:trPr>
        <w:tc>
          <w:tcPr>
            <w:tcW w:w="942" w:type="dxa"/>
            <w:tcBorders>
              <w:top w:val="single" w:sz="2" w:space="0" w:color="auto"/>
              <w:left w:val="single" w:sz="2" w:space="0" w:color="auto"/>
              <w:bottom w:val="single" w:sz="2" w:space="0" w:color="auto"/>
              <w:right w:val="single" w:sz="2" w:space="0" w:color="auto"/>
            </w:tcBorders>
            <w:vAlign w:val="center"/>
          </w:tcPr>
          <w:p w14:paraId="78539A4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龙大转债</w:t>
            </w:r>
          </w:p>
        </w:tc>
        <w:tc>
          <w:tcPr>
            <w:tcW w:w="1559" w:type="dxa"/>
            <w:tcBorders>
              <w:top w:val="single" w:sz="2" w:space="0" w:color="auto"/>
              <w:left w:val="single" w:sz="2" w:space="0" w:color="auto"/>
              <w:bottom w:val="single" w:sz="2" w:space="0" w:color="auto"/>
              <w:right w:val="single" w:sz="2" w:space="0" w:color="auto"/>
            </w:tcBorders>
            <w:vAlign w:val="center"/>
          </w:tcPr>
          <w:p w14:paraId="3A537DD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2021</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18</w:t>
            </w:r>
            <w:r w:rsidRPr="005A284F">
              <w:rPr>
                <w:rFonts w:ascii="Times New Roman" w:eastAsia="宋体" w:hAnsi="Times New Roman" w:cs="Times New Roman"/>
                <w:sz w:val="18"/>
                <w:szCs w:val="18"/>
              </w:rPr>
              <w:t>日至</w:t>
            </w:r>
            <w:r w:rsidRPr="005A284F">
              <w:rPr>
                <w:rFonts w:ascii="Times New Roman" w:eastAsia="宋体" w:hAnsi="Times New Roman" w:cs="Times New Roman"/>
                <w:sz w:val="18"/>
                <w:szCs w:val="18"/>
              </w:rPr>
              <w:t>2026</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7</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300ED94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9,500,000</w:t>
            </w:r>
          </w:p>
        </w:tc>
        <w:tc>
          <w:tcPr>
            <w:tcW w:w="1276" w:type="dxa"/>
            <w:tcBorders>
              <w:top w:val="single" w:sz="2" w:space="0" w:color="auto"/>
              <w:left w:val="single" w:sz="2" w:space="0" w:color="auto"/>
              <w:bottom w:val="single" w:sz="2" w:space="0" w:color="auto"/>
              <w:right w:val="single" w:sz="2" w:space="0" w:color="auto"/>
            </w:tcBorders>
            <w:vAlign w:val="center"/>
          </w:tcPr>
          <w:p w14:paraId="44B13EA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950,000,000.00</w:t>
            </w:r>
          </w:p>
        </w:tc>
        <w:tc>
          <w:tcPr>
            <w:tcW w:w="1134" w:type="dxa"/>
            <w:tcBorders>
              <w:top w:val="single" w:sz="2" w:space="0" w:color="auto"/>
              <w:left w:val="single" w:sz="2" w:space="0" w:color="auto"/>
              <w:bottom w:val="single" w:sz="2" w:space="0" w:color="auto"/>
              <w:right w:val="single" w:sz="2" w:space="0" w:color="auto"/>
            </w:tcBorders>
            <w:vAlign w:val="center"/>
          </w:tcPr>
          <w:p w14:paraId="5EBE1ED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3,951,300.00</w:t>
            </w:r>
          </w:p>
        </w:tc>
        <w:tc>
          <w:tcPr>
            <w:tcW w:w="709" w:type="dxa"/>
            <w:tcBorders>
              <w:top w:val="single" w:sz="2" w:space="0" w:color="auto"/>
              <w:left w:val="single" w:sz="2" w:space="0" w:color="auto"/>
              <w:bottom w:val="single" w:sz="2" w:space="0" w:color="auto"/>
              <w:right w:val="single" w:sz="2" w:space="0" w:color="auto"/>
            </w:tcBorders>
            <w:vAlign w:val="center"/>
          </w:tcPr>
          <w:p w14:paraId="3EB19CC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418,922</w:t>
            </w:r>
          </w:p>
        </w:tc>
        <w:tc>
          <w:tcPr>
            <w:tcW w:w="1027" w:type="dxa"/>
            <w:tcBorders>
              <w:top w:val="single" w:sz="2" w:space="0" w:color="auto"/>
              <w:left w:val="single" w:sz="2" w:space="0" w:color="auto"/>
              <w:bottom w:val="single" w:sz="2" w:space="0" w:color="auto"/>
              <w:right w:val="single" w:sz="2" w:space="0" w:color="auto"/>
            </w:tcBorders>
            <w:vAlign w:val="center"/>
          </w:tcPr>
          <w:p w14:paraId="3ED78DF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0.04%</w:t>
            </w:r>
          </w:p>
        </w:tc>
        <w:tc>
          <w:tcPr>
            <w:tcW w:w="1241" w:type="dxa"/>
            <w:tcBorders>
              <w:top w:val="single" w:sz="2" w:space="0" w:color="auto"/>
              <w:left w:val="single" w:sz="2" w:space="0" w:color="auto"/>
              <w:bottom w:val="single" w:sz="2" w:space="0" w:color="auto"/>
              <w:right w:val="single" w:sz="2" w:space="0" w:color="auto"/>
            </w:tcBorders>
            <w:vAlign w:val="center"/>
          </w:tcPr>
          <w:p w14:paraId="6E6E7EF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946,047,600.00</w:t>
            </w:r>
          </w:p>
        </w:tc>
        <w:tc>
          <w:tcPr>
            <w:tcW w:w="901" w:type="dxa"/>
            <w:tcBorders>
              <w:top w:val="single" w:sz="2" w:space="0" w:color="auto"/>
              <w:left w:val="single" w:sz="2" w:space="0" w:color="auto"/>
              <w:bottom w:val="single" w:sz="2" w:space="0" w:color="auto"/>
              <w:right w:val="single" w:sz="2" w:space="0" w:color="auto"/>
            </w:tcBorders>
            <w:vAlign w:val="center"/>
          </w:tcPr>
          <w:p w14:paraId="2008DC9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99.58%</w:t>
            </w:r>
          </w:p>
        </w:tc>
      </w:tr>
    </w:tbl>
    <w:p w14:paraId="648F06C6" w14:textId="77777777" w:rsidR="006C011D" w:rsidRPr="005A284F" w:rsidRDefault="00000000">
      <w:pPr>
        <w:pStyle w:val="3"/>
        <w:spacing w:line="280" w:lineRule="exact"/>
        <w:jc w:val="left"/>
        <w:rPr>
          <w:rFonts w:ascii="Times New Roman" w:hAnsi="Times New Roman" w:cs="Times New Roman"/>
          <w:b/>
          <w:bCs/>
        </w:rPr>
      </w:pPr>
      <w:bookmarkStart w:id="95" w:name="_Toc988984"/>
      <w:r w:rsidRPr="005A284F">
        <w:rPr>
          <w:rFonts w:ascii="Times New Roman" w:hAnsi="Times New Roman" w:cs="Times New Roman"/>
          <w:b/>
          <w:bCs/>
        </w:rPr>
        <w:t>5</w:t>
      </w:r>
      <w:r w:rsidRPr="005A284F">
        <w:rPr>
          <w:rFonts w:ascii="Times New Roman" w:hAnsi="Times New Roman" w:cs="Times New Roman"/>
          <w:b/>
          <w:bCs/>
        </w:rPr>
        <w:t>、转股价格历次调整、修正情况</w:t>
      </w:r>
      <w:bookmarkEnd w:id="95"/>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4A0" w:firstRow="1" w:lastRow="0" w:firstColumn="1" w:lastColumn="0" w:noHBand="0" w:noVBand="1"/>
      </w:tblPr>
      <w:tblGrid>
        <w:gridCol w:w="851"/>
        <w:gridCol w:w="1701"/>
        <w:gridCol w:w="992"/>
        <w:gridCol w:w="1701"/>
        <w:gridCol w:w="3402"/>
        <w:gridCol w:w="992"/>
      </w:tblGrid>
      <w:tr w:rsidR="006C011D" w:rsidRPr="005A284F" w14:paraId="52AB5A12" w14:textId="77777777" w:rsidTr="00294815">
        <w:trPr>
          <w:trHeight w:val="240"/>
        </w:trPr>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5E03CCC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可转换公司债券名称</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52D4730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转股价格调整日</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3B4E4B0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调整后转股价格（元）</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45A14A2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披露时间</w:t>
            </w:r>
          </w:p>
        </w:tc>
        <w:tc>
          <w:tcPr>
            <w:tcW w:w="3402" w:type="dxa"/>
            <w:tcBorders>
              <w:top w:val="single" w:sz="2" w:space="0" w:color="auto"/>
              <w:left w:val="single" w:sz="2" w:space="0" w:color="auto"/>
              <w:bottom w:val="single" w:sz="2" w:space="0" w:color="auto"/>
              <w:right w:val="single" w:sz="2" w:space="0" w:color="auto"/>
            </w:tcBorders>
            <w:shd w:val="clear" w:color="auto" w:fill="D3D3D3"/>
            <w:vAlign w:val="center"/>
          </w:tcPr>
          <w:p w14:paraId="57A752C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转股价格调整说明</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491F592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截至本报告期末最新转股价格（元）</w:t>
            </w:r>
          </w:p>
        </w:tc>
      </w:tr>
      <w:tr w:rsidR="006C011D" w:rsidRPr="005A284F" w14:paraId="4029C5F0" w14:textId="77777777" w:rsidTr="00294815">
        <w:trPr>
          <w:trHeight w:val="240"/>
        </w:trPr>
        <w:tc>
          <w:tcPr>
            <w:tcW w:w="851" w:type="dxa"/>
            <w:tcBorders>
              <w:top w:val="single" w:sz="2" w:space="0" w:color="auto"/>
              <w:left w:val="single" w:sz="2" w:space="0" w:color="auto"/>
              <w:bottom w:val="single" w:sz="2" w:space="0" w:color="auto"/>
              <w:right w:val="single" w:sz="2" w:space="0" w:color="auto"/>
            </w:tcBorders>
            <w:vAlign w:val="center"/>
          </w:tcPr>
          <w:p w14:paraId="12AB53E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龙大转债</w:t>
            </w:r>
          </w:p>
        </w:tc>
        <w:tc>
          <w:tcPr>
            <w:tcW w:w="1701" w:type="dxa"/>
            <w:tcBorders>
              <w:top w:val="single" w:sz="2" w:space="0" w:color="auto"/>
              <w:left w:val="single" w:sz="2" w:space="0" w:color="auto"/>
              <w:bottom w:val="single" w:sz="2" w:space="0" w:color="auto"/>
              <w:right w:val="single" w:sz="2" w:space="0" w:color="auto"/>
            </w:tcBorders>
            <w:vAlign w:val="center"/>
          </w:tcPr>
          <w:p w14:paraId="51BDDBC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2020</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14</w:t>
            </w:r>
            <w:r w:rsidRPr="005A284F">
              <w:rPr>
                <w:rFonts w:ascii="Times New Roman" w:eastAsia="宋体" w:hAnsi="Times New Roman" w:cs="Times New Roman"/>
                <w:sz w:val="18"/>
                <w:szCs w:val="18"/>
              </w:rPr>
              <w:t>日</w:t>
            </w:r>
          </w:p>
        </w:tc>
        <w:tc>
          <w:tcPr>
            <w:tcW w:w="992" w:type="dxa"/>
            <w:tcBorders>
              <w:top w:val="single" w:sz="2" w:space="0" w:color="auto"/>
              <w:left w:val="single" w:sz="2" w:space="0" w:color="auto"/>
              <w:bottom w:val="single" w:sz="2" w:space="0" w:color="auto"/>
              <w:right w:val="single" w:sz="2" w:space="0" w:color="auto"/>
            </w:tcBorders>
            <w:vAlign w:val="center"/>
          </w:tcPr>
          <w:p w14:paraId="7BA5DAA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9.57</w:t>
            </w:r>
          </w:p>
        </w:tc>
        <w:tc>
          <w:tcPr>
            <w:tcW w:w="1701" w:type="dxa"/>
            <w:tcBorders>
              <w:top w:val="single" w:sz="2" w:space="0" w:color="auto"/>
              <w:left w:val="single" w:sz="2" w:space="0" w:color="auto"/>
              <w:bottom w:val="single" w:sz="2" w:space="0" w:color="auto"/>
              <w:right w:val="single" w:sz="2" w:space="0" w:color="auto"/>
            </w:tcBorders>
            <w:vAlign w:val="center"/>
          </w:tcPr>
          <w:p w14:paraId="24C225B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2020</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日</w:t>
            </w:r>
          </w:p>
        </w:tc>
        <w:tc>
          <w:tcPr>
            <w:tcW w:w="3402" w:type="dxa"/>
            <w:tcBorders>
              <w:top w:val="single" w:sz="2" w:space="0" w:color="auto"/>
              <w:left w:val="single" w:sz="2" w:space="0" w:color="auto"/>
              <w:bottom w:val="single" w:sz="2" w:space="0" w:color="auto"/>
              <w:right w:val="single" w:sz="2" w:space="0" w:color="auto"/>
            </w:tcBorders>
            <w:vAlign w:val="center"/>
          </w:tcPr>
          <w:p w14:paraId="472CB5D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因公司实施完成了</w:t>
            </w: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名股权激励对象限制性股票的回购注销事宜，公司总股本发生变化。根据公司可转换公司债券转股价格调整的相关条款，</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龙大转债</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的转股价由初始转股价格</w:t>
            </w:r>
            <w:r w:rsidRPr="005A284F">
              <w:rPr>
                <w:rFonts w:ascii="Times New Roman" w:eastAsia="宋体" w:hAnsi="Times New Roman" w:cs="Times New Roman"/>
                <w:sz w:val="18"/>
                <w:szCs w:val="18"/>
              </w:rPr>
              <w:t>9.56</w:t>
            </w:r>
            <w:r w:rsidRPr="005A284F">
              <w:rPr>
                <w:rFonts w:ascii="Times New Roman" w:eastAsia="宋体" w:hAnsi="Times New Roman" w:cs="Times New Roman"/>
                <w:sz w:val="18"/>
                <w:szCs w:val="18"/>
              </w:rPr>
              <w:t>元</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股调整为</w:t>
            </w:r>
            <w:r w:rsidRPr="005A284F">
              <w:rPr>
                <w:rFonts w:ascii="Times New Roman" w:eastAsia="宋体" w:hAnsi="Times New Roman" w:cs="Times New Roman"/>
                <w:sz w:val="18"/>
                <w:szCs w:val="18"/>
              </w:rPr>
              <w:t>9.57</w:t>
            </w:r>
            <w:r w:rsidRPr="005A284F">
              <w:rPr>
                <w:rFonts w:ascii="Times New Roman" w:eastAsia="宋体" w:hAnsi="Times New Roman" w:cs="Times New Roman"/>
                <w:sz w:val="18"/>
                <w:szCs w:val="18"/>
              </w:rPr>
              <w:t>元</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股。调整后的转股价格自</w:t>
            </w:r>
            <w:r w:rsidRPr="005A284F">
              <w:rPr>
                <w:rFonts w:ascii="Times New Roman" w:eastAsia="宋体" w:hAnsi="Times New Roman" w:cs="Times New Roman"/>
                <w:sz w:val="18"/>
                <w:szCs w:val="18"/>
              </w:rPr>
              <w:t>2020</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14</w:t>
            </w:r>
            <w:r w:rsidRPr="005A284F">
              <w:rPr>
                <w:rFonts w:ascii="Times New Roman" w:eastAsia="宋体" w:hAnsi="Times New Roman" w:cs="Times New Roman"/>
                <w:sz w:val="18"/>
                <w:szCs w:val="18"/>
              </w:rPr>
              <w:t>日起生效。</w:t>
            </w:r>
          </w:p>
        </w:tc>
        <w:tc>
          <w:tcPr>
            <w:tcW w:w="992" w:type="dxa"/>
            <w:tcBorders>
              <w:top w:val="single" w:sz="2" w:space="0" w:color="auto"/>
              <w:left w:val="single" w:sz="2" w:space="0" w:color="auto"/>
              <w:bottom w:val="single" w:sz="2" w:space="0" w:color="auto"/>
              <w:right w:val="single" w:sz="2" w:space="0" w:color="auto"/>
            </w:tcBorders>
            <w:vAlign w:val="center"/>
          </w:tcPr>
          <w:p w14:paraId="1949D2D4" w14:textId="2D546881" w:rsidR="006C011D" w:rsidRPr="005A284F" w:rsidRDefault="00294815">
            <w:pPr>
              <w:spacing w:after="0"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w:t>
            </w:r>
          </w:p>
        </w:tc>
      </w:tr>
      <w:tr w:rsidR="006C011D" w:rsidRPr="005A284F" w14:paraId="70CBB69B" w14:textId="77777777" w:rsidTr="00294815">
        <w:trPr>
          <w:trHeight w:val="1683"/>
        </w:trPr>
        <w:tc>
          <w:tcPr>
            <w:tcW w:w="851" w:type="dxa"/>
            <w:tcBorders>
              <w:top w:val="single" w:sz="2" w:space="0" w:color="auto"/>
              <w:left w:val="single" w:sz="2" w:space="0" w:color="auto"/>
              <w:bottom w:val="single" w:sz="2" w:space="0" w:color="auto"/>
              <w:right w:val="single" w:sz="2" w:space="0" w:color="auto"/>
            </w:tcBorders>
            <w:vAlign w:val="center"/>
          </w:tcPr>
          <w:p w14:paraId="1D9B678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龙大转债</w:t>
            </w:r>
          </w:p>
        </w:tc>
        <w:tc>
          <w:tcPr>
            <w:tcW w:w="1701" w:type="dxa"/>
            <w:tcBorders>
              <w:top w:val="single" w:sz="2" w:space="0" w:color="auto"/>
              <w:left w:val="single" w:sz="2" w:space="0" w:color="auto"/>
              <w:bottom w:val="single" w:sz="2" w:space="0" w:color="auto"/>
              <w:right w:val="single" w:sz="2" w:space="0" w:color="auto"/>
            </w:tcBorders>
            <w:vAlign w:val="center"/>
          </w:tcPr>
          <w:p w14:paraId="6DDE4EC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2021</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04</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30</w:t>
            </w:r>
            <w:r w:rsidRPr="005A284F">
              <w:rPr>
                <w:rFonts w:ascii="Times New Roman" w:eastAsia="宋体" w:hAnsi="Times New Roman" w:cs="Times New Roman"/>
                <w:sz w:val="18"/>
                <w:szCs w:val="18"/>
              </w:rPr>
              <w:t>日</w:t>
            </w:r>
          </w:p>
        </w:tc>
        <w:tc>
          <w:tcPr>
            <w:tcW w:w="992" w:type="dxa"/>
            <w:tcBorders>
              <w:top w:val="single" w:sz="2" w:space="0" w:color="auto"/>
              <w:left w:val="single" w:sz="2" w:space="0" w:color="auto"/>
              <w:bottom w:val="single" w:sz="2" w:space="0" w:color="auto"/>
              <w:right w:val="single" w:sz="2" w:space="0" w:color="auto"/>
            </w:tcBorders>
            <w:vAlign w:val="center"/>
          </w:tcPr>
          <w:p w14:paraId="0480E16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9.38</w:t>
            </w:r>
          </w:p>
        </w:tc>
        <w:tc>
          <w:tcPr>
            <w:tcW w:w="1701" w:type="dxa"/>
            <w:tcBorders>
              <w:top w:val="single" w:sz="2" w:space="0" w:color="auto"/>
              <w:left w:val="single" w:sz="2" w:space="0" w:color="auto"/>
              <w:bottom w:val="single" w:sz="2" w:space="0" w:color="auto"/>
              <w:right w:val="single" w:sz="2" w:space="0" w:color="auto"/>
            </w:tcBorders>
            <w:vAlign w:val="center"/>
          </w:tcPr>
          <w:p w14:paraId="5F537CB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2021</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04</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24</w:t>
            </w:r>
            <w:r w:rsidRPr="005A284F">
              <w:rPr>
                <w:rFonts w:ascii="Times New Roman" w:eastAsia="宋体" w:hAnsi="Times New Roman" w:cs="Times New Roman"/>
                <w:sz w:val="18"/>
                <w:szCs w:val="18"/>
              </w:rPr>
              <w:t>日</w:t>
            </w:r>
          </w:p>
        </w:tc>
        <w:tc>
          <w:tcPr>
            <w:tcW w:w="3402" w:type="dxa"/>
            <w:tcBorders>
              <w:top w:val="single" w:sz="2" w:space="0" w:color="auto"/>
              <w:left w:val="single" w:sz="2" w:space="0" w:color="auto"/>
              <w:bottom w:val="single" w:sz="2" w:space="0" w:color="auto"/>
              <w:right w:val="single" w:sz="2" w:space="0" w:color="auto"/>
            </w:tcBorders>
            <w:vAlign w:val="center"/>
          </w:tcPr>
          <w:p w14:paraId="20E3511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2021</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30</w:t>
            </w:r>
            <w:r w:rsidRPr="005A284F">
              <w:rPr>
                <w:rFonts w:ascii="Times New Roman" w:eastAsia="宋体" w:hAnsi="Times New Roman" w:cs="Times New Roman"/>
                <w:sz w:val="18"/>
                <w:szCs w:val="18"/>
              </w:rPr>
              <w:t>日，公司实施完成了</w:t>
            </w:r>
            <w:r w:rsidRPr="005A284F">
              <w:rPr>
                <w:rFonts w:ascii="Times New Roman" w:eastAsia="宋体" w:hAnsi="Times New Roman" w:cs="Times New Roman"/>
                <w:sz w:val="18"/>
                <w:szCs w:val="18"/>
              </w:rPr>
              <w:t>2020</w:t>
            </w:r>
            <w:r w:rsidRPr="005A284F">
              <w:rPr>
                <w:rFonts w:ascii="Times New Roman" w:eastAsia="宋体" w:hAnsi="Times New Roman" w:cs="Times New Roman"/>
                <w:sz w:val="18"/>
                <w:szCs w:val="18"/>
              </w:rPr>
              <w:t>年度权益分派方案。根据公司可转换公司债券转股价格调整的相关条款，</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龙大转债</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的转股价格由</w:t>
            </w:r>
            <w:r w:rsidRPr="005A284F">
              <w:rPr>
                <w:rFonts w:ascii="Times New Roman" w:eastAsia="宋体" w:hAnsi="Times New Roman" w:cs="Times New Roman"/>
                <w:sz w:val="18"/>
                <w:szCs w:val="18"/>
              </w:rPr>
              <w:t xml:space="preserve">9.57 </w:t>
            </w:r>
            <w:r w:rsidRPr="005A284F">
              <w:rPr>
                <w:rFonts w:ascii="Times New Roman" w:eastAsia="宋体" w:hAnsi="Times New Roman" w:cs="Times New Roman"/>
                <w:sz w:val="18"/>
                <w:szCs w:val="18"/>
              </w:rPr>
              <w:t>元</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股调整为</w:t>
            </w:r>
            <w:r w:rsidRPr="005A284F">
              <w:rPr>
                <w:rFonts w:ascii="Times New Roman" w:eastAsia="宋体" w:hAnsi="Times New Roman" w:cs="Times New Roman"/>
                <w:sz w:val="18"/>
                <w:szCs w:val="18"/>
              </w:rPr>
              <w:t>9.38</w:t>
            </w:r>
            <w:r w:rsidRPr="005A284F">
              <w:rPr>
                <w:rFonts w:ascii="Times New Roman" w:eastAsia="宋体" w:hAnsi="Times New Roman" w:cs="Times New Roman"/>
                <w:sz w:val="18"/>
                <w:szCs w:val="18"/>
              </w:rPr>
              <w:t>元</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股。调整后的转股价格自</w:t>
            </w:r>
            <w:r w:rsidRPr="005A284F">
              <w:rPr>
                <w:rFonts w:ascii="Times New Roman" w:eastAsia="宋体" w:hAnsi="Times New Roman" w:cs="Times New Roman"/>
                <w:sz w:val="18"/>
                <w:szCs w:val="18"/>
              </w:rPr>
              <w:t xml:space="preserve"> 2021</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30</w:t>
            </w:r>
            <w:r w:rsidRPr="005A284F">
              <w:rPr>
                <w:rFonts w:ascii="Times New Roman" w:eastAsia="宋体" w:hAnsi="Times New Roman" w:cs="Times New Roman"/>
                <w:sz w:val="18"/>
                <w:szCs w:val="18"/>
              </w:rPr>
              <w:t>日起生效。</w:t>
            </w:r>
          </w:p>
        </w:tc>
        <w:tc>
          <w:tcPr>
            <w:tcW w:w="992" w:type="dxa"/>
            <w:tcBorders>
              <w:top w:val="single" w:sz="2" w:space="0" w:color="auto"/>
              <w:left w:val="single" w:sz="2" w:space="0" w:color="auto"/>
              <w:bottom w:val="single" w:sz="2" w:space="0" w:color="auto"/>
              <w:right w:val="single" w:sz="2" w:space="0" w:color="auto"/>
            </w:tcBorders>
            <w:vAlign w:val="center"/>
          </w:tcPr>
          <w:p w14:paraId="4BAAC170" w14:textId="41CE95C4" w:rsidR="006C011D" w:rsidRPr="005A284F" w:rsidRDefault="00294815">
            <w:pPr>
              <w:spacing w:after="0"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w:t>
            </w:r>
          </w:p>
        </w:tc>
      </w:tr>
      <w:tr w:rsidR="006C011D" w:rsidRPr="005A284F" w14:paraId="415E6D8A" w14:textId="77777777" w:rsidTr="00294815">
        <w:trPr>
          <w:trHeight w:val="240"/>
        </w:trPr>
        <w:tc>
          <w:tcPr>
            <w:tcW w:w="851" w:type="dxa"/>
            <w:tcBorders>
              <w:top w:val="single" w:sz="2" w:space="0" w:color="auto"/>
              <w:left w:val="single" w:sz="2" w:space="0" w:color="auto"/>
              <w:bottom w:val="single" w:sz="2" w:space="0" w:color="auto"/>
              <w:right w:val="single" w:sz="2" w:space="0" w:color="auto"/>
            </w:tcBorders>
            <w:vAlign w:val="center"/>
          </w:tcPr>
          <w:p w14:paraId="52295F1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龙大转债</w:t>
            </w:r>
          </w:p>
        </w:tc>
        <w:tc>
          <w:tcPr>
            <w:tcW w:w="1701" w:type="dxa"/>
            <w:tcBorders>
              <w:top w:val="single" w:sz="2" w:space="0" w:color="auto"/>
              <w:left w:val="single" w:sz="2" w:space="0" w:color="auto"/>
              <w:bottom w:val="single" w:sz="2" w:space="0" w:color="auto"/>
              <w:right w:val="single" w:sz="2" w:space="0" w:color="auto"/>
            </w:tcBorders>
            <w:vAlign w:val="center"/>
          </w:tcPr>
          <w:p w14:paraId="18325FF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2021</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日</w:t>
            </w:r>
          </w:p>
        </w:tc>
        <w:tc>
          <w:tcPr>
            <w:tcW w:w="992" w:type="dxa"/>
            <w:tcBorders>
              <w:top w:val="single" w:sz="2" w:space="0" w:color="auto"/>
              <w:left w:val="single" w:sz="2" w:space="0" w:color="auto"/>
              <w:bottom w:val="single" w:sz="2" w:space="0" w:color="auto"/>
              <w:right w:val="single" w:sz="2" w:space="0" w:color="auto"/>
            </w:tcBorders>
            <w:vAlign w:val="center"/>
          </w:tcPr>
          <w:p w14:paraId="5F9808F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9.29</w:t>
            </w:r>
          </w:p>
        </w:tc>
        <w:tc>
          <w:tcPr>
            <w:tcW w:w="1701" w:type="dxa"/>
            <w:tcBorders>
              <w:top w:val="single" w:sz="2" w:space="0" w:color="auto"/>
              <w:left w:val="single" w:sz="2" w:space="0" w:color="auto"/>
              <w:bottom w:val="single" w:sz="2" w:space="0" w:color="auto"/>
              <w:right w:val="single" w:sz="2" w:space="0" w:color="auto"/>
            </w:tcBorders>
            <w:vAlign w:val="center"/>
          </w:tcPr>
          <w:p w14:paraId="669D49E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2021</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日</w:t>
            </w:r>
          </w:p>
        </w:tc>
        <w:tc>
          <w:tcPr>
            <w:tcW w:w="3402" w:type="dxa"/>
            <w:tcBorders>
              <w:top w:val="single" w:sz="2" w:space="0" w:color="auto"/>
              <w:left w:val="single" w:sz="2" w:space="0" w:color="auto"/>
              <w:bottom w:val="single" w:sz="2" w:space="0" w:color="auto"/>
              <w:right w:val="single" w:sz="2" w:space="0" w:color="auto"/>
            </w:tcBorders>
            <w:vAlign w:val="center"/>
          </w:tcPr>
          <w:p w14:paraId="3B289F5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自前次转股价格调整日</w:t>
            </w:r>
            <w:r w:rsidRPr="005A284F">
              <w:rPr>
                <w:rFonts w:ascii="Times New Roman" w:eastAsia="宋体" w:hAnsi="Times New Roman" w:cs="Times New Roman"/>
                <w:sz w:val="18"/>
                <w:szCs w:val="18"/>
              </w:rPr>
              <w:t>2021</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30</w:t>
            </w:r>
            <w:r w:rsidRPr="005A284F">
              <w:rPr>
                <w:rFonts w:ascii="Times New Roman" w:eastAsia="宋体" w:hAnsi="Times New Roman" w:cs="Times New Roman"/>
                <w:sz w:val="18"/>
                <w:szCs w:val="18"/>
              </w:rPr>
              <w:t>日起至</w:t>
            </w:r>
            <w:r w:rsidRPr="005A284F">
              <w:rPr>
                <w:rFonts w:ascii="Times New Roman" w:eastAsia="宋体" w:hAnsi="Times New Roman" w:cs="Times New Roman"/>
                <w:sz w:val="18"/>
                <w:szCs w:val="18"/>
              </w:rPr>
              <w:t>2021</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日，公司总股本因激励对象自主行权以及公司非公开发行股票上市成功发生变化，根据公司可转换公司债券转股价格调整的相关条款，</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龙大转债</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的转股价由</w:t>
            </w:r>
            <w:r w:rsidRPr="005A284F">
              <w:rPr>
                <w:rFonts w:ascii="Times New Roman" w:eastAsia="宋体" w:hAnsi="Times New Roman" w:cs="Times New Roman"/>
                <w:sz w:val="18"/>
                <w:szCs w:val="18"/>
              </w:rPr>
              <w:t>9.38</w:t>
            </w:r>
            <w:r w:rsidRPr="005A284F">
              <w:rPr>
                <w:rFonts w:ascii="Times New Roman" w:eastAsia="宋体" w:hAnsi="Times New Roman" w:cs="Times New Roman"/>
                <w:sz w:val="18"/>
                <w:szCs w:val="18"/>
              </w:rPr>
              <w:t>元</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股调整为</w:t>
            </w:r>
            <w:r w:rsidRPr="005A284F">
              <w:rPr>
                <w:rFonts w:ascii="Times New Roman" w:eastAsia="宋体" w:hAnsi="Times New Roman" w:cs="Times New Roman"/>
                <w:sz w:val="18"/>
                <w:szCs w:val="18"/>
              </w:rPr>
              <w:t>9.29</w:t>
            </w:r>
            <w:r w:rsidRPr="005A284F">
              <w:rPr>
                <w:rFonts w:ascii="Times New Roman" w:eastAsia="宋体" w:hAnsi="Times New Roman" w:cs="Times New Roman"/>
                <w:sz w:val="18"/>
                <w:szCs w:val="18"/>
              </w:rPr>
              <w:t>元</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股。调整后的转股价格自</w:t>
            </w:r>
            <w:r w:rsidRPr="005A284F">
              <w:rPr>
                <w:rFonts w:ascii="Times New Roman" w:eastAsia="宋体" w:hAnsi="Times New Roman" w:cs="Times New Roman"/>
                <w:sz w:val="18"/>
                <w:szCs w:val="18"/>
              </w:rPr>
              <w:t>2021</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日起生效。</w:t>
            </w:r>
          </w:p>
        </w:tc>
        <w:tc>
          <w:tcPr>
            <w:tcW w:w="992" w:type="dxa"/>
            <w:tcBorders>
              <w:top w:val="single" w:sz="2" w:space="0" w:color="auto"/>
              <w:left w:val="single" w:sz="2" w:space="0" w:color="auto"/>
              <w:bottom w:val="single" w:sz="2" w:space="0" w:color="auto"/>
              <w:right w:val="single" w:sz="2" w:space="0" w:color="auto"/>
            </w:tcBorders>
            <w:vAlign w:val="center"/>
          </w:tcPr>
          <w:p w14:paraId="2074F16C" w14:textId="546BACBC" w:rsidR="006C011D" w:rsidRPr="005A284F" w:rsidRDefault="00294815">
            <w:pPr>
              <w:spacing w:after="0"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w:t>
            </w:r>
          </w:p>
        </w:tc>
      </w:tr>
      <w:tr w:rsidR="006C011D" w:rsidRPr="005A284F" w14:paraId="5B61EA90" w14:textId="77777777" w:rsidTr="00294815">
        <w:trPr>
          <w:trHeight w:val="240"/>
        </w:trPr>
        <w:tc>
          <w:tcPr>
            <w:tcW w:w="851" w:type="dxa"/>
            <w:tcBorders>
              <w:top w:val="single" w:sz="2" w:space="0" w:color="auto"/>
              <w:left w:val="single" w:sz="2" w:space="0" w:color="auto"/>
              <w:bottom w:val="single" w:sz="2" w:space="0" w:color="auto"/>
              <w:right w:val="single" w:sz="2" w:space="0" w:color="auto"/>
            </w:tcBorders>
            <w:vAlign w:val="center"/>
          </w:tcPr>
          <w:p w14:paraId="5E9D0E8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龙大转债</w:t>
            </w:r>
          </w:p>
        </w:tc>
        <w:tc>
          <w:tcPr>
            <w:tcW w:w="1701" w:type="dxa"/>
            <w:tcBorders>
              <w:top w:val="single" w:sz="2" w:space="0" w:color="auto"/>
              <w:left w:val="single" w:sz="2" w:space="0" w:color="auto"/>
              <w:bottom w:val="single" w:sz="2" w:space="0" w:color="auto"/>
              <w:right w:val="single" w:sz="2" w:space="0" w:color="auto"/>
            </w:tcBorders>
            <w:vAlign w:val="center"/>
          </w:tcPr>
          <w:p w14:paraId="4A43A1F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2022</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03</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31</w:t>
            </w:r>
            <w:r w:rsidRPr="005A284F">
              <w:rPr>
                <w:rFonts w:ascii="Times New Roman" w:eastAsia="宋体" w:hAnsi="Times New Roman" w:cs="Times New Roman"/>
                <w:sz w:val="18"/>
                <w:szCs w:val="18"/>
              </w:rPr>
              <w:t>日</w:t>
            </w:r>
          </w:p>
        </w:tc>
        <w:tc>
          <w:tcPr>
            <w:tcW w:w="992" w:type="dxa"/>
            <w:tcBorders>
              <w:top w:val="single" w:sz="2" w:space="0" w:color="auto"/>
              <w:left w:val="single" w:sz="2" w:space="0" w:color="auto"/>
              <w:bottom w:val="single" w:sz="2" w:space="0" w:color="auto"/>
              <w:right w:val="single" w:sz="2" w:space="0" w:color="auto"/>
            </w:tcBorders>
            <w:vAlign w:val="center"/>
          </w:tcPr>
          <w:p w14:paraId="1FA8844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9.28</w:t>
            </w:r>
          </w:p>
        </w:tc>
        <w:tc>
          <w:tcPr>
            <w:tcW w:w="1701" w:type="dxa"/>
            <w:tcBorders>
              <w:top w:val="single" w:sz="2" w:space="0" w:color="auto"/>
              <w:left w:val="single" w:sz="2" w:space="0" w:color="auto"/>
              <w:bottom w:val="single" w:sz="2" w:space="0" w:color="auto"/>
              <w:right w:val="single" w:sz="2" w:space="0" w:color="auto"/>
            </w:tcBorders>
            <w:vAlign w:val="center"/>
          </w:tcPr>
          <w:p w14:paraId="1EE7569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2022</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03</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31</w:t>
            </w:r>
            <w:r w:rsidRPr="005A284F">
              <w:rPr>
                <w:rFonts w:ascii="Times New Roman" w:eastAsia="宋体" w:hAnsi="Times New Roman" w:cs="Times New Roman"/>
                <w:sz w:val="18"/>
                <w:szCs w:val="18"/>
              </w:rPr>
              <w:t>日</w:t>
            </w:r>
          </w:p>
        </w:tc>
        <w:tc>
          <w:tcPr>
            <w:tcW w:w="3402" w:type="dxa"/>
            <w:tcBorders>
              <w:top w:val="single" w:sz="2" w:space="0" w:color="auto"/>
              <w:left w:val="single" w:sz="2" w:space="0" w:color="auto"/>
              <w:bottom w:val="single" w:sz="2" w:space="0" w:color="auto"/>
              <w:right w:val="single" w:sz="2" w:space="0" w:color="auto"/>
            </w:tcBorders>
            <w:vAlign w:val="center"/>
          </w:tcPr>
          <w:p w14:paraId="2BF1743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自前次转股价格调整日至</w:t>
            </w:r>
            <w:r w:rsidRPr="005A284F">
              <w:rPr>
                <w:rFonts w:ascii="Times New Roman" w:eastAsia="宋体" w:hAnsi="Times New Roman" w:cs="Times New Roman"/>
                <w:sz w:val="18"/>
                <w:szCs w:val="18"/>
              </w:rPr>
              <w:t xml:space="preserve"> 2022</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28</w:t>
            </w:r>
            <w:r w:rsidRPr="005A284F">
              <w:rPr>
                <w:rFonts w:ascii="Times New Roman" w:eastAsia="宋体" w:hAnsi="Times New Roman" w:cs="Times New Roman"/>
                <w:sz w:val="18"/>
                <w:szCs w:val="18"/>
              </w:rPr>
              <w:t>日，公司总股本因激励对象自主行权以及限制性股票回购注销而发生变化，根据公司可转换公司债券转股价格调整的相关条款，</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龙大转债</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的转股价由</w:t>
            </w:r>
            <w:r w:rsidRPr="005A284F">
              <w:rPr>
                <w:rFonts w:ascii="Times New Roman" w:eastAsia="宋体" w:hAnsi="Times New Roman" w:cs="Times New Roman"/>
                <w:sz w:val="18"/>
                <w:szCs w:val="18"/>
              </w:rPr>
              <w:t>9.29</w:t>
            </w:r>
            <w:r w:rsidRPr="005A284F">
              <w:rPr>
                <w:rFonts w:ascii="Times New Roman" w:eastAsia="宋体" w:hAnsi="Times New Roman" w:cs="Times New Roman"/>
                <w:sz w:val="18"/>
                <w:szCs w:val="18"/>
              </w:rPr>
              <w:t>元</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股调整为</w:t>
            </w:r>
            <w:r w:rsidRPr="005A284F">
              <w:rPr>
                <w:rFonts w:ascii="Times New Roman" w:eastAsia="宋体" w:hAnsi="Times New Roman" w:cs="Times New Roman"/>
                <w:sz w:val="18"/>
                <w:szCs w:val="18"/>
              </w:rPr>
              <w:t>9.28</w:t>
            </w:r>
            <w:r w:rsidRPr="005A284F">
              <w:rPr>
                <w:rFonts w:ascii="Times New Roman" w:eastAsia="宋体" w:hAnsi="Times New Roman" w:cs="Times New Roman"/>
                <w:sz w:val="18"/>
                <w:szCs w:val="18"/>
              </w:rPr>
              <w:t>元</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股。调整后的转股价格自</w:t>
            </w:r>
            <w:r w:rsidRPr="005A284F">
              <w:rPr>
                <w:rFonts w:ascii="Times New Roman" w:eastAsia="宋体" w:hAnsi="Times New Roman" w:cs="Times New Roman"/>
                <w:sz w:val="18"/>
                <w:szCs w:val="18"/>
              </w:rPr>
              <w:t>2022</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31</w:t>
            </w:r>
            <w:r w:rsidRPr="005A284F">
              <w:rPr>
                <w:rFonts w:ascii="Times New Roman" w:eastAsia="宋体" w:hAnsi="Times New Roman" w:cs="Times New Roman"/>
                <w:sz w:val="18"/>
                <w:szCs w:val="18"/>
              </w:rPr>
              <w:t>日起生效。</w:t>
            </w:r>
          </w:p>
        </w:tc>
        <w:tc>
          <w:tcPr>
            <w:tcW w:w="992" w:type="dxa"/>
            <w:tcBorders>
              <w:top w:val="single" w:sz="2" w:space="0" w:color="auto"/>
              <w:left w:val="single" w:sz="2" w:space="0" w:color="auto"/>
              <w:bottom w:val="single" w:sz="2" w:space="0" w:color="auto"/>
              <w:right w:val="single" w:sz="2" w:space="0" w:color="auto"/>
            </w:tcBorders>
            <w:vAlign w:val="center"/>
          </w:tcPr>
          <w:p w14:paraId="69040C8A" w14:textId="53DCB07E" w:rsidR="006C011D" w:rsidRPr="005A284F" w:rsidRDefault="00294815">
            <w:pPr>
              <w:spacing w:after="0"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w:t>
            </w:r>
          </w:p>
        </w:tc>
      </w:tr>
      <w:tr w:rsidR="006C011D" w:rsidRPr="005A284F" w14:paraId="39352911" w14:textId="77777777" w:rsidTr="00294815">
        <w:trPr>
          <w:trHeight w:val="240"/>
        </w:trPr>
        <w:tc>
          <w:tcPr>
            <w:tcW w:w="851" w:type="dxa"/>
            <w:tcBorders>
              <w:top w:val="single" w:sz="2" w:space="0" w:color="auto"/>
              <w:left w:val="single" w:sz="2" w:space="0" w:color="auto"/>
              <w:bottom w:val="single" w:sz="2" w:space="0" w:color="auto"/>
              <w:right w:val="single" w:sz="2" w:space="0" w:color="auto"/>
            </w:tcBorders>
            <w:vAlign w:val="center"/>
          </w:tcPr>
          <w:p w14:paraId="56708DB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龙大转债</w:t>
            </w:r>
          </w:p>
        </w:tc>
        <w:tc>
          <w:tcPr>
            <w:tcW w:w="1701" w:type="dxa"/>
            <w:tcBorders>
              <w:top w:val="single" w:sz="2" w:space="0" w:color="auto"/>
              <w:left w:val="single" w:sz="2" w:space="0" w:color="auto"/>
              <w:bottom w:val="single" w:sz="2" w:space="0" w:color="auto"/>
              <w:right w:val="single" w:sz="2" w:space="0" w:color="auto"/>
            </w:tcBorders>
            <w:vAlign w:val="center"/>
          </w:tcPr>
          <w:p w14:paraId="36FAC6C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2022</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19</w:t>
            </w:r>
            <w:r w:rsidRPr="005A284F">
              <w:rPr>
                <w:rFonts w:ascii="Times New Roman" w:eastAsia="宋体" w:hAnsi="Times New Roman" w:cs="Times New Roman"/>
                <w:sz w:val="18"/>
                <w:szCs w:val="18"/>
              </w:rPr>
              <w:t>日</w:t>
            </w:r>
          </w:p>
        </w:tc>
        <w:tc>
          <w:tcPr>
            <w:tcW w:w="992" w:type="dxa"/>
            <w:tcBorders>
              <w:top w:val="single" w:sz="2" w:space="0" w:color="auto"/>
              <w:left w:val="single" w:sz="2" w:space="0" w:color="auto"/>
              <w:bottom w:val="single" w:sz="2" w:space="0" w:color="auto"/>
              <w:right w:val="single" w:sz="2" w:space="0" w:color="auto"/>
            </w:tcBorders>
            <w:vAlign w:val="center"/>
          </w:tcPr>
          <w:p w14:paraId="4DA7C94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9.30</w:t>
            </w:r>
          </w:p>
        </w:tc>
        <w:tc>
          <w:tcPr>
            <w:tcW w:w="1701" w:type="dxa"/>
            <w:tcBorders>
              <w:top w:val="single" w:sz="2" w:space="0" w:color="auto"/>
              <w:left w:val="single" w:sz="2" w:space="0" w:color="auto"/>
              <w:bottom w:val="single" w:sz="2" w:space="0" w:color="auto"/>
              <w:right w:val="single" w:sz="2" w:space="0" w:color="auto"/>
            </w:tcBorders>
            <w:vAlign w:val="center"/>
          </w:tcPr>
          <w:p w14:paraId="38E2A47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2022</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19</w:t>
            </w:r>
            <w:r w:rsidRPr="005A284F">
              <w:rPr>
                <w:rFonts w:ascii="Times New Roman" w:eastAsia="宋体" w:hAnsi="Times New Roman" w:cs="Times New Roman"/>
                <w:sz w:val="18"/>
                <w:szCs w:val="18"/>
              </w:rPr>
              <w:t>日</w:t>
            </w:r>
          </w:p>
        </w:tc>
        <w:tc>
          <w:tcPr>
            <w:tcW w:w="3402" w:type="dxa"/>
            <w:tcBorders>
              <w:top w:val="single" w:sz="2" w:space="0" w:color="auto"/>
              <w:left w:val="single" w:sz="2" w:space="0" w:color="auto"/>
              <w:bottom w:val="single" w:sz="2" w:space="0" w:color="auto"/>
              <w:right w:val="single" w:sz="2" w:space="0" w:color="auto"/>
            </w:tcBorders>
            <w:vAlign w:val="center"/>
          </w:tcPr>
          <w:p w14:paraId="69CBDE4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自前次转股价格调整日至</w:t>
            </w:r>
            <w:r w:rsidRPr="005A284F">
              <w:rPr>
                <w:rFonts w:ascii="Times New Roman" w:eastAsia="宋体" w:hAnsi="Times New Roman" w:cs="Times New Roman"/>
                <w:sz w:val="18"/>
                <w:szCs w:val="18"/>
              </w:rPr>
              <w:t xml:space="preserve"> 2022</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17</w:t>
            </w:r>
            <w:r w:rsidRPr="005A284F">
              <w:rPr>
                <w:rFonts w:ascii="Times New Roman" w:eastAsia="宋体" w:hAnsi="Times New Roman" w:cs="Times New Roman"/>
                <w:sz w:val="18"/>
                <w:szCs w:val="18"/>
              </w:rPr>
              <w:t>日，公司总股本因激励对象自主行权以及限制性股票回购注销而发生变化，根据公司可转换公司债券转股价格调整的相关条款，</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龙大转债</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的转股价由</w:t>
            </w:r>
            <w:r w:rsidRPr="005A284F">
              <w:rPr>
                <w:rFonts w:ascii="Times New Roman" w:eastAsia="宋体" w:hAnsi="Times New Roman" w:cs="Times New Roman"/>
                <w:sz w:val="18"/>
                <w:szCs w:val="18"/>
              </w:rPr>
              <w:t>9.28</w:t>
            </w:r>
            <w:r w:rsidRPr="005A284F">
              <w:rPr>
                <w:rFonts w:ascii="Times New Roman" w:eastAsia="宋体" w:hAnsi="Times New Roman" w:cs="Times New Roman"/>
                <w:sz w:val="18"/>
                <w:szCs w:val="18"/>
              </w:rPr>
              <w:t>元</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股调整为</w:t>
            </w:r>
            <w:r w:rsidRPr="005A284F">
              <w:rPr>
                <w:rFonts w:ascii="Times New Roman" w:eastAsia="宋体" w:hAnsi="Times New Roman" w:cs="Times New Roman"/>
                <w:sz w:val="18"/>
                <w:szCs w:val="18"/>
              </w:rPr>
              <w:t>9.30</w:t>
            </w:r>
            <w:r w:rsidRPr="005A284F">
              <w:rPr>
                <w:rFonts w:ascii="Times New Roman" w:eastAsia="宋体" w:hAnsi="Times New Roman" w:cs="Times New Roman"/>
                <w:sz w:val="18"/>
                <w:szCs w:val="18"/>
              </w:rPr>
              <w:t>元</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股。调整后的转股价格自</w:t>
            </w:r>
            <w:r w:rsidRPr="005A284F">
              <w:rPr>
                <w:rFonts w:ascii="Times New Roman" w:eastAsia="宋体" w:hAnsi="Times New Roman" w:cs="Times New Roman"/>
                <w:sz w:val="18"/>
                <w:szCs w:val="18"/>
              </w:rPr>
              <w:t>2022</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19</w:t>
            </w:r>
            <w:r w:rsidRPr="005A284F">
              <w:rPr>
                <w:rFonts w:ascii="Times New Roman" w:eastAsia="宋体" w:hAnsi="Times New Roman" w:cs="Times New Roman"/>
                <w:sz w:val="18"/>
                <w:szCs w:val="18"/>
              </w:rPr>
              <w:t>日起生效。</w:t>
            </w:r>
          </w:p>
        </w:tc>
        <w:tc>
          <w:tcPr>
            <w:tcW w:w="992" w:type="dxa"/>
            <w:tcBorders>
              <w:top w:val="single" w:sz="2" w:space="0" w:color="auto"/>
              <w:left w:val="single" w:sz="2" w:space="0" w:color="auto"/>
              <w:bottom w:val="single" w:sz="2" w:space="0" w:color="auto"/>
              <w:right w:val="single" w:sz="2" w:space="0" w:color="auto"/>
            </w:tcBorders>
            <w:vAlign w:val="center"/>
          </w:tcPr>
          <w:p w14:paraId="4D1BA92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9.30</w:t>
            </w:r>
          </w:p>
        </w:tc>
      </w:tr>
    </w:tbl>
    <w:p w14:paraId="47753A3B" w14:textId="77777777" w:rsidR="006C011D" w:rsidRPr="005A284F" w:rsidRDefault="00000000">
      <w:pPr>
        <w:pStyle w:val="3"/>
        <w:spacing w:line="280" w:lineRule="exact"/>
        <w:jc w:val="left"/>
        <w:rPr>
          <w:rFonts w:ascii="Times New Roman" w:hAnsi="Times New Roman" w:cs="Times New Roman"/>
          <w:b/>
          <w:bCs/>
        </w:rPr>
      </w:pPr>
      <w:bookmarkStart w:id="96" w:name="_Toc988985"/>
      <w:r w:rsidRPr="005A284F">
        <w:rPr>
          <w:rFonts w:ascii="Times New Roman" w:hAnsi="Times New Roman" w:cs="Times New Roman"/>
          <w:b/>
          <w:bCs/>
        </w:rPr>
        <w:t>6</w:t>
      </w:r>
      <w:r w:rsidRPr="005A284F">
        <w:rPr>
          <w:rFonts w:ascii="Times New Roman" w:hAnsi="Times New Roman" w:cs="Times New Roman"/>
          <w:b/>
          <w:bCs/>
        </w:rPr>
        <w:t>、报告期末公司的负债情况、资信变化情况以及在未来年度还债的现金安排</w:t>
      </w:r>
      <w:bookmarkEnd w:id="96"/>
    </w:p>
    <w:p w14:paraId="7747C717" w14:textId="77777777" w:rsidR="000309B5" w:rsidRPr="00294815" w:rsidRDefault="00000000" w:rsidP="00294815">
      <w:pPr>
        <w:pStyle w:val="a3"/>
        <w:spacing w:before="0" w:beforeAutospacing="0" w:after="0" w:afterAutospacing="0" w:line="276" w:lineRule="auto"/>
        <w:ind w:firstLineChars="200" w:firstLine="360"/>
        <w:jc w:val="both"/>
        <w:divId w:val="144664935"/>
        <w:rPr>
          <w:rFonts w:ascii="Times New Roman" w:hAnsi="Times New Roman" w:cs="Times New Roman"/>
          <w:sz w:val="18"/>
          <w:szCs w:val="18"/>
        </w:rPr>
      </w:pPr>
      <w:r w:rsidRPr="00294815">
        <w:rPr>
          <w:rFonts w:ascii="Times New Roman" w:hAnsi="Times New Roman" w:cs="Times New Roman"/>
          <w:sz w:val="18"/>
          <w:szCs w:val="18"/>
        </w:rPr>
        <w:t>（</w:t>
      </w:r>
      <w:r w:rsidRPr="00294815">
        <w:rPr>
          <w:rFonts w:ascii="Times New Roman" w:hAnsi="Times New Roman" w:cs="Times New Roman"/>
          <w:sz w:val="18"/>
          <w:szCs w:val="18"/>
        </w:rPr>
        <w:t>1</w:t>
      </w:r>
      <w:r w:rsidRPr="00294815">
        <w:rPr>
          <w:rFonts w:ascii="Times New Roman" w:hAnsi="Times New Roman" w:cs="Times New Roman"/>
          <w:sz w:val="18"/>
          <w:szCs w:val="18"/>
        </w:rPr>
        <w:t>）报告期末公司的会计指标详见本节</w:t>
      </w:r>
      <w:r w:rsidRPr="00294815">
        <w:rPr>
          <w:rFonts w:ascii="Times New Roman" w:hAnsi="Times New Roman" w:cs="Times New Roman"/>
          <w:sz w:val="18"/>
          <w:szCs w:val="18"/>
        </w:rPr>
        <w:t>“</w:t>
      </w:r>
      <w:r w:rsidRPr="00294815">
        <w:rPr>
          <w:rFonts w:ascii="Times New Roman" w:hAnsi="Times New Roman" w:cs="Times New Roman"/>
          <w:sz w:val="18"/>
          <w:szCs w:val="18"/>
        </w:rPr>
        <w:t>六、截至报告期末公司近两年的主要会计数据和财务指标</w:t>
      </w:r>
      <w:r w:rsidRPr="00294815">
        <w:rPr>
          <w:rFonts w:ascii="Times New Roman" w:hAnsi="Times New Roman" w:cs="Times New Roman"/>
          <w:sz w:val="18"/>
          <w:szCs w:val="18"/>
        </w:rPr>
        <w:t>”</w:t>
      </w:r>
      <w:r w:rsidRPr="00294815">
        <w:rPr>
          <w:rFonts w:ascii="Times New Roman" w:hAnsi="Times New Roman" w:cs="Times New Roman"/>
          <w:sz w:val="18"/>
          <w:szCs w:val="18"/>
        </w:rPr>
        <w:t>。</w:t>
      </w:r>
    </w:p>
    <w:p w14:paraId="17ADBF82" w14:textId="1ED633A3" w:rsidR="000309B5" w:rsidRPr="00294815" w:rsidRDefault="00000000" w:rsidP="00294815">
      <w:pPr>
        <w:pStyle w:val="a3"/>
        <w:spacing w:before="0" w:beforeAutospacing="0" w:after="0" w:afterAutospacing="0" w:line="276" w:lineRule="auto"/>
        <w:ind w:firstLineChars="200" w:firstLine="360"/>
        <w:jc w:val="both"/>
        <w:divId w:val="144664935"/>
        <w:rPr>
          <w:rFonts w:ascii="Times New Roman" w:hAnsi="Times New Roman" w:cs="Times New Roman"/>
          <w:sz w:val="18"/>
          <w:szCs w:val="18"/>
        </w:rPr>
      </w:pPr>
      <w:r w:rsidRPr="00294815">
        <w:rPr>
          <w:rFonts w:ascii="Times New Roman" w:hAnsi="Times New Roman" w:cs="Times New Roman"/>
          <w:sz w:val="18"/>
          <w:szCs w:val="18"/>
        </w:rPr>
        <w:t>（</w:t>
      </w:r>
      <w:r w:rsidRPr="00294815">
        <w:rPr>
          <w:rFonts w:ascii="Times New Roman" w:hAnsi="Times New Roman" w:cs="Times New Roman"/>
          <w:sz w:val="18"/>
          <w:szCs w:val="18"/>
        </w:rPr>
        <w:t>2</w:t>
      </w:r>
      <w:r w:rsidRPr="00294815">
        <w:rPr>
          <w:rFonts w:ascii="Times New Roman" w:hAnsi="Times New Roman" w:cs="Times New Roman"/>
          <w:sz w:val="18"/>
          <w:szCs w:val="18"/>
        </w:rPr>
        <w:t>）联合资信评估股份有限公司于</w:t>
      </w:r>
      <w:r w:rsidRPr="00294815">
        <w:rPr>
          <w:rFonts w:ascii="Times New Roman" w:hAnsi="Times New Roman" w:cs="Times New Roman"/>
          <w:sz w:val="18"/>
          <w:szCs w:val="18"/>
        </w:rPr>
        <w:t>2025</w:t>
      </w:r>
      <w:r w:rsidRPr="00294815">
        <w:rPr>
          <w:rFonts w:ascii="Times New Roman" w:hAnsi="Times New Roman" w:cs="Times New Roman"/>
          <w:sz w:val="18"/>
          <w:szCs w:val="18"/>
        </w:rPr>
        <w:t>年</w:t>
      </w:r>
      <w:r w:rsidRPr="00294815">
        <w:rPr>
          <w:rFonts w:ascii="Times New Roman" w:hAnsi="Times New Roman" w:cs="Times New Roman"/>
          <w:sz w:val="18"/>
          <w:szCs w:val="18"/>
        </w:rPr>
        <w:t>6</w:t>
      </w:r>
      <w:r w:rsidRPr="00294815">
        <w:rPr>
          <w:rFonts w:ascii="Times New Roman" w:hAnsi="Times New Roman" w:cs="Times New Roman"/>
          <w:sz w:val="18"/>
          <w:szCs w:val="18"/>
        </w:rPr>
        <w:t>月</w:t>
      </w:r>
      <w:r w:rsidRPr="00294815">
        <w:rPr>
          <w:rFonts w:ascii="Times New Roman" w:hAnsi="Times New Roman" w:cs="Times New Roman"/>
          <w:sz w:val="18"/>
          <w:szCs w:val="18"/>
        </w:rPr>
        <w:t>26</w:t>
      </w:r>
      <w:r w:rsidRPr="00294815">
        <w:rPr>
          <w:rFonts w:ascii="Times New Roman" w:hAnsi="Times New Roman" w:cs="Times New Roman"/>
          <w:sz w:val="18"/>
          <w:szCs w:val="18"/>
        </w:rPr>
        <w:t>日出具了《山东龙大美食股份有限公司公开发行可转换公司债券</w:t>
      </w:r>
      <w:r w:rsidRPr="00294815">
        <w:rPr>
          <w:rFonts w:ascii="Times New Roman" w:hAnsi="Times New Roman" w:cs="Times New Roman"/>
          <w:sz w:val="18"/>
          <w:szCs w:val="18"/>
        </w:rPr>
        <w:t>2025</w:t>
      </w:r>
      <w:r w:rsidRPr="00294815">
        <w:rPr>
          <w:rFonts w:ascii="Times New Roman" w:hAnsi="Times New Roman" w:cs="Times New Roman"/>
          <w:sz w:val="18"/>
          <w:szCs w:val="18"/>
        </w:rPr>
        <w:t>年跟踪评级报告》（联合〔</w:t>
      </w:r>
      <w:r w:rsidRPr="00294815">
        <w:rPr>
          <w:rFonts w:ascii="Times New Roman" w:hAnsi="Times New Roman" w:cs="Times New Roman"/>
          <w:sz w:val="18"/>
          <w:szCs w:val="18"/>
        </w:rPr>
        <w:t>2025</w:t>
      </w:r>
      <w:r w:rsidRPr="00294815">
        <w:rPr>
          <w:rFonts w:ascii="Times New Roman" w:hAnsi="Times New Roman" w:cs="Times New Roman"/>
          <w:sz w:val="18"/>
          <w:szCs w:val="18"/>
        </w:rPr>
        <w:t>〕</w:t>
      </w:r>
      <w:r w:rsidRPr="00294815">
        <w:rPr>
          <w:rFonts w:ascii="Times New Roman" w:hAnsi="Times New Roman" w:cs="Times New Roman"/>
          <w:sz w:val="18"/>
          <w:szCs w:val="18"/>
        </w:rPr>
        <w:t>5323</w:t>
      </w:r>
      <w:r w:rsidRPr="00294815">
        <w:rPr>
          <w:rFonts w:ascii="Times New Roman" w:hAnsi="Times New Roman" w:cs="Times New Roman"/>
          <w:sz w:val="18"/>
          <w:szCs w:val="18"/>
        </w:rPr>
        <w:t>号），通过对公司主体及其相关债券的信用状况进行跟踪分析和评估，确定维持公司主体长期信用等级为</w:t>
      </w:r>
      <w:r w:rsidRPr="00294815">
        <w:rPr>
          <w:rFonts w:ascii="Times New Roman" w:hAnsi="Times New Roman" w:cs="Times New Roman"/>
          <w:sz w:val="18"/>
          <w:szCs w:val="18"/>
        </w:rPr>
        <w:t>A+</w:t>
      </w:r>
      <w:r w:rsidRPr="00294815">
        <w:rPr>
          <w:rFonts w:ascii="Times New Roman" w:hAnsi="Times New Roman" w:cs="Times New Roman"/>
          <w:sz w:val="18"/>
          <w:szCs w:val="18"/>
        </w:rPr>
        <w:t>，维持</w:t>
      </w:r>
      <w:r w:rsidRPr="00294815">
        <w:rPr>
          <w:rFonts w:ascii="Times New Roman" w:hAnsi="Times New Roman" w:cs="Times New Roman"/>
          <w:sz w:val="18"/>
          <w:szCs w:val="18"/>
        </w:rPr>
        <w:t>“</w:t>
      </w:r>
      <w:r w:rsidRPr="00294815">
        <w:rPr>
          <w:rFonts w:ascii="Times New Roman" w:hAnsi="Times New Roman" w:cs="Times New Roman"/>
          <w:sz w:val="18"/>
          <w:szCs w:val="18"/>
        </w:rPr>
        <w:t>龙大转债</w:t>
      </w:r>
      <w:r w:rsidRPr="00294815">
        <w:rPr>
          <w:rFonts w:ascii="Times New Roman" w:hAnsi="Times New Roman" w:cs="Times New Roman"/>
          <w:sz w:val="18"/>
          <w:szCs w:val="18"/>
        </w:rPr>
        <w:t>”</w:t>
      </w:r>
      <w:r w:rsidRPr="00294815">
        <w:rPr>
          <w:rFonts w:ascii="Times New Roman" w:hAnsi="Times New Roman" w:cs="Times New Roman"/>
          <w:sz w:val="18"/>
          <w:szCs w:val="18"/>
        </w:rPr>
        <w:t>信用等级为</w:t>
      </w:r>
      <w:r w:rsidRPr="00294815">
        <w:rPr>
          <w:rFonts w:ascii="Times New Roman" w:hAnsi="Times New Roman" w:cs="Times New Roman"/>
          <w:sz w:val="18"/>
          <w:szCs w:val="18"/>
        </w:rPr>
        <w:t>A+</w:t>
      </w:r>
      <w:r w:rsidRPr="00294815">
        <w:rPr>
          <w:rFonts w:ascii="Times New Roman" w:hAnsi="Times New Roman" w:cs="Times New Roman"/>
          <w:sz w:val="18"/>
          <w:szCs w:val="18"/>
        </w:rPr>
        <w:t>，将公司及</w:t>
      </w:r>
      <w:r w:rsidRPr="00294815">
        <w:rPr>
          <w:rFonts w:ascii="Times New Roman" w:hAnsi="Times New Roman" w:cs="Times New Roman"/>
          <w:sz w:val="18"/>
          <w:szCs w:val="18"/>
        </w:rPr>
        <w:t>“</w:t>
      </w:r>
      <w:r w:rsidRPr="00294815">
        <w:rPr>
          <w:rFonts w:ascii="Times New Roman" w:hAnsi="Times New Roman" w:cs="Times New Roman"/>
          <w:sz w:val="18"/>
          <w:szCs w:val="18"/>
        </w:rPr>
        <w:t>龙大转债</w:t>
      </w:r>
      <w:r w:rsidRPr="00294815">
        <w:rPr>
          <w:rFonts w:ascii="Times New Roman" w:hAnsi="Times New Roman" w:cs="Times New Roman"/>
          <w:sz w:val="18"/>
          <w:szCs w:val="18"/>
        </w:rPr>
        <w:t>”</w:t>
      </w:r>
      <w:r w:rsidRPr="00294815">
        <w:rPr>
          <w:rFonts w:ascii="Times New Roman" w:hAnsi="Times New Roman" w:cs="Times New Roman"/>
          <w:sz w:val="18"/>
          <w:szCs w:val="18"/>
        </w:rPr>
        <w:t>列入评级观察名单。</w:t>
      </w:r>
    </w:p>
    <w:p w14:paraId="7F98A554" w14:textId="77777777" w:rsidR="000309B5" w:rsidRPr="00294815" w:rsidRDefault="00000000" w:rsidP="00294815">
      <w:pPr>
        <w:pStyle w:val="a3"/>
        <w:spacing w:before="0" w:beforeAutospacing="0" w:after="0" w:afterAutospacing="0" w:line="276" w:lineRule="auto"/>
        <w:ind w:firstLineChars="200" w:firstLine="360"/>
        <w:jc w:val="both"/>
        <w:divId w:val="144664935"/>
        <w:rPr>
          <w:rFonts w:ascii="Times New Roman" w:hAnsi="Times New Roman" w:cs="Times New Roman"/>
          <w:sz w:val="18"/>
          <w:szCs w:val="18"/>
        </w:rPr>
      </w:pPr>
      <w:r w:rsidRPr="00294815">
        <w:rPr>
          <w:rFonts w:ascii="Times New Roman" w:hAnsi="Times New Roman" w:cs="Times New Roman"/>
          <w:sz w:val="18"/>
          <w:szCs w:val="18"/>
        </w:rPr>
        <w:t>（</w:t>
      </w:r>
      <w:r w:rsidRPr="00294815">
        <w:rPr>
          <w:rFonts w:ascii="Times New Roman" w:hAnsi="Times New Roman" w:cs="Times New Roman"/>
          <w:sz w:val="18"/>
          <w:szCs w:val="18"/>
        </w:rPr>
        <w:t>3</w:t>
      </w:r>
      <w:r w:rsidRPr="00294815">
        <w:rPr>
          <w:rFonts w:ascii="Times New Roman" w:hAnsi="Times New Roman" w:cs="Times New Roman"/>
          <w:sz w:val="18"/>
          <w:szCs w:val="18"/>
        </w:rPr>
        <w:t>）公司主营业务稳定，经营情况良好，资产负债率保持在较合理水平。公司将做好资金规划，为债券还本付息做好充足准备。</w:t>
      </w:r>
    </w:p>
    <w:p w14:paraId="1E0B962E"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97" w:name="_Toc988986"/>
      <w:r w:rsidRPr="005A284F">
        <w:rPr>
          <w:rFonts w:ascii="Times New Roman" w:eastAsia="宋体" w:hAnsi="Times New Roman" w:cs="Times New Roman"/>
          <w:b/>
          <w:bCs/>
          <w:sz w:val="24"/>
          <w:szCs w:val="24"/>
        </w:rPr>
        <w:t>五、报告期内合并报表范围亏损超过上年末净资产</w:t>
      </w:r>
      <w:r w:rsidRPr="005A284F">
        <w:rPr>
          <w:rFonts w:ascii="Times New Roman" w:eastAsia="宋体" w:hAnsi="Times New Roman" w:cs="Times New Roman"/>
          <w:b/>
          <w:bCs/>
          <w:sz w:val="24"/>
          <w:szCs w:val="24"/>
        </w:rPr>
        <w:t>10%</w:t>
      </w:r>
      <w:bookmarkEnd w:id="97"/>
    </w:p>
    <w:p w14:paraId="3D8D368E" w14:textId="77777777" w:rsidR="006C011D" w:rsidRPr="00294815" w:rsidRDefault="00000000">
      <w:pPr>
        <w:spacing w:before="40" w:after="40" w:line="240" w:lineRule="exact"/>
        <w:rPr>
          <w:rFonts w:ascii="宋体" w:eastAsia="宋体" w:hAnsi="宋体" w:cs="Times New Roman" w:hint="eastAsia"/>
          <w:sz w:val="18"/>
          <w:szCs w:val="18"/>
        </w:rPr>
      </w:pPr>
      <w:r w:rsidRPr="00294815">
        <w:rPr>
          <w:rFonts w:ascii="宋体" w:eastAsia="宋体" w:hAnsi="宋体" w:cs="Times New Roman"/>
          <w:sz w:val="18"/>
          <w:szCs w:val="18"/>
        </w:rPr>
        <w:t xml:space="preserve">□适用 </w:t>
      </w:r>
      <w:r w:rsidRPr="00294815">
        <w:rPr>
          <w:rFonts w:ascii="宋体" w:eastAsia="宋体" w:hAnsi="宋体" w:cs="Times New Roman"/>
          <w:sz w:val="18"/>
          <w:szCs w:val="18"/>
        </w:rPr>
        <w:sym w:font="Wingdings 2" w:char="F052"/>
      </w:r>
      <w:r w:rsidRPr="00294815">
        <w:rPr>
          <w:rFonts w:ascii="宋体" w:eastAsia="宋体" w:hAnsi="宋体" w:cs="Times New Roman"/>
          <w:sz w:val="18"/>
          <w:szCs w:val="18"/>
        </w:rPr>
        <w:t>不适用</w:t>
      </w:r>
    </w:p>
    <w:p w14:paraId="6D72C93D"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98" w:name="_Toc988987"/>
      <w:r w:rsidRPr="005A284F">
        <w:rPr>
          <w:rFonts w:ascii="Times New Roman" w:eastAsia="宋体" w:hAnsi="Times New Roman" w:cs="Times New Roman"/>
          <w:b/>
          <w:bCs/>
          <w:sz w:val="24"/>
          <w:szCs w:val="24"/>
        </w:rPr>
        <w:t>六、截至报告期末公司近两年的主要会计数据和财务指标</w:t>
      </w:r>
      <w:bookmarkEnd w:id="98"/>
    </w:p>
    <w:p w14:paraId="679F1953"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单位：万元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6C011D" w:rsidRPr="005A284F" w14:paraId="6970757E" w14:textId="77777777" w:rsidTr="00294815">
        <w:trPr>
          <w:trHeight w:val="2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D9B823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1DF0B2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本报告期末</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4BC10E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上年末</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DE1C5D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本报告期末比上年末增减</w:t>
            </w:r>
          </w:p>
        </w:tc>
      </w:tr>
      <w:tr w:rsidR="006C011D" w:rsidRPr="005A284F" w14:paraId="5A55EE37" w14:textId="77777777" w:rsidTr="00294815">
        <w:trPr>
          <w:trHeight w:val="2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A58442F"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流动比率</w:t>
            </w:r>
          </w:p>
        </w:tc>
        <w:tc>
          <w:tcPr>
            <w:tcW w:w="2410" w:type="dxa"/>
            <w:tcBorders>
              <w:top w:val="single" w:sz="2" w:space="0" w:color="auto"/>
              <w:left w:val="single" w:sz="2" w:space="0" w:color="auto"/>
              <w:bottom w:val="single" w:sz="2" w:space="0" w:color="auto"/>
              <w:right w:val="single" w:sz="2" w:space="0" w:color="auto"/>
            </w:tcBorders>
            <w:vAlign w:val="center"/>
          </w:tcPr>
          <w:p w14:paraId="473C77A5" w14:textId="6340D16E" w:rsidR="006C011D" w:rsidRPr="005A284F" w:rsidRDefault="008F1E61">
            <w:pPr>
              <w:spacing w:after="0"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0.</w:t>
            </w:r>
            <w:r w:rsidRPr="005A284F">
              <w:rPr>
                <w:rFonts w:ascii="Times New Roman" w:eastAsia="宋体" w:hAnsi="Times New Roman" w:cs="Times New Roman"/>
                <w:sz w:val="18"/>
                <w:szCs w:val="18"/>
              </w:rPr>
              <w:t>8816</w:t>
            </w:r>
          </w:p>
        </w:tc>
        <w:tc>
          <w:tcPr>
            <w:tcW w:w="2410" w:type="dxa"/>
            <w:tcBorders>
              <w:top w:val="single" w:sz="2" w:space="0" w:color="auto"/>
              <w:left w:val="single" w:sz="2" w:space="0" w:color="auto"/>
              <w:bottom w:val="single" w:sz="2" w:space="0" w:color="auto"/>
              <w:right w:val="single" w:sz="2" w:space="0" w:color="auto"/>
            </w:tcBorders>
            <w:vAlign w:val="center"/>
          </w:tcPr>
          <w:p w14:paraId="75C6D419" w14:textId="2CBA58B9" w:rsidR="006C011D" w:rsidRPr="005A284F" w:rsidRDefault="008F1E61">
            <w:pPr>
              <w:spacing w:after="0"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0.</w:t>
            </w:r>
            <w:r w:rsidRPr="005A284F">
              <w:rPr>
                <w:rFonts w:ascii="Times New Roman" w:eastAsia="宋体" w:hAnsi="Times New Roman" w:cs="Times New Roman"/>
                <w:sz w:val="18"/>
                <w:szCs w:val="18"/>
              </w:rPr>
              <w:t>8749</w:t>
            </w:r>
          </w:p>
        </w:tc>
        <w:tc>
          <w:tcPr>
            <w:tcW w:w="2410" w:type="dxa"/>
            <w:tcBorders>
              <w:top w:val="single" w:sz="2" w:space="0" w:color="auto"/>
              <w:left w:val="single" w:sz="2" w:space="0" w:color="auto"/>
              <w:bottom w:val="single" w:sz="2" w:space="0" w:color="auto"/>
              <w:right w:val="single" w:sz="2" w:space="0" w:color="auto"/>
            </w:tcBorders>
            <w:vAlign w:val="center"/>
          </w:tcPr>
          <w:p w14:paraId="67C3B72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0.77%</w:t>
            </w:r>
          </w:p>
        </w:tc>
      </w:tr>
      <w:tr w:rsidR="006C011D" w:rsidRPr="005A284F" w14:paraId="62CE1442" w14:textId="77777777" w:rsidTr="00294815">
        <w:trPr>
          <w:trHeight w:val="2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DA0A3C6"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资产负债率</w:t>
            </w:r>
          </w:p>
        </w:tc>
        <w:tc>
          <w:tcPr>
            <w:tcW w:w="2410" w:type="dxa"/>
            <w:tcBorders>
              <w:top w:val="single" w:sz="2" w:space="0" w:color="auto"/>
              <w:left w:val="single" w:sz="2" w:space="0" w:color="auto"/>
              <w:bottom w:val="single" w:sz="2" w:space="0" w:color="auto"/>
              <w:right w:val="single" w:sz="2" w:space="0" w:color="auto"/>
            </w:tcBorders>
            <w:vAlign w:val="center"/>
          </w:tcPr>
          <w:p w14:paraId="06B7BD1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70.82%</w:t>
            </w:r>
          </w:p>
        </w:tc>
        <w:tc>
          <w:tcPr>
            <w:tcW w:w="2410" w:type="dxa"/>
            <w:tcBorders>
              <w:top w:val="single" w:sz="2" w:space="0" w:color="auto"/>
              <w:left w:val="single" w:sz="2" w:space="0" w:color="auto"/>
              <w:bottom w:val="single" w:sz="2" w:space="0" w:color="auto"/>
              <w:right w:val="single" w:sz="2" w:space="0" w:color="auto"/>
            </w:tcBorders>
            <w:vAlign w:val="center"/>
          </w:tcPr>
          <w:p w14:paraId="51DD22B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71.74%</w:t>
            </w:r>
          </w:p>
        </w:tc>
        <w:tc>
          <w:tcPr>
            <w:tcW w:w="2410" w:type="dxa"/>
            <w:tcBorders>
              <w:top w:val="single" w:sz="2" w:space="0" w:color="auto"/>
              <w:left w:val="single" w:sz="2" w:space="0" w:color="auto"/>
              <w:bottom w:val="single" w:sz="2" w:space="0" w:color="auto"/>
              <w:right w:val="single" w:sz="2" w:space="0" w:color="auto"/>
            </w:tcBorders>
            <w:vAlign w:val="center"/>
          </w:tcPr>
          <w:p w14:paraId="2B89DC1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-0.92%</w:t>
            </w:r>
          </w:p>
        </w:tc>
      </w:tr>
      <w:tr w:rsidR="006C011D" w:rsidRPr="005A284F" w14:paraId="0BD22B62" w14:textId="77777777" w:rsidTr="00294815">
        <w:trPr>
          <w:trHeight w:val="2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6EC0C02"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速动比率</w:t>
            </w:r>
          </w:p>
        </w:tc>
        <w:tc>
          <w:tcPr>
            <w:tcW w:w="2410" w:type="dxa"/>
            <w:tcBorders>
              <w:top w:val="single" w:sz="2" w:space="0" w:color="auto"/>
              <w:left w:val="single" w:sz="2" w:space="0" w:color="auto"/>
              <w:bottom w:val="single" w:sz="2" w:space="0" w:color="auto"/>
              <w:right w:val="single" w:sz="2" w:space="0" w:color="auto"/>
            </w:tcBorders>
            <w:vAlign w:val="center"/>
          </w:tcPr>
          <w:p w14:paraId="78956F02" w14:textId="40C457A0" w:rsidR="006C011D" w:rsidRPr="005A284F" w:rsidRDefault="008F1E61">
            <w:pPr>
              <w:spacing w:after="0"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0.</w:t>
            </w:r>
            <w:r w:rsidRPr="005A284F">
              <w:rPr>
                <w:rFonts w:ascii="Times New Roman" w:eastAsia="宋体" w:hAnsi="Times New Roman" w:cs="Times New Roman"/>
                <w:sz w:val="18"/>
                <w:szCs w:val="18"/>
              </w:rPr>
              <w:t>5282</w:t>
            </w:r>
          </w:p>
        </w:tc>
        <w:tc>
          <w:tcPr>
            <w:tcW w:w="2410" w:type="dxa"/>
            <w:tcBorders>
              <w:top w:val="single" w:sz="2" w:space="0" w:color="auto"/>
              <w:left w:val="single" w:sz="2" w:space="0" w:color="auto"/>
              <w:bottom w:val="single" w:sz="2" w:space="0" w:color="auto"/>
              <w:right w:val="single" w:sz="2" w:space="0" w:color="auto"/>
            </w:tcBorders>
            <w:vAlign w:val="center"/>
          </w:tcPr>
          <w:p w14:paraId="17D0881B" w14:textId="7090B664" w:rsidR="006C011D" w:rsidRPr="005A284F" w:rsidRDefault="008F1E61">
            <w:pPr>
              <w:spacing w:after="0"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0.</w:t>
            </w:r>
            <w:r w:rsidRPr="005A284F">
              <w:rPr>
                <w:rFonts w:ascii="Times New Roman" w:eastAsia="宋体" w:hAnsi="Times New Roman" w:cs="Times New Roman"/>
                <w:sz w:val="18"/>
                <w:szCs w:val="18"/>
              </w:rPr>
              <w:t>5199</w:t>
            </w:r>
          </w:p>
        </w:tc>
        <w:tc>
          <w:tcPr>
            <w:tcW w:w="2410" w:type="dxa"/>
            <w:tcBorders>
              <w:top w:val="single" w:sz="2" w:space="0" w:color="auto"/>
              <w:left w:val="single" w:sz="2" w:space="0" w:color="auto"/>
              <w:bottom w:val="single" w:sz="2" w:space="0" w:color="auto"/>
              <w:right w:val="single" w:sz="2" w:space="0" w:color="auto"/>
            </w:tcBorders>
            <w:vAlign w:val="center"/>
          </w:tcPr>
          <w:p w14:paraId="3602285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1.60%</w:t>
            </w:r>
          </w:p>
        </w:tc>
      </w:tr>
      <w:tr w:rsidR="006C011D" w:rsidRPr="005A284F" w14:paraId="0203B08A" w14:textId="77777777" w:rsidTr="00294815">
        <w:trPr>
          <w:trHeight w:val="194"/>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8D714AA" w14:textId="77777777" w:rsidR="006C011D" w:rsidRPr="005A284F" w:rsidRDefault="006C011D">
            <w:pPr>
              <w:rPr>
                <w:rFonts w:ascii="Times New Roman" w:eastAsia="宋体" w:hAnsi="Times New Roman" w:cs="Times New Roman"/>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E406AD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本报告期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850877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上年同期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469984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本报告期比上年同期增减</w:t>
            </w:r>
          </w:p>
        </w:tc>
      </w:tr>
      <w:tr w:rsidR="006C011D" w:rsidRPr="005A284F" w14:paraId="0D914AC8" w14:textId="77777777" w:rsidTr="00294815">
        <w:trPr>
          <w:trHeight w:val="2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2986251"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扣除非经常性损益后净利润</w:t>
            </w:r>
          </w:p>
        </w:tc>
        <w:tc>
          <w:tcPr>
            <w:tcW w:w="2410" w:type="dxa"/>
            <w:tcBorders>
              <w:top w:val="single" w:sz="2" w:space="0" w:color="auto"/>
              <w:left w:val="single" w:sz="2" w:space="0" w:color="auto"/>
              <w:bottom w:val="single" w:sz="2" w:space="0" w:color="auto"/>
              <w:right w:val="single" w:sz="2" w:space="0" w:color="auto"/>
            </w:tcBorders>
            <w:vAlign w:val="center"/>
          </w:tcPr>
          <w:p w14:paraId="0B00A28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3,227.96</w:t>
            </w:r>
          </w:p>
        </w:tc>
        <w:tc>
          <w:tcPr>
            <w:tcW w:w="2410" w:type="dxa"/>
            <w:tcBorders>
              <w:top w:val="single" w:sz="2" w:space="0" w:color="auto"/>
              <w:left w:val="single" w:sz="2" w:space="0" w:color="auto"/>
              <w:bottom w:val="single" w:sz="2" w:space="0" w:color="auto"/>
              <w:right w:val="single" w:sz="2" w:space="0" w:color="auto"/>
            </w:tcBorders>
            <w:vAlign w:val="center"/>
          </w:tcPr>
          <w:p w14:paraId="326720F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5,579.46</w:t>
            </w:r>
          </w:p>
        </w:tc>
        <w:tc>
          <w:tcPr>
            <w:tcW w:w="2410" w:type="dxa"/>
            <w:tcBorders>
              <w:top w:val="single" w:sz="2" w:space="0" w:color="auto"/>
              <w:left w:val="single" w:sz="2" w:space="0" w:color="auto"/>
              <w:bottom w:val="single" w:sz="2" w:space="0" w:color="auto"/>
              <w:right w:val="single" w:sz="2" w:space="0" w:color="auto"/>
            </w:tcBorders>
            <w:vAlign w:val="center"/>
          </w:tcPr>
          <w:p w14:paraId="3969092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-42.15%</w:t>
            </w:r>
          </w:p>
        </w:tc>
      </w:tr>
      <w:tr w:rsidR="006C011D" w:rsidRPr="005A284F" w14:paraId="75F00B12" w14:textId="77777777" w:rsidTr="00294815">
        <w:trPr>
          <w:trHeight w:val="2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9EE88D1"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EBITDA</w:t>
            </w:r>
            <w:r w:rsidRPr="005A284F">
              <w:rPr>
                <w:rFonts w:ascii="Times New Roman" w:eastAsia="宋体" w:hAnsi="Times New Roman" w:cs="Times New Roman"/>
                <w:sz w:val="18"/>
                <w:szCs w:val="18"/>
              </w:rPr>
              <w:t>全部债务比</w:t>
            </w:r>
          </w:p>
        </w:tc>
        <w:tc>
          <w:tcPr>
            <w:tcW w:w="2410" w:type="dxa"/>
            <w:tcBorders>
              <w:top w:val="single" w:sz="2" w:space="0" w:color="auto"/>
              <w:left w:val="single" w:sz="2" w:space="0" w:color="auto"/>
              <w:bottom w:val="single" w:sz="2" w:space="0" w:color="auto"/>
              <w:right w:val="single" w:sz="2" w:space="0" w:color="auto"/>
            </w:tcBorders>
            <w:vAlign w:val="center"/>
          </w:tcPr>
          <w:p w14:paraId="6F03693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6.52%</w:t>
            </w:r>
          </w:p>
        </w:tc>
        <w:tc>
          <w:tcPr>
            <w:tcW w:w="2410" w:type="dxa"/>
            <w:tcBorders>
              <w:top w:val="single" w:sz="2" w:space="0" w:color="auto"/>
              <w:left w:val="single" w:sz="2" w:space="0" w:color="auto"/>
              <w:bottom w:val="single" w:sz="2" w:space="0" w:color="auto"/>
              <w:right w:val="single" w:sz="2" w:space="0" w:color="auto"/>
            </w:tcBorders>
            <w:vAlign w:val="center"/>
          </w:tcPr>
          <w:p w14:paraId="70E7E15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4.33%</w:t>
            </w:r>
          </w:p>
        </w:tc>
        <w:tc>
          <w:tcPr>
            <w:tcW w:w="2410" w:type="dxa"/>
            <w:tcBorders>
              <w:top w:val="single" w:sz="2" w:space="0" w:color="auto"/>
              <w:left w:val="single" w:sz="2" w:space="0" w:color="auto"/>
              <w:bottom w:val="single" w:sz="2" w:space="0" w:color="auto"/>
              <w:right w:val="single" w:sz="2" w:space="0" w:color="auto"/>
            </w:tcBorders>
            <w:vAlign w:val="center"/>
          </w:tcPr>
          <w:p w14:paraId="0ABC540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2.19%</w:t>
            </w:r>
          </w:p>
        </w:tc>
      </w:tr>
      <w:tr w:rsidR="006C011D" w:rsidRPr="005A284F" w14:paraId="16269926" w14:textId="77777777" w:rsidTr="00294815">
        <w:trPr>
          <w:trHeight w:val="2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4E5A7C7"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利息保障倍数</w:t>
            </w:r>
          </w:p>
        </w:tc>
        <w:tc>
          <w:tcPr>
            <w:tcW w:w="2410" w:type="dxa"/>
            <w:tcBorders>
              <w:top w:val="single" w:sz="2" w:space="0" w:color="auto"/>
              <w:left w:val="single" w:sz="2" w:space="0" w:color="auto"/>
              <w:bottom w:val="single" w:sz="2" w:space="0" w:color="auto"/>
              <w:right w:val="single" w:sz="2" w:space="0" w:color="auto"/>
            </w:tcBorders>
            <w:vAlign w:val="center"/>
          </w:tcPr>
          <w:p w14:paraId="4962490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1.44</w:t>
            </w:r>
          </w:p>
        </w:tc>
        <w:tc>
          <w:tcPr>
            <w:tcW w:w="2410" w:type="dxa"/>
            <w:tcBorders>
              <w:top w:val="single" w:sz="2" w:space="0" w:color="auto"/>
              <w:left w:val="single" w:sz="2" w:space="0" w:color="auto"/>
              <w:bottom w:val="single" w:sz="2" w:space="0" w:color="auto"/>
              <w:right w:val="single" w:sz="2" w:space="0" w:color="auto"/>
            </w:tcBorders>
            <w:vAlign w:val="center"/>
          </w:tcPr>
          <w:p w14:paraId="5A991D5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0.91</w:t>
            </w:r>
          </w:p>
        </w:tc>
        <w:tc>
          <w:tcPr>
            <w:tcW w:w="2410" w:type="dxa"/>
            <w:tcBorders>
              <w:top w:val="single" w:sz="2" w:space="0" w:color="auto"/>
              <w:left w:val="single" w:sz="2" w:space="0" w:color="auto"/>
              <w:bottom w:val="single" w:sz="2" w:space="0" w:color="auto"/>
              <w:right w:val="single" w:sz="2" w:space="0" w:color="auto"/>
            </w:tcBorders>
            <w:vAlign w:val="center"/>
          </w:tcPr>
          <w:p w14:paraId="3F074D2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58.24%</w:t>
            </w:r>
          </w:p>
        </w:tc>
      </w:tr>
      <w:tr w:rsidR="006C011D" w:rsidRPr="005A284F" w14:paraId="13017ED2" w14:textId="77777777" w:rsidTr="00294815">
        <w:trPr>
          <w:trHeight w:val="2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1CDF615"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现金利息保障倍数</w:t>
            </w:r>
          </w:p>
        </w:tc>
        <w:tc>
          <w:tcPr>
            <w:tcW w:w="2410" w:type="dxa"/>
            <w:tcBorders>
              <w:top w:val="single" w:sz="2" w:space="0" w:color="auto"/>
              <w:left w:val="single" w:sz="2" w:space="0" w:color="auto"/>
              <w:bottom w:val="single" w:sz="2" w:space="0" w:color="auto"/>
              <w:right w:val="single" w:sz="2" w:space="0" w:color="auto"/>
            </w:tcBorders>
            <w:vAlign w:val="center"/>
          </w:tcPr>
          <w:p w14:paraId="3566751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2.71</w:t>
            </w:r>
          </w:p>
        </w:tc>
        <w:tc>
          <w:tcPr>
            <w:tcW w:w="2410" w:type="dxa"/>
            <w:tcBorders>
              <w:top w:val="single" w:sz="2" w:space="0" w:color="auto"/>
              <w:left w:val="single" w:sz="2" w:space="0" w:color="auto"/>
              <w:bottom w:val="single" w:sz="2" w:space="0" w:color="auto"/>
              <w:right w:val="single" w:sz="2" w:space="0" w:color="auto"/>
            </w:tcBorders>
            <w:vAlign w:val="center"/>
          </w:tcPr>
          <w:p w14:paraId="36A60D8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1.91</w:t>
            </w:r>
          </w:p>
        </w:tc>
        <w:tc>
          <w:tcPr>
            <w:tcW w:w="2410" w:type="dxa"/>
            <w:tcBorders>
              <w:top w:val="single" w:sz="2" w:space="0" w:color="auto"/>
              <w:left w:val="single" w:sz="2" w:space="0" w:color="auto"/>
              <w:bottom w:val="single" w:sz="2" w:space="0" w:color="auto"/>
              <w:right w:val="single" w:sz="2" w:space="0" w:color="auto"/>
            </w:tcBorders>
            <w:vAlign w:val="center"/>
          </w:tcPr>
          <w:p w14:paraId="1B61D3A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41.88%</w:t>
            </w:r>
          </w:p>
        </w:tc>
      </w:tr>
      <w:tr w:rsidR="006C011D" w:rsidRPr="005A284F" w14:paraId="634F8F35" w14:textId="77777777" w:rsidTr="00294815">
        <w:trPr>
          <w:trHeight w:val="2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B6AE6E7"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EBITDA</w:t>
            </w:r>
            <w:r w:rsidRPr="005A284F">
              <w:rPr>
                <w:rFonts w:ascii="Times New Roman" w:eastAsia="宋体" w:hAnsi="Times New Roman" w:cs="Times New Roman"/>
                <w:sz w:val="18"/>
                <w:szCs w:val="18"/>
              </w:rPr>
              <w:t>利息保障倍数</w:t>
            </w:r>
          </w:p>
        </w:tc>
        <w:tc>
          <w:tcPr>
            <w:tcW w:w="2410" w:type="dxa"/>
            <w:tcBorders>
              <w:top w:val="single" w:sz="2" w:space="0" w:color="auto"/>
              <w:left w:val="single" w:sz="2" w:space="0" w:color="auto"/>
              <w:bottom w:val="single" w:sz="2" w:space="0" w:color="auto"/>
              <w:right w:val="single" w:sz="2" w:space="0" w:color="auto"/>
            </w:tcBorders>
            <w:vAlign w:val="center"/>
          </w:tcPr>
          <w:p w14:paraId="0F28F0A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3.03</w:t>
            </w:r>
          </w:p>
        </w:tc>
        <w:tc>
          <w:tcPr>
            <w:tcW w:w="2410" w:type="dxa"/>
            <w:tcBorders>
              <w:top w:val="single" w:sz="2" w:space="0" w:color="auto"/>
              <w:left w:val="single" w:sz="2" w:space="0" w:color="auto"/>
              <w:bottom w:val="single" w:sz="2" w:space="0" w:color="auto"/>
              <w:right w:val="single" w:sz="2" w:space="0" w:color="auto"/>
            </w:tcBorders>
            <w:vAlign w:val="center"/>
          </w:tcPr>
          <w:p w14:paraId="30A4199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1.15</w:t>
            </w:r>
          </w:p>
        </w:tc>
        <w:tc>
          <w:tcPr>
            <w:tcW w:w="2410" w:type="dxa"/>
            <w:tcBorders>
              <w:top w:val="single" w:sz="2" w:space="0" w:color="auto"/>
              <w:left w:val="single" w:sz="2" w:space="0" w:color="auto"/>
              <w:bottom w:val="single" w:sz="2" w:space="0" w:color="auto"/>
              <w:right w:val="single" w:sz="2" w:space="0" w:color="auto"/>
            </w:tcBorders>
            <w:vAlign w:val="center"/>
          </w:tcPr>
          <w:p w14:paraId="2277A70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163.48%</w:t>
            </w:r>
          </w:p>
        </w:tc>
      </w:tr>
      <w:tr w:rsidR="006C011D" w:rsidRPr="005A284F" w14:paraId="3BD2D064" w14:textId="77777777" w:rsidTr="00294815">
        <w:trPr>
          <w:trHeight w:val="2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E35D205"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贷款偿还率</w:t>
            </w:r>
          </w:p>
        </w:tc>
        <w:tc>
          <w:tcPr>
            <w:tcW w:w="2410" w:type="dxa"/>
            <w:tcBorders>
              <w:top w:val="single" w:sz="2" w:space="0" w:color="auto"/>
              <w:left w:val="single" w:sz="2" w:space="0" w:color="auto"/>
              <w:bottom w:val="single" w:sz="2" w:space="0" w:color="auto"/>
              <w:right w:val="single" w:sz="2" w:space="0" w:color="auto"/>
            </w:tcBorders>
            <w:vAlign w:val="center"/>
          </w:tcPr>
          <w:p w14:paraId="71C70DF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2410" w:type="dxa"/>
            <w:tcBorders>
              <w:top w:val="single" w:sz="2" w:space="0" w:color="auto"/>
              <w:left w:val="single" w:sz="2" w:space="0" w:color="auto"/>
              <w:bottom w:val="single" w:sz="2" w:space="0" w:color="auto"/>
              <w:right w:val="single" w:sz="2" w:space="0" w:color="auto"/>
            </w:tcBorders>
            <w:vAlign w:val="center"/>
          </w:tcPr>
          <w:p w14:paraId="7C708CA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2410" w:type="dxa"/>
            <w:tcBorders>
              <w:top w:val="single" w:sz="2" w:space="0" w:color="auto"/>
              <w:left w:val="single" w:sz="2" w:space="0" w:color="auto"/>
              <w:bottom w:val="single" w:sz="2" w:space="0" w:color="auto"/>
              <w:right w:val="single" w:sz="2" w:space="0" w:color="auto"/>
            </w:tcBorders>
            <w:vAlign w:val="center"/>
          </w:tcPr>
          <w:p w14:paraId="04D0081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r>
      <w:tr w:rsidR="006C011D" w:rsidRPr="005A284F" w14:paraId="521FDFEA" w14:textId="77777777" w:rsidTr="00294815">
        <w:trPr>
          <w:trHeight w:val="2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191601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利息偿付率</w:t>
            </w:r>
          </w:p>
        </w:tc>
        <w:tc>
          <w:tcPr>
            <w:tcW w:w="2410" w:type="dxa"/>
            <w:tcBorders>
              <w:top w:val="single" w:sz="2" w:space="0" w:color="auto"/>
              <w:left w:val="single" w:sz="2" w:space="0" w:color="auto"/>
              <w:bottom w:val="single" w:sz="2" w:space="0" w:color="auto"/>
              <w:right w:val="single" w:sz="2" w:space="0" w:color="auto"/>
            </w:tcBorders>
            <w:vAlign w:val="center"/>
          </w:tcPr>
          <w:p w14:paraId="61207BC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2410" w:type="dxa"/>
            <w:tcBorders>
              <w:top w:val="single" w:sz="2" w:space="0" w:color="auto"/>
              <w:left w:val="single" w:sz="2" w:space="0" w:color="auto"/>
              <w:bottom w:val="single" w:sz="2" w:space="0" w:color="auto"/>
              <w:right w:val="single" w:sz="2" w:space="0" w:color="auto"/>
            </w:tcBorders>
            <w:vAlign w:val="center"/>
          </w:tcPr>
          <w:p w14:paraId="3639027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2410" w:type="dxa"/>
            <w:tcBorders>
              <w:top w:val="single" w:sz="2" w:space="0" w:color="auto"/>
              <w:left w:val="single" w:sz="2" w:space="0" w:color="auto"/>
              <w:bottom w:val="single" w:sz="2" w:space="0" w:color="auto"/>
              <w:right w:val="single" w:sz="2" w:space="0" w:color="auto"/>
            </w:tcBorders>
            <w:vAlign w:val="center"/>
          </w:tcPr>
          <w:p w14:paraId="4421720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r>
    </w:tbl>
    <w:p w14:paraId="2BDDF365" w14:textId="77777777" w:rsidR="006C011D" w:rsidRPr="005A284F" w:rsidRDefault="00000000">
      <w:pPr>
        <w:rPr>
          <w:rFonts w:ascii="Times New Roman" w:eastAsia="宋体" w:hAnsi="Times New Roman" w:cs="Times New Roman"/>
        </w:rPr>
      </w:pPr>
      <w:r w:rsidRPr="005A284F">
        <w:rPr>
          <w:rFonts w:ascii="Times New Roman" w:eastAsia="宋体" w:hAnsi="Times New Roman" w:cs="Times New Roman"/>
        </w:rPr>
        <w:br w:type="page"/>
      </w:r>
    </w:p>
    <w:p w14:paraId="7CCF25EE" w14:textId="77777777" w:rsidR="006C011D" w:rsidRPr="005A284F" w:rsidRDefault="00000000">
      <w:pPr>
        <w:pStyle w:val="headingh1"/>
        <w:spacing w:before="340" w:after="330" w:line="773" w:lineRule="exact"/>
        <w:jc w:val="center"/>
        <w:rPr>
          <w:rFonts w:ascii="Times New Roman" w:eastAsia="宋体" w:hAnsi="Times New Roman" w:cs="Times New Roman"/>
          <w:b/>
          <w:bCs/>
          <w:sz w:val="32"/>
          <w:szCs w:val="32"/>
        </w:rPr>
      </w:pPr>
      <w:bookmarkStart w:id="99" w:name="_Toc988988"/>
      <w:r w:rsidRPr="005A284F">
        <w:rPr>
          <w:rFonts w:ascii="Times New Roman" w:eastAsia="宋体" w:hAnsi="Times New Roman" w:cs="Times New Roman"/>
          <w:b/>
          <w:bCs/>
          <w:sz w:val="32"/>
          <w:szCs w:val="32"/>
        </w:rPr>
        <w:lastRenderedPageBreak/>
        <w:t>第八节</w:t>
      </w:r>
      <w:r w:rsidRPr="005A284F">
        <w:rPr>
          <w:rFonts w:ascii="Times New Roman" w:eastAsia="宋体" w:hAnsi="Times New Roman" w:cs="Times New Roman"/>
          <w:b/>
          <w:bCs/>
          <w:sz w:val="32"/>
          <w:szCs w:val="32"/>
        </w:rPr>
        <w:t xml:space="preserve"> </w:t>
      </w:r>
      <w:r w:rsidRPr="005A284F">
        <w:rPr>
          <w:rFonts w:ascii="Times New Roman" w:eastAsia="宋体" w:hAnsi="Times New Roman" w:cs="Times New Roman"/>
          <w:b/>
          <w:bCs/>
          <w:sz w:val="32"/>
          <w:szCs w:val="32"/>
        </w:rPr>
        <w:t>财务报告</w:t>
      </w:r>
      <w:bookmarkEnd w:id="99"/>
    </w:p>
    <w:p w14:paraId="31EF1D2A"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100" w:name="_Toc988989"/>
      <w:r w:rsidRPr="005A284F">
        <w:rPr>
          <w:rFonts w:ascii="Times New Roman" w:eastAsia="宋体" w:hAnsi="Times New Roman" w:cs="Times New Roman"/>
          <w:b/>
          <w:bCs/>
          <w:sz w:val="24"/>
          <w:szCs w:val="24"/>
        </w:rPr>
        <w:t>一、审计报告</w:t>
      </w:r>
      <w:bookmarkEnd w:id="100"/>
    </w:p>
    <w:p w14:paraId="3D3E97EB"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半年度报告是否经过审计</w:t>
      </w:r>
    </w:p>
    <w:p w14:paraId="2556ED09" w14:textId="77777777" w:rsidR="006C011D" w:rsidRPr="00634AA8" w:rsidRDefault="00000000">
      <w:pPr>
        <w:spacing w:before="40" w:after="40" w:line="240" w:lineRule="exact"/>
        <w:rPr>
          <w:rFonts w:ascii="宋体" w:eastAsia="宋体" w:hAnsi="宋体" w:cs="Times New Roman" w:hint="eastAsia"/>
          <w:sz w:val="18"/>
          <w:szCs w:val="18"/>
        </w:rPr>
      </w:pPr>
      <w:r w:rsidRPr="00634AA8">
        <w:rPr>
          <w:rFonts w:ascii="宋体" w:eastAsia="宋体" w:hAnsi="宋体" w:cs="Times New Roman"/>
          <w:sz w:val="18"/>
          <w:szCs w:val="18"/>
        </w:rPr>
        <w:t xml:space="preserve">□是 </w:t>
      </w:r>
      <w:r w:rsidRPr="00634AA8">
        <w:rPr>
          <w:rFonts w:ascii="宋体" w:eastAsia="宋体" w:hAnsi="宋体" w:cs="Times New Roman"/>
          <w:sz w:val="18"/>
          <w:szCs w:val="18"/>
        </w:rPr>
        <w:sym w:font="Wingdings 2" w:char="F052"/>
      </w:r>
      <w:r w:rsidRPr="00634AA8">
        <w:rPr>
          <w:rFonts w:ascii="宋体" w:eastAsia="宋体" w:hAnsi="宋体" w:cs="Times New Roman"/>
          <w:sz w:val="18"/>
          <w:szCs w:val="18"/>
        </w:rPr>
        <w:t>否</w:t>
      </w:r>
    </w:p>
    <w:p w14:paraId="12D043DF"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公司半年度财务报告未经审计。</w:t>
      </w:r>
    </w:p>
    <w:p w14:paraId="5AC86E11"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101" w:name="_Toc988990"/>
      <w:r w:rsidRPr="005A284F">
        <w:rPr>
          <w:rFonts w:ascii="Times New Roman" w:eastAsia="宋体" w:hAnsi="Times New Roman" w:cs="Times New Roman"/>
          <w:b/>
          <w:bCs/>
          <w:sz w:val="24"/>
          <w:szCs w:val="24"/>
        </w:rPr>
        <w:t>二、财务报表</w:t>
      </w:r>
      <w:bookmarkEnd w:id="101"/>
    </w:p>
    <w:p w14:paraId="56337AE2"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财务附注中报表的单位为：元</w:t>
      </w:r>
    </w:p>
    <w:p w14:paraId="0FFE21D9" w14:textId="77777777" w:rsidR="006C011D" w:rsidRPr="005A284F" w:rsidRDefault="00000000">
      <w:pPr>
        <w:pStyle w:val="3"/>
        <w:spacing w:line="280" w:lineRule="exact"/>
        <w:jc w:val="left"/>
        <w:rPr>
          <w:rFonts w:ascii="Times New Roman" w:hAnsi="Times New Roman" w:cs="Times New Roman"/>
          <w:b/>
          <w:bCs/>
        </w:rPr>
      </w:pPr>
      <w:bookmarkStart w:id="102" w:name="_Toc988991"/>
      <w:r w:rsidRPr="005A284F">
        <w:rPr>
          <w:rFonts w:ascii="Times New Roman" w:hAnsi="Times New Roman" w:cs="Times New Roman"/>
          <w:b/>
          <w:bCs/>
        </w:rPr>
        <w:t>1</w:t>
      </w:r>
      <w:r w:rsidRPr="005A284F">
        <w:rPr>
          <w:rFonts w:ascii="Times New Roman" w:hAnsi="Times New Roman" w:cs="Times New Roman"/>
          <w:b/>
          <w:bCs/>
        </w:rPr>
        <w:t>、合并资产负债表</w:t>
      </w:r>
      <w:bookmarkEnd w:id="102"/>
    </w:p>
    <w:p w14:paraId="23652AF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编制单位：山东龙大美食股份有限公司</w:t>
      </w:r>
    </w:p>
    <w:p w14:paraId="7B2E3B37" w14:textId="77777777" w:rsidR="006C011D" w:rsidRPr="005A284F" w:rsidRDefault="00000000">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06</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30</w:t>
      </w:r>
      <w:r w:rsidRPr="005A284F">
        <w:rPr>
          <w:rFonts w:ascii="Times New Roman" w:eastAsia="宋体" w:hAnsi="Times New Roman" w:cs="Times New Roman"/>
          <w:sz w:val="18"/>
          <w:szCs w:val="18"/>
        </w:rPr>
        <w:t>日</w:t>
      </w:r>
    </w:p>
    <w:p w14:paraId="37A2A5FE" w14:textId="77777777" w:rsidR="006C011D" w:rsidRPr="005A284F" w:rsidRDefault="00000000">
      <w:pPr>
        <w:spacing w:before="120" w:after="12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2C32E79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C6C23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16642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0CAC1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r>
      <w:tr w:rsidR="006C011D" w:rsidRPr="005A284F" w14:paraId="4CD65D2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EB61A6"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0DF651" w14:textId="77777777" w:rsidR="006C011D" w:rsidRPr="005A284F" w:rsidRDefault="006C011D">
            <w:pPr>
              <w:rPr>
                <w:rFonts w:ascii="Times New Roman" w:eastAsia="宋体"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AF798A" w14:textId="77777777" w:rsidR="006C011D" w:rsidRPr="005A284F" w:rsidRDefault="006C011D">
            <w:pPr>
              <w:rPr>
                <w:rFonts w:ascii="Times New Roman" w:eastAsia="宋体" w:hAnsi="Times New Roman" w:cs="Times New Roman"/>
              </w:rPr>
            </w:pPr>
          </w:p>
        </w:tc>
      </w:tr>
      <w:tr w:rsidR="006C011D" w:rsidRPr="005A284F" w14:paraId="1A52F92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BF8517"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14:paraId="0C61B5D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972,559,534.00</w:t>
            </w:r>
          </w:p>
        </w:tc>
        <w:tc>
          <w:tcPr>
            <w:tcW w:w="3213" w:type="dxa"/>
            <w:tcBorders>
              <w:top w:val="single" w:sz="2" w:space="0" w:color="auto"/>
              <w:left w:val="single" w:sz="2" w:space="0" w:color="auto"/>
              <w:bottom w:val="single" w:sz="2" w:space="0" w:color="auto"/>
              <w:right w:val="single" w:sz="2" w:space="0" w:color="auto"/>
            </w:tcBorders>
            <w:vAlign w:val="center"/>
          </w:tcPr>
          <w:p w14:paraId="1B8A0E4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970,117,579.77</w:t>
            </w:r>
          </w:p>
        </w:tc>
      </w:tr>
      <w:tr w:rsidR="006C011D" w:rsidRPr="005A284F" w14:paraId="61B8F50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2D7049"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14:paraId="76398AE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8933084"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143174B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9C9C15"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拆出资金</w:t>
            </w:r>
          </w:p>
        </w:tc>
        <w:tc>
          <w:tcPr>
            <w:tcW w:w="3213" w:type="dxa"/>
            <w:tcBorders>
              <w:top w:val="single" w:sz="2" w:space="0" w:color="auto"/>
              <w:left w:val="single" w:sz="2" w:space="0" w:color="auto"/>
              <w:bottom w:val="single" w:sz="2" w:space="0" w:color="auto"/>
              <w:right w:val="single" w:sz="2" w:space="0" w:color="auto"/>
            </w:tcBorders>
            <w:vAlign w:val="center"/>
          </w:tcPr>
          <w:p w14:paraId="061C8E4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089DEB5"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43AC8AB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5825DD"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78B179C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14:paraId="4B98E59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1,293,700.05</w:t>
            </w:r>
          </w:p>
        </w:tc>
      </w:tr>
      <w:tr w:rsidR="006C011D" w:rsidRPr="005A284F" w14:paraId="742EEEA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52D63D"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7DF1C5B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F3BCCDC"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6A44CC1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86A1F6"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14:paraId="130028D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3,053,839.61</w:t>
            </w:r>
          </w:p>
        </w:tc>
        <w:tc>
          <w:tcPr>
            <w:tcW w:w="3213" w:type="dxa"/>
            <w:tcBorders>
              <w:top w:val="single" w:sz="2" w:space="0" w:color="auto"/>
              <w:left w:val="single" w:sz="2" w:space="0" w:color="auto"/>
              <w:bottom w:val="single" w:sz="2" w:space="0" w:color="auto"/>
              <w:right w:val="single" w:sz="2" w:space="0" w:color="auto"/>
            </w:tcBorders>
            <w:vAlign w:val="center"/>
          </w:tcPr>
          <w:p w14:paraId="082ABA9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4,765,410.11</w:t>
            </w:r>
          </w:p>
        </w:tc>
      </w:tr>
      <w:tr w:rsidR="006C011D" w:rsidRPr="005A284F" w14:paraId="787CF9D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5709D0"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14:paraId="622060E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415,559,216.77</w:t>
            </w:r>
          </w:p>
        </w:tc>
        <w:tc>
          <w:tcPr>
            <w:tcW w:w="3213" w:type="dxa"/>
            <w:tcBorders>
              <w:top w:val="single" w:sz="2" w:space="0" w:color="auto"/>
              <w:left w:val="single" w:sz="2" w:space="0" w:color="auto"/>
              <w:bottom w:val="single" w:sz="2" w:space="0" w:color="auto"/>
              <w:right w:val="single" w:sz="2" w:space="0" w:color="auto"/>
            </w:tcBorders>
            <w:vAlign w:val="center"/>
          </w:tcPr>
          <w:p w14:paraId="0F317C5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428,734,055.32</w:t>
            </w:r>
          </w:p>
        </w:tc>
      </w:tr>
      <w:tr w:rsidR="006C011D" w:rsidRPr="005A284F" w14:paraId="2BF1B75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888E54"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14:paraId="2AC930C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360999C"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6832713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123008"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14:paraId="1BC9970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50,153,473.78</w:t>
            </w:r>
          </w:p>
        </w:tc>
        <w:tc>
          <w:tcPr>
            <w:tcW w:w="3213" w:type="dxa"/>
            <w:tcBorders>
              <w:top w:val="single" w:sz="2" w:space="0" w:color="auto"/>
              <w:left w:val="single" w:sz="2" w:space="0" w:color="auto"/>
              <w:bottom w:val="single" w:sz="2" w:space="0" w:color="auto"/>
              <w:right w:val="single" w:sz="2" w:space="0" w:color="auto"/>
            </w:tcBorders>
            <w:vAlign w:val="center"/>
          </w:tcPr>
          <w:p w14:paraId="1FB46FD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30,698,150.97</w:t>
            </w:r>
          </w:p>
        </w:tc>
      </w:tr>
      <w:tr w:rsidR="006C011D" w:rsidRPr="005A284F" w14:paraId="6D5662E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2DAE48"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14:paraId="5D83EA8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8CA20BB"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137DCE2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1DF265"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14:paraId="65E8CD8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F20AC46"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6A7557F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5B5888"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14:paraId="37603E7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249F62A"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6E2FCCF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BB7240"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14:paraId="5C1AC67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31,570,941.11</w:t>
            </w:r>
          </w:p>
        </w:tc>
        <w:tc>
          <w:tcPr>
            <w:tcW w:w="3213" w:type="dxa"/>
            <w:tcBorders>
              <w:top w:val="single" w:sz="2" w:space="0" w:color="auto"/>
              <w:left w:val="single" w:sz="2" w:space="0" w:color="auto"/>
              <w:bottom w:val="single" w:sz="2" w:space="0" w:color="auto"/>
              <w:right w:val="single" w:sz="2" w:space="0" w:color="auto"/>
            </w:tcBorders>
            <w:vAlign w:val="center"/>
          </w:tcPr>
          <w:p w14:paraId="0A3D569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96,538,090.22</w:t>
            </w:r>
          </w:p>
        </w:tc>
      </w:tr>
      <w:tr w:rsidR="006C011D" w:rsidRPr="005A284F" w14:paraId="5A641CE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D8534A" w14:textId="77777777" w:rsidR="006C011D" w:rsidRPr="005A284F" w:rsidRDefault="00000000">
            <w:pPr>
              <w:spacing w:before="40" w:after="4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14:paraId="1800131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5E8ADE5"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7321FB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B5CDA4" w14:textId="77777777" w:rsidR="006C011D" w:rsidRPr="005A284F" w:rsidRDefault="00000000">
            <w:pPr>
              <w:spacing w:before="40" w:after="40" w:line="240" w:lineRule="exact"/>
              <w:ind w:firstLineChars="500" w:firstLine="900"/>
              <w:rPr>
                <w:rFonts w:ascii="Times New Roman" w:eastAsia="宋体" w:hAnsi="Times New Roman" w:cs="Times New Roman"/>
                <w:sz w:val="18"/>
                <w:szCs w:val="18"/>
              </w:rPr>
            </w:pPr>
            <w:r w:rsidRPr="005A284F">
              <w:rPr>
                <w:rFonts w:ascii="Times New Roman" w:eastAsia="宋体" w:hAnsi="Times New Roman" w:cs="Times New Roman"/>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14:paraId="529EF2D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6D79313"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219A125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F8555A"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59EF204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5B73C88"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4C5B14B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BE3A6B"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14:paraId="52D3F82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901,706,258.35</w:t>
            </w:r>
          </w:p>
        </w:tc>
        <w:tc>
          <w:tcPr>
            <w:tcW w:w="3213" w:type="dxa"/>
            <w:tcBorders>
              <w:top w:val="single" w:sz="2" w:space="0" w:color="auto"/>
              <w:left w:val="single" w:sz="2" w:space="0" w:color="auto"/>
              <w:bottom w:val="single" w:sz="2" w:space="0" w:color="auto"/>
              <w:right w:val="single" w:sz="2" w:space="0" w:color="auto"/>
            </w:tcBorders>
            <w:vAlign w:val="center"/>
          </w:tcPr>
          <w:p w14:paraId="28E3F5D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994,358,007.81</w:t>
            </w:r>
          </w:p>
        </w:tc>
      </w:tr>
      <w:tr w:rsidR="006C011D" w:rsidRPr="005A284F" w14:paraId="41A2552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379C7B" w14:textId="77777777" w:rsidR="006C011D" w:rsidRPr="005A284F" w:rsidRDefault="00000000">
            <w:pPr>
              <w:spacing w:before="40" w:after="4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397B044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F5F2F32"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782569C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A87CCD"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14:paraId="59C8859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CB99F69"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396E852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577053"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14:paraId="0B7CFE3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5304FB4"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BA5DAB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F818EA"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4BE0B5B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6A88FEB"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4840463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C3E4EF"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1A3291D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14:paraId="2111F06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18,272.00</w:t>
            </w:r>
          </w:p>
        </w:tc>
      </w:tr>
      <w:tr w:rsidR="006C011D" w:rsidRPr="005A284F" w14:paraId="6523F14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D322B8"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12E7CC2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2,374,603,263.62</w:t>
            </w:r>
          </w:p>
        </w:tc>
        <w:tc>
          <w:tcPr>
            <w:tcW w:w="3213" w:type="dxa"/>
            <w:tcBorders>
              <w:top w:val="single" w:sz="2" w:space="0" w:color="auto"/>
              <w:left w:val="single" w:sz="2" w:space="0" w:color="auto"/>
              <w:bottom w:val="single" w:sz="2" w:space="0" w:color="auto"/>
              <w:right w:val="single" w:sz="2" w:space="0" w:color="auto"/>
            </w:tcBorders>
            <w:vAlign w:val="center"/>
          </w:tcPr>
          <w:p w14:paraId="618FCFC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2,526,523,266.25</w:t>
            </w:r>
          </w:p>
        </w:tc>
      </w:tr>
      <w:tr w:rsidR="006C011D" w:rsidRPr="005A284F" w14:paraId="1BB96A9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ECB3D2"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BB5681" w14:textId="77777777" w:rsidR="006C011D" w:rsidRPr="005A284F" w:rsidRDefault="006C011D">
            <w:pPr>
              <w:rPr>
                <w:rFonts w:ascii="Times New Roman" w:eastAsia="宋体"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F27D30" w14:textId="77777777" w:rsidR="006C011D" w:rsidRPr="005A284F" w:rsidRDefault="006C011D">
            <w:pPr>
              <w:rPr>
                <w:rFonts w:ascii="Times New Roman" w:eastAsia="宋体" w:hAnsi="Times New Roman" w:cs="Times New Roman"/>
              </w:rPr>
            </w:pPr>
          </w:p>
        </w:tc>
      </w:tr>
      <w:tr w:rsidR="006C011D" w:rsidRPr="005A284F" w14:paraId="5DD8471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3BCA26"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14:paraId="17C6E7B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4B48ED4"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16A8012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2B07CE"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06D73F4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AA27D27"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64EDEB0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413A04"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4F5B872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55D3CB0"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510DC06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5E4323"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14:paraId="3942562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0EFF819"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5E3ED8C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9C24A3"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14:paraId="5C36518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AE2EA2F"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3E17F8F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0E2920"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14:paraId="364C6F4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D5557D9"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6733C5C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B82E52"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0CD5D7E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2C8AA24"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39C0D1D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380F15"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14:paraId="29A77FA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9D92082"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0CAD12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3F5BA2"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14:paraId="5AAB1B9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2,307,204,546.25</w:t>
            </w:r>
          </w:p>
        </w:tc>
        <w:tc>
          <w:tcPr>
            <w:tcW w:w="3213" w:type="dxa"/>
            <w:tcBorders>
              <w:top w:val="single" w:sz="2" w:space="0" w:color="auto"/>
              <w:left w:val="single" w:sz="2" w:space="0" w:color="auto"/>
              <w:bottom w:val="single" w:sz="2" w:space="0" w:color="auto"/>
              <w:right w:val="single" w:sz="2" w:space="0" w:color="auto"/>
            </w:tcBorders>
            <w:vAlign w:val="center"/>
          </w:tcPr>
          <w:p w14:paraId="714F0DA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2,369,509,841.69</w:t>
            </w:r>
          </w:p>
        </w:tc>
      </w:tr>
      <w:tr w:rsidR="006C011D" w:rsidRPr="005A284F" w14:paraId="1B8D538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C67BCA"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14:paraId="7C87DE2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261,288,623.08</w:t>
            </w:r>
          </w:p>
        </w:tc>
        <w:tc>
          <w:tcPr>
            <w:tcW w:w="3213" w:type="dxa"/>
            <w:tcBorders>
              <w:top w:val="single" w:sz="2" w:space="0" w:color="auto"/>
              <w:left w:val="single" w:sz="2" w:space="0" w:color="auto"/>
              <w:bottom w:val="single" w:sz="2" w:space="0" w:color="auto"/>
              <w:right w:val="single" w:sz="2" w:space="0" w:color="auto"/>
            </w:tcBorders>
            <w:vAlign w:val="center"/>
          </w:tcPr>
          <w:p w14:paraId="0363826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254,397,411.06</w:t>
            </w:r>
          </w:p>
        </w:tc>
      </w:tr>
      <w:tr w:rsidR="006C011D" w:rsidRPr="005A284F" w14:paraId="38AA73A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C918F0"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14:paraId="18CE74F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68,410,057.57</w:t>
            </w:r>
          </w:p>
        </w:tc>
        <w:tc>
          <w:tcPr>
            <w:tcW w:w="3213" w:type="dxa"/>
            <w:tcBorders>
              <w:top w:val="single" w:sz="2" w:space="0" w:color="auto"/>
              <w:left w:val="single" w:sz="2" w:space="0" w:color="auto"/>
              <w:bottom w:val="single" w:sz="2" w:space="0" w:color="auto"/>
              <w:right w:val="single" w:sz="2" w:space="0" w:color="auto"/>
            </w:tcBorders>
            <w:vAlign w:val="center"/>
          </w:tcPr>
          <w:p w14:paraId="436945E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33,952,790.27</w:t>
            </w:r>
          </w:p>
        </w:tc>
      </w:tr>
      <w:tr w:rsidR="006C011D" w:rsidRPr="005A284F" w14:paraId="5240D06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246A64"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14:paraId="5612878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FE5E9A3"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313838F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87F67B"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14:paraId="4A07983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127,832,442.94</w:t>
            </w:r>
          </w:p>
        </w:tc>
        <w:tc>
          <w:tcPr>
            <w:tcW w:w="3213" w:type="dxa"/>
            <w:tcBorders>
              <w:top w:val="single" w:sz="2" w:space="0" w:color="auto"/>
              <w:left w:val="single" w:sz="2" w:space="0" w:color="auto"/>
              <w:bottom w:val="single" w:sz="2" w:space="0" w:color="auto"/>
              <w:right w:val="single" w:sz="2" w:space="0" w:color="auto"/>
            </w:tcBorders>
            <w:vAlign w:val="center"/>
          </w:tcPr>
          <w:p w14:paraId="20672D0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55,036,360.58</w:t>
            </w:r>
          </w:p>
        </w:tc>
      </w:tr>
      <w:tr w:rsidR="006C011D" w:rsidRPr="005A284F" w14:paraId="1501CDD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EE557D"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14:paraId="56527C9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123,320,155.71</w:t>
            </w:r>
          </w:p>
        </w:tc>
        <w:tc>
          <w:tcPr>
            <w:tcW w:w="3213" w:type="dxa"/>
            <w:tcBorders>
              <w:top w:val="single" w:sz="2" w:space="0" w:color="auto"/>
              <w:left w:val="single" w:sz="2" w:space="0" w:color="auto"/>
              <w:bottom w:val="single" w:sz="2" w:space="0" w:color="auto"/>
              <w:right w:val="single" w:sz="2" w:space="0" w:color="auto"/>
            </w:tcBorders>
            <w:vAlign w:val="center"/>
          </w:tcPr>
          <w:p w14:paraId="35839BE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125,512,326.80</w:t>
            </w:r>
          </w:p>
        </w:tc>
      </w:tr>
      <w:tr w:rsidR="006C011D" w:rsidRPr="005A284F" w14:paraId="67186D1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422C17" w14:textId="77777777" w:rsidR="006C011D" w:rsidRPr="005A284F" w:rsidRDefault="00000000">
            <w:pPr>
              <w:spacing w:before="40" w:after="4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62A21B5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FFEA54D"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7E2E204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1DD769"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14:paraId="26DD98A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E354F41"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720888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98BE9F" w14:textId="77777777" w:rsidR="006C011D" w:rsidRPr="005A284F" w:rsidRDefault="00000000">
            <w:pPr>
              <w:spacing w:before="40" w:after="4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60D5C59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409CD95"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2D14D75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233E47"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14:paraId="1118CDF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26,871,974.18</w:t>
            </w:r>
          </w:p>
        </w:tc>
        <w:tc>
          <w:tcPr>
            <w:tcW w:w="3213" w:type="dxa"/>
            <w:tcBorders>
              <w:top w:val="single" w:sz="2" w:space="0" w:color="auto"/>
              <w:left w:val="single" w:sz="2" w:space="0" w:color="auto"/>
              <w:bottom w:val="single" w:sz="2" w:space="0" w:color="auto"/>
              <w:right w:val="single" w:sz="2" w:space="0" w:color="auto"/>
            </w:tcBorders>
            <w:vAlign w:val="center"/>
          </w:tcPr>
          <w:p w14:paraId="7FA30C1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26,871,974.18</w:t>
            </w:r>
          </w:p>
        </w:tc>
      </w:tr>
      <w:tr w:rsidR="006C011D" w:rsidRPr="005A284F" w14:paraId="6AA4E4A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968CA9"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14:paraId="119EF7A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9,543,224.43</w:t>
            </w:r>
          </w:p>
        </w:tc>
        <w:tc>
          <w:tcPr>
            <w:tcW w:w="3213" w:type="dxa"/>
            <w:tcBorders>
              <w:top w:val="single" w:sz="2" w:space="0" w:color="auto"/>
              <w:left w:val="single" w:sz="2" w:space="0" w:color="auto"/>
              <w:bottom w:val="single" w:sz="2" w:space="0" w:color="auto"/>
              <w:right w:val="single" w:sz="2" w:space="0" w:color="auto"/>
            </w:tcBorders>
            <w:vAlign w:val="center"/>
          </w:tcPr>
          <w:p w14:paraId="1A8E92D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5,666,165.25</w:t>
            </w:r>
          </w:p>
        </w:tc>
      </w:tr>
      <w:tr w:rsidR="006C011D" w:rsidRPr="005A284F" w14:paraId="3BFB4AC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E5AA1F"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14:paraId="4FBC48F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11,572,115.55</w:t>
            </w:r>
          </w:p>
        </w:tc>
        <w:tc>
          <w:tcPr>
            <w:tcW w:w="3213" w:type="dxa"/>
            <w:tcBorders>
              <w:top w:val="single" w:sz="2" w:space="0" w:color="auto"/>
              <w:left w:val="single" w:sz="2" w:space="0" w:color="auto"/>
              <w:bottom w:val="single" w:sz="2" w:space="0" w:color="auto"/>
              <w:right w:val="single" w:sz="2" w:space="0" w:color="auto"/>
            </w:tcBorders>
            <w:vAlign w:val="center"/>
          </w:tcPr>
          <w:p w14:paraId="0548268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12,724,135.86</w:t>
            </w:r>
          </w:p>
        </w:tc>
      </w:tr>
      <w:tr w:rsidR="006C011D" w:rsidRPr="005A284F" w14:paraId="701F540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71B666"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4F6F40A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480,962,287.39</w:t>
            </w:r>
          </w:p>
        </w:tc>
        <w:tc>
          <w:tcPr>
            <w:tcW w:w="3213" w:type="dxa"/>
            <w:tcBorders>
              <w:top w:val="single" w:sz="2" w:space="0" w:color="auto"/>
              <w:left w:val="single" w:sz="2" w:space="0" w:color="auto"/>
              <w:bottom w:val="single" w:sz="2" w:space="0" w:color="auto"/>
              <w:right w:val="single" w:sz="2" w:space="0" w:color="auto"/>
            </w:tcBorders>
            <w:vAlign w:val="center"/>
          </w:tcPr>
          <w:p w14:paraId="7A10C33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469,252,786.20</w:t>
            </w:r>
          </w:p>
        </w:tc>
      </w:tr>
      <w:tr w:rsidR="006C011D" w:rsidRPr="005A284F" w14:paraId="0907185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E6779C"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3087A65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3,417,005,427.10</w:t>
            </w:r>
          </w:p>
        </w:tc>
        <w:tc>
          <w:tcPr>
            <w:tcW w:w="3213" w:type="dxa"/>
            <w:tcBorders>
              <w:top w:val="single" w:sz="2" w:space="0" w:color="auto"/>
              <w:left w:val="single" w:sz="2" w:space="0" w:color="auto"/>
              <w:bottom w:val="single" w:sz="2" w:space="0" w:color="auto"/>
              <w:right w:val="single" w:sz="2" w:space="0" w:color="auto"/>
            </w:tcBorders>
            <w:vAlign w:val="center"/>
          </w:tcPr>
          <w:p w14:paraId="5F06200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3,352,923,791.89</w:t>
            </w:r>
          </w:p>
        </w:tc>
      </w:tr>
      <w:tr w:rsidR="006C011D" w:rsidRPr="005A284F" w14:paraId="2AD699A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3C8D40"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14:paraId="5E03C86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5,791,608,690.72</w:t>
            </w:r>
          </w:p>
        </w:tc>
        <w:tc>
          <w:tcPr>
            <w:tcW w:w="3213" w:type="dxa"/>
            <w:tcBorders>
              <w:top w:val="single" w:sz="2" w:space="0" w:color="auto"/>
              <w:left w:val="single" w:sz="2" w:space="0" w:color="auto"/>
              <w:bottom w:val="single" w:sz="2" w:space="0" w:color="auto"/>
              <w:right w:val="single" w:sz="2" w:space="0" w:color="auto"/>
            </w:tcBorders>
            <w:vAlign w:val="center"/>
          </w:tcPr>
          <w:p w14:paraId="522D31A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5,879,447,058.14</w:t>
            </w:r>
          </w:p>
        </w:tc>
      </w:tr>
      <w:tr w:rsidR="006C011D" w:rsidRPr="005A284F" w14:paraId="3E28530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D1682C"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9624EB" w14:textId="77777777" w:rsidR="006C011D" w:rsidRPr="005A284F" w:rsidRDefault="006C011D">
            <w:pPr>
              <w:rPr>
                <w:rFonts w:ascii="Times New Roman" w:eastAsia="宋体"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132969" w14:textId="77777777" w:rsidR="006C011D" w:rsidRPr="005A284F" w:rsidRDefault="006C011D">
            <w:pPr>
              <w:rPr>
                <w:rFonts w:ascii="Times New Roman" w:eastAsia="宋体" w:hAnsi="Times New Roman" w:cs="Times New Roman"/>
              </w:rPr>
            </w:pPr>
          </w:p>
        </w:tc>
      </w:tr>
      <w:tr w:rsidR="006C011D" w:rsidRPr="005A284F" w14:paraId="597BB2C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06CC27"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14:paraId="1BD2B10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1,550,932,131.95</w:t>
            </w:r>
          </w:p>
        </w:tc>
        <w:tc>
          <w:tcPr>
            <w:tcW w:w="3213" w:type="dxa"/>
            <w:tcBorders>
              <w:top w:val="single" w:sz="2" w:space="0" w:color="auto"/>
              <w:left w:val="single" w:sz="2" w:space="0" w:color="auto"/>
              <w:bottom w:val="single" w:sz="2" w:space="0" w:color="auto"/>
              <w:right w:val="single" w:sz="2" w:space="0" w:color="auto"/>
            </w:tcBorders>
            <w:vAlign w:val="center"/>
          </w:tcPr>
          <w:p w14:paraId="7CDD867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1,629,824,663.47</w:t>
            </w:r>
          </w:p>
        </w:tc>
      </w:tr>
      <w:tr w:rsidR="006C011D" w:rsidRPr="005A284F" w14:paraId="4014AAD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859351"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14:paraId="1471784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01FD3FE"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322020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E9CAD8"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拆入资金</w:t>
            </w:r>
          </w:p>
        </w:tc>
        <w:tc>
          <w:tcPr>
            <w:tcW w:w="3213" w:type="dxa"/>
            <w:tcBorders>
              <w:top w:val="single" w:sz="2" w:space="0" w:color="auto"/>
              <w:left w:val="single" w:sz="2" w:space="0" w:color="auto"/>
              <w:bottom w:val="single" w:sz="2" w:space="0" w:color="auto"/>
              <w:right w:val="single" w:sz="2" w:space="0" w:color="auto"/>
            </w:tcBorders>
            <w:vAlign w:val="center"/>
          </w:tcPr>
          <w:p w14:paraId="6B17C62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A192EB8"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3A0AB40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B41DA2"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7AE1A2F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D351F9E"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4EA8F04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AA7E1D"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72B4F02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26D1AC6"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1042B8A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169F2C"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14:paraId="78E52A7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180,000,000.00</w:t>
            </w:r>
          </w:p>
        </w:tc>
        <w:tc>
          <w:tcPr>
            <w:tcW w:w="3213" w:type="dxa"/>
            <w:tcBorders>
              <w:top w:val="single" w:sz="2" w:space="0" w:color="auto"/>
              <w:left w:val="single" w:sz="2" w:space="0" w:color="auto"/>
              <w:bottom w:val="single" w:sz="2" w:space="0" w:color="auto"/>
              <w:right w:val="single" w:sz="2" w:space="0" w:color="auto"/>
            </w:tcBorders>
            <w:vAlign w:val="center"/>
          </w:tcPr>
          <w:p w14:paraId="0A9BA62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294,476,050.02</w:t>
            </w:r>
          </w:p>
        </w:tc>
      </w:tr>
      <w:tr w:rsidR="006C011D" w:rsidRPr="005A284F" w14:paraId="71900B8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B1DFBD"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14:paraId="44E13B0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465,841,596.12</w:t>
            </w:r>
          </w:p>
        </w:tc>
        <w:tc>
          <w:tcPr>
            <w:tcW w:w="3213" w:type="dxa"/>
            <w:tcBorders>
              <w:top w:val="single" w:sz="2" w:space="0" w:color="auto"/>
              <w:left w:val="single" w:sz="2" w:space="0" w:color="auto"/>
              <w:bottom w:val="single" w:sz="2" w:space="0" w:color="auto"/>
              <w:right w:val="single" w:sz="2" w:space="0" w:color="auto"/>
            </w:tcBorders>
            <w:vAlign w:val="center"/>
          </w:tcPr>
          <w:p w14:paraId="0FA2BF4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501,178,679.71</w:t>
            </w:r>
          </w:p>
        </w:tc>
      </w:tr>
      <w:tr w:rsidR="006C011D" w:rsidRPr="005A284F" w14:paraId="70F1175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176854"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14:paraId="230A252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740EDD6"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1C26318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183978"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14:paraId="78618F8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121,102,530.59</w:t>
            </w:r>
          </w:p>
        </w:tc>
        <w:tc>
          <w:tcPr>
            <w:tcW w:w="3213" w:type="dxa"/>
            <w:tcBorders>
              <w:top w:val="single" w:sz="2" w:space="0" w:color="auto"/>
              <w:left w:val="single" w:sz="2" w:space="0" w:color="auto"/>
              <w:bottom w:val="single" w:sz="2" w:space="0" w:color="auto"/>
              <w:right w:val="single" w:sz="2" w:space="0" w:color="auto"/>
            </w:tcBorders>
            <w:vAlign w:val="center"/>
          </w:tcPr>
          <w:p w14:paraId="51CC0D4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119,376,031.80</w:t>
            </w:r>
          </w:p>
        </w:tc>
      </w:tr>
      <w:tr w:rsidR="006C011D" w:rsidRPr="005A284F" w14:paraId="0E08F04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473F52"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14:paraId="4854EB8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CDB8EF9"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7FBE9D2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F5A297"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14:paraId="756B3E7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E4748BF"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6C26D71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A0C6BA"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14:paraId="08F49F5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B90C6C9"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C88A0D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17B2C1"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14:paraId="0D315E9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A05D351"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2F95F31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8E5C52"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2078B34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34,854,073.80</w:t>
            </w:r>
          </w:p>
        </w:tc>
        <w:tc>
          <w:tcPr>
            <w:tcW w:w="3213" w:type="dxa"/>
            <w:tcBorders>
              <w:top w:val="single" w:sz="2" w:space="0" w:color="auto"/>
              <w:left w:val="single" w:sz="2" w:space="0" w:color="auto"/>
              <w:bottom w:val="single" w:sz="2" w:space="0" w:color="auto"/>
              <w:right w:val="single" w:sz="2" w:space="0" w:color="auto"/>
            </w:tcBorders>
            <w:vAlign w:val="center"/>
          </w:tcPr>
          <w:p w14:paraId="518327A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33,591,745.87</w:t>
            </w:r>
          </w:p>
        </w:tc>
      </w:tr>
      <w:tr w:rsidR="006C011D" w:rsidRPr="005A284F" w14:paraId="59EC6B6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9C5C27"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14:paraId="57881BF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9,448,064.64</w:t>
            </w:r>
          </w:p>
        </w:tc>
        <w:tc>
          <w:tcPr>
            <w:tcW w:w="3213" w:type="dxa"/>
            <w:tcBorders>
              <w:top w:val="single" w:sz="2" w:space="0" w:color="auto"/>
              <w:left w:val="single" w:sz="2" w:space="0" w:color="auto"/>
              <w:bottom w:val="single" w:sz="2" w:space="0" w:color="auto"/>
              <w:right w:val="single" w:sz="2" w:space="0" w:color="auto"/>
            </w:tcBorders>
            <w:vAlign w:val="center"/>
          </w:tcPr>
          <w:p w14:paraId="1BA667E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10,688,829.53</w:t>
            </w:r>
          </w:p>
        </w:tc>
      </w:tr>
      <w:tr w:rsidR="006C011D" w:rsidRPr="005A284F" w14:paraId="0459524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E0EC2A"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14:paraId="18D0E55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192,643,585.87</w:t>
            </w:r>
          </w:p>
        </w:tc>
        <w:tc>
          <w:tcPr>
            <w:tcW w:w="3213" w:type="dxa"/>
            <w:tcBorders>
              <w:top w:val="single" w:sz="2" w:space="0" w:color="auto"/>
              <w:left w:val="single" w:sz="2" w:space="0" w:color="auto"/>
              <w:bottom w:val="single" w:sz="2" w:space="0" w:color="auto"/>
              <w:right w:val="single" w:sz="2" w:space="0" w:color="auto"/>
            </w:tcBorders>
            <w:vAlign w:val="center"/>
          </w:tcPr>
          <w:p w14:paraId="20FC266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180,775,039.13</w:t>
            </w:r>
          </w:p>
        </w:tc>
      </w:tr>
      <w:tr w:rsidR="006C011D" w:rsidRPr="005A284F" w14:paraId="14B91C9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B604A5" w14:textId="77777777" w:rsidR="006C011D" w:rsidRPr="005A284F" w:rsidRDefault="00000000">
            <w:pPr>
              <w:spacing w:before="40" w:after="4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14:paraId="6EDD172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2CD9AD1"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16E201D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89BBF2" w14:textId="77777777" w:rsidR="006C011D" w:rsidRPr="005A284F" w:rsidRDefault="00000000">
            <w:pPr>
              <w:spacing w:before="40" w:after="40" w:line="240" w:lineRule="exact"/>
              <w:ind w:firstLineChars="500" w:firstLine="900"/>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应付股利</w:t>
            </w:r>
          </w:p>
        </w:tc>
        <w:tc>
          <w:tcPr>
            <w:tcW w:w="3213" w:type="dxa"/>
            <w:tcBorders>
              <w:top w:val="single" w:sz="2" w:space="0" w:color="auto"/>
              <w:left w:val="single" w:sz="2" w:space="0" w:color="auto"/>
              <w:bottom w:val="single" w:sz="2" w:space="0" w:color="auto"/>
              <w:right w:val="single" w:sz="2" w:space="0" w:color="auto"/>
            </w:tcBorders>
            <w:vAlign w:val="center"/>
          </w:tcPr>
          <w:p w14:paraId="6AFC018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0D2ED2F"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36EC5FC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6C44F4"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14:paraId="0F9E2DE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2544BCA"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5807D50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23DFAA"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14:paraId="6C484C5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CA52EF9"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1742CF8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8568AE"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14:paraId="7C0DB8F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57CFEAC"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6580DD2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20F723"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00B5EC4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127,173,490.37</w:t>
            </w:r>
          </w:p>
        </w:tc>
        <w:tc>
          <w:tcPr>
            <w:tcW w:w="3213" w:type="dxa"/>
            <w:tcBorders>
              <w:top w:val="single" w:sz="2" w:space="0" w:color="auto"/>
              <w:left w:val="single" w:sz="2" w:space="0" w:color="auto"/>
              <w:bottom w:val="single" w:sz="2" w:space="0" w:color="auto"/>
              <w:right w:val="single" w:sz="2" w:space="0" w:color="auto"/>
            </w:tcBorders>
            <w:vAlign w:val="center"/>
          </w:tcPr>
          <w:p w14:paraId="5E3655A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107,274,194.64</w:t>
            </w:r>
          </w:p>
        </w:tc>
      </w:tr>
      <w:tr w:rsidR="006C011D" w:rsidRPr="005A284F" w14:paraId="73FFF62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B125A5"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75FDE3C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11,493,760.18</w:t>
            </w:r>
          </w:p>
        </w:tc>
        <w:tc>
          <w:tcPr>
            <w:tcW w:w="3213" w:type="dxa"/>
            <w:tcBorders>
              <w:top w:val="single" w:sz="2" w:space="0" w:color="auto"/>
              <w:left w:val="single" w:sz="2" w:space="0" w:color="auto"/>
              <w:bottom w:val="single" w:sz="2" w:space="0" w:color="auto"/>
              <w:right w:val="single" w:sz="2" w:space="0" w:color="auto"/>
            </w:tcBorders>
            <w:vAlign w:val="center"/>
          </w:tcPr>
          <w:p w14:paraId="2819773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10,498,216.67</w:t>
            </w:r>
          </w:p>
        </w:tc>
      </w:tr>
      <w:tr w:rsidR="006C011D" w:rsidRPr="005A284F" w14:paraId="4F903E5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937A08"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5DBD578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2,693,489,233.52</w:t>
            </w:r>
          </w:p>
        </w:tc>
        <w:tc>
          <w:tcPr>
            <w:tcW w:w="3213" w:type="dxa"/>
            <w:tcBorders>
              <w:top w:val="single" w:sz="2" w:space="0" w:color="auto"/>
              <w:left w:val="single" w:sz="2" w:space="0" w:color="auto"/>
              <w:bottom w:val="single" w:sz="2" w:space="0" w:color="auto"/>
              <w:right w:val="single" w:sz="2" w:space="0" w:color="auto"/>
            </w:tcBorders>
            <w:vAlign w:val="center"/>
          </w:tcPr>
          <w:p w14:paraId="43D4A37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2,887,683,450.84</w:t>
            </w:r>
          </w:p>
        </w:tc>
      </w:tr>
      <w:tr w:rsidR="006C011D" w:rsidRPr="005A284F" w14:paraId="75C24A0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B439DD"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1CBE34" w14:textId="77777777" w:rsidR="006C011D" w:rsidRPr="005A284F" w:rsidRDefault="006C011D">
            <w:pPr>
              <w:rPr>
                <w:rFonts w:ascii="Times New Roman" w:eastAsia="宋体"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B9D8E2" w14:textId="77777777" w:rsidR="006C011D" w:rsidRPr="005A284F" w:rsidRDefault="006C011D">
            <w:pPr>
              <w:rPr>
                <w:rFonts w:ascii="Times New Roman" w:eastAsia="宋体" w:hAnsi="Times New Roman" w:cs="Times New Roman"/>
              </w:rPr>
            </w:pPr>
          </w:p>
        </w:tc>
      </w:tr>
      <w:tr w:rsidR="006C011D" w:rsidRPr="005A284F" w14:paraId="67FEE7F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9E554B"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14:paraId="0A3AEFF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215C3A2"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13D411B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156E22"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14:paraId="062ED6D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225,600,541.91</w:t>
            </w:r>
          </w:p>
        </w:tc>
        <w:tc>
          <w:tcPr>
            <w:tcW w:w="3213" w:type="dxa"/>
            <w:tcBorders>
              <w:top w:val="single" w:sz="2" w:space="0" w:color="auto"/>
              <w:left w:val="single" w:sz="2" w:space="0" w:color="auto"/>
              <w:bottom w:val="single" w:sz="2" w:space="0" w:color="auto"/>
              <w:right w:val="single" w:sz="2" w:space="0" w:color="auto"/>
            </w:tcBorders>
            <w:vAlign w:val="center"/>
          </w:tcPr>
          <w:p w14:paraId="4DF38F7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272,316,541.91</w:t>
            </w:r>
          </w:p>
        </w:tc>
      </w:tr>
      <w:tr w:rsidR="006C011D" w:rsidRPr="005A284F" w14:paraId="05B6613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B85D84"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14:paraId="40E8681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959,255,825.96</w:t>
            </w:r>
          </w:p>
        </w:tc>
        <w:tc>
          <w:tcPr>
            <w:tcW w:w="3213" w:type="dxa"/>
            <w:tcBorders>
              <w:top w:val="single" w:sz="2" w:space="0" w:color="auto"/>
              <w:left w:val="single" w:sz="2" w:space="0" w:color="auto"/>
              <w:bottom w:val="single" w:sz="2" w:space="0" w:color="auto"/>
              <w:right w:val="single" w:sz="2" w:space="0" w:color="auto"/>
            </w:tcBorders>
            <w:vAlign w:val="center"/>
          </w:tcPr>
          <w:p w14:paraId="2EEE441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934,309,640.97</w:t>
            </w:r>
          </w:p>
        </w:tc>
      </w:tr>
      <w:tr w:rsidR="006C011D" w:rsidRPr="005A284F" w14:paraId="49D660A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BBA244" w14:textId="77777777" w:rsidR="006C011D" w:rsidRPr="005A284F" w:rsidRDefault="00000000">
            <w:pPr>
              <w:spacing w:before="40" w:after="4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794CE22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58C7E4F"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28E6F39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470391" w14:textId="77777777" w:rsidR="006C011D" w:rsidRPr="005A284F" w:rsidRDefault="00000000">
            <w:pPr>
              <w:spacing w:before="40" w:after="40" w:line="240" w:lineRule="exact"/>
              <w:ind w:firstLineChars="500" w:firstLine="900"/>
              <w:rPr>
                <w:rFonts w:ascii="Times New Roman" w:eastAsia="宋体" w:hAnsi="Times New Roman" w:cs="Times New Roman"/>
                <w:sz w:val="18"/>
                <w:szCs w:val="18"/>
              </w:rPr>
            </w:pPr>
            <w:r w:rsidRPr="005A284F">
              <w:rPr>
                <w:rFonts w:ascii="Times New Roman" w:eastAsia="宋体" w:hAnsi="Times New Roman" w:cs="Times New Roman"/>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7F60B92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CABE117"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73F3A43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1CBA15"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14:paraId="4C1B8E9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122,491,807.02</w:t>
            </w:r>
          </w:p>
        </w:tc>
        <w:tc>
          <w:tcPr>
            <w:tcW w:w="3213" w:type="dxa"/>
            <w:tcBorders>
              <w:top w:val="single" w:sz="2" w:space="0" w:color="auto"/>
              <w:left w:val="single" w:sz="2" w:space="0" w:color="auto"/>
              <w:bottom w:val="single" w:sz="2" w:space="0" w:color="auto"/>
              <w:right w:val="single" w:sz="2" w:space="0" w:color="auto"/>
            </w:tcBorders>
            <w:vAlign w:val="center"/>
          </w:tcPr>
          <w:p w14:paraId="583B3F2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48,114,380.73</w:t>
            </w:r>
          </w:p>
        </w:tc>
      </w:tr>
      <w:tr w:rsidR="006C011D" w:rsidRPr="005A284F" w14:paraId="4B860AE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F0EB3D"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14:paraId="097D61C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53,938,471.30</w:t>
            </w:r>
          </w:p>
        </w:tc>
        <w:tc>
          <w:tcPr>
            <w:tcW w:w="3213" w:type="dxa"/>
            <w:tcBorders>
              <w:top w:val="single" w:sz="2" w:space="0" w:color="auto"/>
              <w:left w:val="single" w:sz="2" w:space="0" w:color="auto"/>
              <w:bottom w:val="single" w:sz="2" w:space="0" w:color="auto"/>
              <w:right w:val="single" w:sz="2" w:space="0" w:color="auto"/>
            </w:tcBorders>
            <w:vAlign w:val="center"/>
          </w:tcPr>
          <w:p w14:paraId="2A1D926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26,518,125.50</w:t>
            </w:r>
          </w:p>
        </w:tc>
      </w:tr>
      <w:tr w:rsidR="006C011D" w:rsidRPr="005A284F" w14:paraId="0AD4070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5C1993"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184E135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647C818"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D920A2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1D7361"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14:paraId="1BE004B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C20B378"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60076D9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9BD12F"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14:paraId="12B4C43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45,277,545.29</w:t>
            </w:r>
          </w:p>
        </w:tc>
        <w:tc>
          <w:tcPr>
            <w:tcW w:w="3213" w:type="dxa"/>
            <w:tcBorders>
              <w:top w:val="single" w:sz="2" w:space="0" w:color="auto"/>
              <w:left w:val="single" w:sz="2" w:space="0" w:color="auto"/>
              <w:bottom w:val="single" w:sz="2" w:space="0" w:color="auto"/>
              <w:right w:val="single" w:sz="2" w:space="0" w:color="auto"/>
            </w:tcBorders>
            <w:vAlign w:val="center"/>
          </w:tcPr>
          <w:p w14:paraId="3BD7C75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47,454,260.66</w:t>
            </w:r>
          </w:p>
        </w:tc>
      </w:tr>
      <w:tr w:rsidR="006C011D" w:rsidRPr="005A284F" w14:paraId="74C64BD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04D011"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14:paraId="0BAEE03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1,773,983.57</w:t>
            </w:r>
          </w:p>
        </w:tc>
        <w:tc>
          <w:tcPr>
            <w:tcW w:w="3213" w:type="dxa"/>
            <w:tcBorders>
              <w:top w:val="single" w:sz="2" w:space="0" w:color="auto"/>
              <w:left w:val="single" w:sz="2" w:space="0" w:color="auto"/>
              <w:bottom w:val="single" w:sz="2" w:space="0" w:color="auto"/>
              <w:right w:val="single" w:sz="2" w:space="0" w:color="auto"/>
            </w:tcBorders>
            <w:vAlign w:val="center"/>
          </w:tcPr>
          <w:p w14:paraId="4EDC4EC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1,779,739.47</w:t>
            </w:r>
          </w:p>
        </w:tc>
      </w:tr>
      <w:tr w:rsidR="006C011D" w:rsidRPr="005A284F" w14:paraId="7D932B7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57FEAC"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28D1F3A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97D78E2"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4BAF3EA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F6C135"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425ECD6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1,408,338,175.05</w:t>
            </w:r>
          </w:p>
        </w:tc>
        <w:tc>
          <w:tcPr>
            <w:tcW w:w="3213" w:type="dxa"/>
            <w:tcBorders>
              <w:top w:val="single" w:sz="2" w:space="0" w:color="auto"/>
              <w:left w:val="single" w:sz="2" w:space="0" w:color="auto"/>
              <w:bottom w:val="single" w:sz="2" w:space="0" w:color="auto"/>
              <w:right w:val="single" w:sz="2" w:space="0" w:color="auto"/>
            </w:tcBorders>
            <w:vAlign w:val="center"/>
          </w:tcPr>
          <w:p w14:paraId="49FB606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1,330,492,689.24</w:t>
            </w:r>
          </w:p>
        </w:tc>
      </w:tr>
      <w:tr w:rsidR="006C011D" w:rsidRPr="005A284F" w14:paraId="4F47FB9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02FBE3"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1685F2E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4,101,827,408.57</w:t>
            </w:r>
          </w:p>
        </w:tc>
        <w:tc>
          <w:tcPr>
            <w:tcW w:w="3213" w:type="dxa"/>
            <w:tcBorders>
              <w:top w:val="single" w:sz="2" w:space="0" w:color="auto"/>
              <w:left w:val="single" w:sz="2" w:space="0" w:color="auto"/>
              <w:bottom w:val="single" w:sz="2" w:space="0" w:color="auto"/>
              <w:right w:val="single" w:sz="2" w:space="0" w:color="auto"/>
            </w:tcBorders>
            <w:vAlign w:val="center"/>
          </w:tcPr>
          <w:p w14:paraId="2BC5688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4,218,176,140.08</w:t>
            </w:r>
          </w:p>
        </w:tc>
      </w:tr>
      <w:tr w:rsidR="006C011D" w:rsidRPr="005A284F" w14:paraId="1EB77EA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8C26C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B76B7D" w14:textId="77777777" w:rsidR="006C011D" w:rsidRPr="005A284F" w:rsidRDefault="006C011D">
            <w:pPr>
              <w:rPr>
                <w:rFonts w:ascii="Times New Roman" w:eastAsia="宋体"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A38F25" w14:textId="77777777" w:rsidR="006C011D" w:rsidRPr="005A284F" w:rsidRDefault="006C011D">
            <w:pPr>
              <w:rPr>
                <w:rFonts w:ascii="Times New Roman" w:eastAsia="宋体" w:hAnsi="Times New Roman" w:cs="Times New Roman"/>
              </w:rPr>
            </w:pPr>
          </w:p>
        </w:tc>
      </w:tr>
      <w:tr w:rsidR="006C011D" w:rsidRPr="005A284F" w14:paraId="2A83721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8251B1"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14:paraId="2284AD4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1,079,160,689.00</w:t>
            </w:r>
          </w:p>
        </w:tc>
        <w:tc>
          <w:tcPr>
            <w:tcW w:w="3213" w:type="dxa"/>
            <w:tcBorders>
              <w:top w:val="single" w:sz="2" w:space="0" w:color="auto"/>
              <w:left w:val="single" w:sz="2" w:space="0" w:color="auto"/>
              <w:bottom w:val="single" w:sz="2" w:space="0" w:color="auto"/>
              <w:right w:val="single" w:sz="2" w:space="0" w:color="auto"/>
            </w:tcBorders>
            <w:vAlign w:val="center"/>
          </w:tcPr>
          <w:p w14:paraId="56F906B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1,079,160,261.00</w:t>
            </w:r>
          </w:p>
        </w:tc>
      </w:tr>
      <w:tr w:rsidR="006C011D" w:rsidRPr="005A284F" w14:paraId="17844A2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BD733E"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14:paraId="71FAC78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171,569,231.67</w:t>
            </w:r>
          </w:p>
        </w:tc>
        <w:tc>
          <w:tcPr>
            <w:tcW w:w="3213" w:type="dxa"/>
            <w:tcBorders>
              <w:top w:val="single" w:sz="2" w:space="0" w:color="auto"/>
              <w:left w:val="single" w:sz="2" w:space="0" w:color="auto"/>
              <w:bottom w:val="single" w:sz="2" w:space="0" w:color="auto"/>
              <w:right w:val="single" w:sz="2" w:space="0" w:color="auto"/>
            </w:tcBorders>
            <w:vAlign w:val="center"/>
          </w:tcPr>
          <w:p w14:paraId="3CC61E4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171,570,156.57</w:t>
            </w:r>
          </w:p>
        </w:tc>
      </w:tr>
      <w:tr w:rsidR="006C011D" w:rsidRPr="005A284F" w14:paraId="3F21CA7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1DBB7E" w14:textId="77777777" w:rsidR="006C011D" w:rsidRPr="005A284F" w:rsidRDefault="00000000">
            <w:pPr>
              <w:spacing w:after="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14AEBE3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EC538D4"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524EEA0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624DCB" w14:textId="77777777" w:rsidR="006C011D" w:rsidRPr="005A284F" w:rsidRDefault="00000000">
            <w:pPr>
              <w:spacing w:after="0" w:line="240" w:lineRule="exact"/>
              <w:ind w:firstLineChars="500" w:firstLine="900"/>
              <w:rPr>
                <w:rFonts w:ascii="Times New Roman" w:eastAsia="宋体" w:hAnsi="Times New Roman" w:cs="Times New Roman"/>
                <w:sz w:val="18"/>
                <w:szCs w:val="18"/>
              </w:rPr>
            </w:pPr>
            <w:r w:rsidRPr="005A284F">
              <w:rPr>
                <w:rFonts w:ascii="Times New Roman" w:eastAsia="宋体" w:hAnsi="Times New Roman" w:cs="Times New Roman"/>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6C4F2E8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4B9ADD7"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4AFF63D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759923"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14:paraId="1280B83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824,647,028.96</w:t>
            </w:r>
          </w:p>
        </w:tc>
        <w:tc>
          <w:tcPr>
            <w:tcW w:w="3213" w:type="dxa"/>
            <w:tcBorders>
              <w:top w:val="single" w:sz="2" w:space="0" w:color="auto"/>
              <w:left w:val="single" w:sz="2" w:space="0" w:color="auto"/>
              <w:bottom w:val="single" w:sz="2" w:space="0" w:color="auto"/>
              <w:right w:val="single" w:sz="2" w:space="0" w:color="auto"/>
            </w:tcBorders>
            <w:vAlign w:val="center"/>
          </w:tcPr>
          <w:p w14:paraId="6F271FE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824,642,732.28</w:t>
            </w:r>
          </w:p>
        </w:tc>
      </w:tr>
      <w:tr w:rsidR="006C011D" w:rsidRPr="005A284F" w14:paraId="22FC415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A60C3E"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14:paraId="773077E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330,025,083.29</w:t>
            </w:r>
          </w:p>
        </w:tc>
        <w:tc>
          <w:tcPr>
            <w:tcW w:w="3213" w:type="dxa"/>
            <w:tcBorders>
              <w:top w:val="single" w:sz="2" w:space="0" w:color="auto"/>
              <w:left w:val="single" w:sz="2" w:space="0" w:color="auto"/>
              <w:bottom w:val="single" w:sz="2" w:space="0" w:color="auto"/>
              <w:right w:val="single" w:sz="2" w:space="0" w:color="auto"/>
            </w:tcBorders>
            <w:vAlign w:val="center"/>
          </w:tcPr>
          <w:p w14:paraId="1974701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330,025,083.29</w:t>
            </w:r>
          </w:p>
        </w:tc>
      </w:tr>
      <w:tr w:rsidR="006C011D" w:rsidRPr="005A284F" w14:paraId="36A4273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62DE60"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65F9DED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-12,100,000.00</w:t>
            </w:r>
          </w:p>
        </w:tc>
        <w:tc>
          <w:tcPr>
            <w:tcW w:w="3213" w:type="dxa"/>
            <w:tcBorders>
              <w:top w:val="single" w:sz="2" w:space="0" w:color="auto"/>
              <w:left w:val="single" w:sz="2" w:space="0" w:color="auto"/>
              <w:bottom w:val="single" w:sz="2" w:space="0" w:color="auto"/>
              <w:right w:val="single" w:sz="2" w:space="0" w:color="auto"/>
            </w:tcBorders>
            <w:vAlign w:val="center"/>
          </w:tcPr>
          <w:p w14:paraId="3DE5DEE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-12,100,000.00</w:t>
            </w:r>
          </w:p>
        </w:tc>
      </w:tr>
      <w:tr w:rsidR="006C011D" w:rsidRPr="005A284F" w14:paraId="464AD43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8256A1"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14:paraId="6D4247E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2CDA54A"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66D0975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BCDF28"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14:paraId="4BC9E7C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263,717,929.16</w:t>
            </w:r>
          </w:p>
        </w:tc>
        <w:tc>
          <w:tcPr>
            <w:tcW w:w="3213" w:type="dxa"/>
            <w:tcBorders>
              <w:top w:val="single" w:sz="2" w:space="0" w:color="auto"/>
              <w:left w:val="single" w:sz="2" w:space="0" w:color="auto"/>
              <w:bottom w:val="single" w:sz="2" w:space="0" w:color="auto"/>
              <w:right w:val="single" w:sz="2" w:space="0" w:color="auto"/>
            </w:tcBorders>
            <w:vAlign w:val="center"/>
          </w:tcPr>
          <w:p w14:paraId="1BCEC7B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263,717,929.16</w:t>
            </w:r>
          </w:p>
        </w:tc>
      </w:tr>
      <w:tr w:rsidR="006C011D" w:rsidRPr="005A284F" w14:paraId="10991E0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49BE1D"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14:paraId="070F478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037327F"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6AC36BC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220853"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14:paraId="7DA635C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-458,513,062.37</w:t>
            </w:r>
          </w:p>
        </w:tc>
        <w:tc>
          <w:tcPr>
            <w:tcW w:w="3213" w:type="dxa"/>
            <w:tcBorders>
              <w:top w:val="single" w:sz="2" w:space="0" w:color="auto"/>
              <w:left w:val="single" w:sz="2" w:space="0" w:color="auto"/>
              <w:bottom w:val="single" w:sz="2" w:space="0" w:color="auto"/>
              <w:right w:val="single" w:sz="2" w:space="0" w:color="auto"/>
            </w:tcBorders>
            <w:vAlign w:val="center"/>
          </w:tcPr>
          <w:p w14:paraId="6C6B485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-493,681,729.40</w:t>
            </w:r>
          </w:p>
        </w:tc>
      </w:tr>
      <w:tr w:rsidR="006C011D" w:rsidRPr="005A284F" w14:paraId="69B1B97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0B7FD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14:paraId="623482A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1,538,456,733.13</w:t>
            </w:r>
          </w:p>
        </w:tc>
        <w:tc>
          <w:tcPr>
            <w:tcW w:w="3213" w:type="dxa"/>
            <w:tcBorders>
              <w:top w:val="single" w:sz="2" w:space="0" w:color="auto"/>
              <w:left w:val="single" w:sz="2" w:space="0" w:color="auto"/>
              <w:bottom w:val="single" w:sz="2" w:space="0" w:color="auto"/>
              <w:right w:val="single" w:sz="2" w:space="0" w:color="auto"/>
            </w:tcBorders>
            <w:vAlign w:val="center"/>
          </w:tcPr>
          <w:p w14:paraId="1384D37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1,503,284,266.32</w:t>
            </w:r>
          </w:p>
        </w:tc>
      </w:tr>
      <w:tr w:rsidR="006C011D" w:rsidRPr="005A284F" w14:paraId="1AB9342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263698"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14:paraId="6F094FE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151,324,549.02</w:t>
            </w:r>
          </w:p>
        </w:tc>
        <w:tc>
          <w:tcPr>
            <w:tcW w:w="3213" w:type="dxa"/>
            <w:tcBorders>
              <w:top w:val="single" w:sz="2" w:space="0" w:color="auto"/>
              <w:left w:val="single" w:sz="2" w:space="0" w:color="auto"/>
              <w:bottom w:val="single" w:sz="2" w:space="0" w:color="auto"/>
              <w:right w:val="single" w:sz="2" w:space="0" w:color="auto"/>
            </w:tcBorders>
            <w:vAlign w:val="center"/>
          </w:tcPr>
          <w:p w14:paraId="534BB70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157,986,651.74</w:t>
            </w:r>
          </w:p>
        </w:tc>
      </w:tr>
      <w:tr w:rsidR="006C011D" w:rsidRPr="005A284F" w14:paraId="719F1AD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118C6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14:paraId="124386D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1,689,781,282.15</w:t>
            </w:r>
          </w:p>
        </w:tc>
        <w:tc>
          <w:tcPr>
            <w:tcW w:w="3213" w:type="dxa"/>
            <w:tcBorders>
              <w:top w:val="single" w:sz="2" w:space="0" w:color="auto"/>
              <w:left w:val="single" w:sz="2" w:space="0" w:color="auto"/>
              <w:bottom w:val="single" w:sz="2" w:space="0" w:color="auto"/>
              <w:right w:val="single" w:sz="2" w:space="0" w:color="auto"/>
            </w:tcBorders>
            <w:vAlign w:val="center"/>
          </w:tcPr>
          <w:p w14:paraId="4399780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1,661,270,918.06</w:t>
            </w:r>
          </w:p>
        </w:tc>
      </w:tr>
      <w:tr w:rsidR="006C011D" w:rsidRPr="005A284F" w14:paraId="413F38D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D5393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14:paraId="3201CDA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5,791,608,690.72</w:t>
            </w:r>
          </w:p>
        </w:tc>
        <w:tc>
          <w:tcPr>
            <w:tcW w:w="3213" w:type="dxa"/>
            <w:tcBorders>
              <w:top w:val="single" w:sz="2" w:space="0" w:color="auto"/>
              <w:left w:val="single" w:sz="2" w:space="0" w:color="auto"/>
              <w:bottom w:val="single" w:sz="2" w:space="0" w:color="auto"/>
              <w:right w:val="single" w:sz="2" w:space="0" w:color="auto"/>
            </w:tcBorders>
            <w:vAlign w:val="center"/>
          </w:tcPr>
          <w:p w14:paraId="0A3C2AB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5,879,447,058.14</w:t>
            </w:r>
          </w:p>
        </w:tc>
      </w:tr>
    </w:tbl>
    <w:p w14:paraId="7B8E8F97" w14:textId="77777777" w:rsidR="00634AA8" w:rsidRDefault="00634AA8">
      <w:pPr>
        <w:spacing w:before="100" w:after="100" w:line="240" w:lineRule="exact"/>
        <w:rPr>
          <w:rFonts w:ascii="Times New Roman" w:eastAsia="宋体" w:hAnsi="Times New Roman" w:cs="Times New Roman"/>
          <w:sz w:val="18"/>
          <w:szCs w:val="18"/>
        </w:rPr>
      </w:pPr>
    </w:p>
    <w:p w14:paraId="3173ACAD" w14:textId="1492C75E" w:rsidR="006C011D"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法定代表人：杨晓初</w:t>
      </w:r>
      <w:r w:rsidRPr="005A284F">
        <w:rPr>
          <w:rFonts w:ascii="Times New Roman" w:eastAsia="宋体" w:hAnsi="Times New Roman" w:cs="Times New Roman"/>
          <w:sz w:val="18"/>
          <w:szCs w:val="18"/>
        </w:rPr>
        <w:t xml:space="preserve">  </w:t>
      </w:r>
      <w:r w:rsidR="00634AA8">
        <w:rPr>
          <w:rFonts w:ascii="Times New Roman" w:eastAsia="宋体" w:hAnsi="Times New Roman" w:cs="Times New Roman" w:hint="eastAsia"/>
          <w:sz w:val="18"/>
          <w:szCs w:val="18"/>
        </w:rPr>
        <w:t xml:space="preserve">                                             </w:t>
      </w:r>
      <w:r w:rsidRPr="005A284F">
        <w:rPr>
          <w:rFonts w:ascii="Times New Roman" w:eastAsia="宋体" w:hAnsi="Times New Roman" w:cs="Times New Roman"/>
          <w:sz w:val="18"/>
          <w:szCs w:val="18"/>
        </w:rPr>
        <w:t xml:space="preserve">  </w:t>
      </w:r>
      <w:r w:rsidRPr="005A284F">
        <w:rPr>
          <w:rFonts w:ascii="Times New Roman" w:eastAsia="宋体" w:hAnsi="Times New Roman" w:cs="Times New Roman"/>
          <w:sz w:val="18"/>
          <w:szCs w:val="18"/>
        </w:rPr>
        <w:t>主管会计工作负责人：郭锐</w:t>
      </w:r>
      <w:r w:rsidRPr="005A284F">
        <w:rPr>
          <w:rFonts w:ascii="Times New Roman" w:eastAsia="宋体" w:hAnsi="Times New Roman" w:cs="Times New Roman"/>
          <w:sz w:val="18"/>
          <w:szCs w:val="18"/>
        </w:rPr>
        <w:t xml:space="preserve">   </w:t>
      </w:r>
      <w:r w:rsidR="00634AA8">
        <w:rPr>
          <w:rFonts w:ascii="Times New Roman" w:eastAsia="宋体" w:hAnsi="Times New Roman" w:cs="Times New Roman" w:hint="eastAsia"/>
          <w:sz w:val="18"/>
          <w:szCs w:val="18"/>
        </w:rPr>
        <w:t xml:space="preserve">    </w:t>
      </w:r>
      <w:r w:rsidR="00EE3DD0">
        <w:rPr>
          <w:rFonts w:ascii="Times New Roman" w:eastAsia="宋体" w:hAnsi="Times New Roman" w:cs="Times New Roman" w:hint="eastAsia"/>
          <w:sz w:val="18"/>
          <w:szCs w:val="18"/>
        </w:rPr>
        <w:t xml:space="preserve">      </w:t>
      </w:r>
      <w:r w:rsidR="00634AA8">
        <w:rPr>
          <w:rFonts w:ascii="Times New Roman" w:eastAsia="宋体" w:hAnsi="Times New Roman" w:cs="Times New Roman" w:hint="eastAsia"/>
          <w:sz w:val="18"/>
          <w:szCs w:val="18"/>
        </w:rPr>
        <w:t xml:space="preserve">                     </w:t>
      </w:r>
      <w:r w:rsidRPr="005A284F">
        <w:rPr>
          <w:rFonts w:ascii="Times New Roman" w:eastAsia="宋体" w:hAnsi="Times New Roman" w:cs="Times New Roman"/>
          <w:sz w:val="18"/>
          <w:szCs w:val="18"/>
        </w:rPr>
        <w:t xml:space="preserve">   </w:t>
      </w:r>
      <w:r w:rsidRPr="005A284F">
        <w:rPr>
          <w:rFonts w:ascii="Times New Roman" w:eastAsia="宋体" w:hAnsi="Times New Roman" w:cs="Times New Roman"/>
          <w:sz w:val="18"/>
          <w:szCs w:val="18"/>
        </w:rPr>
        <w:t>会计机构负责人：刘璐希</w:t>
      </w:r>
    </w:p>
    <w:p w14:paraId="315CD82B" w14:textId="77777777" w:rsidR="00634AA8" w:rsidRDefault="00634AA8">
      <w:pPr>
        <w:spacing w:before="100" w:after="100" w:line="240" w:lineRule="exact"/>
        <w:rPr>
          <w:rFonts w:ascii="Times New Roman" w:eastAsia="宋体" w:hAnsi="Times New Roman" w:cs="Times New Roman"/>
          <w:sz w:val="18"/>
          <w:szCs w:val="18"/>
        </w:rPr>
      </w:pPr>
    </w:p>
    <w:p w14:paraId="4432F0F2" w14:textId="77777777" w:rsidR="00634AA8" w:rsidRPr="005A284F" w:rsidRDefault="00634AA8">
      <w:pPr>
        <w:spacing w:before="100" w:after="100" w:line="240" w:lineRule="exact"/>
        <w:rPr>
          <w:rFonts w:ascii="Times New Roman" w:eastAsia="宋体" w:hAnsi="Times New Roman" w:cs="Times New Roman"/>
          <w:sz w:val="18"/>
          <w:szCs w:val="18"/>
        </w:rPr>
      </w:pPr>
    </w:p>
    <w:p w14:paraId="3DB44143" w14:textId="77777777" w:rsidR="006C011D" w:rsidRPr="005A284F" w:rsidRDefault="00000000">
      <w:pPr>
        <w:pStyle w:val="3"/>
        <w:spacing w:line="320" w:lineRule="exact"/>
        <w:jc w:val="left"/>
        <w:rPr>
          <w:rFonts w:ascii="Times New Roman" w:hAnsi="Times New Roman" w:cs="Times New Roman"/>
          <w:b/>
          <w:bCs/>
          <w:sz w:val="24"/>
          <w:szCs w:val="24"/>
        </w:rPr>
      </w:pPr>
      <w:bookmarkStart w:id="103" w:name="_Toc988992"/>
      <w:r w:rsidRPr="005A284F">
        <w:rPr>
          <w:rFonts w:ascii="Times New Roman" w:hAnsi="Times New Roman" w:cs="Times New Roman"/>
          <w:b/>
          <w:bCs/>
          <w:sz w:val="24"/>
          <w:szCs w:val="24"/>
        </w:rPr>
        <w:lastRenderedPageBreak/>
        <w:t>2</w:t>
      </w:r>
      <w:r w:rsidRPr="005A284F">
        <w:rPr>
          <w:rFonts w:ascii="Times New Roman" w:hAnsi="Times New Roman" w:cs="Times New Roman"/>
          <w:b/>
          <w:bCs/>
          <w:sz w:val="24"/>
          <w:szCs w:val="24"/>
        </w:rPr>
        <w:t>、母公司资产负债表</w:t>
      </w:r>
      <w:bookmarkEnd w:id="103"/>
    </w:p>
    <w:p w14:paraId="47388E11"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023FFAB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AEFD2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32152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63946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r>
      <w:tr w:rsidR="006C011D" w:rsidRPr="005A284F" w14:paraId="426DAFE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82487F"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242050" w14:textId="77777777" w:rsidR="006C011D" w:rsidRPr="005A284F" w:rsidRDefault="006C011D">
            <w:pPr>
              <w:rPr>
                <w:rFonts w:ascii="Times New Roman" w:eastAsia="宋体"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F83DF6" w14:textId="77777777" w:rsidR="006C011D" w:rsidRPr="005A284F" w:rsidRDefault="006C011D">
            <w:pPr>
              <w:rPr>
                <w:rFonts w:ascii="Times New Roman" w:eastAsia="宋体" w:hAnsi="Times New Roman" w:cs="Times New Roman"/>
              </w:rPr>
            </w:pPr>
          </w:p>
        </w:tc>
      </w:tr>
      <w:tr w:rsidR="006C011D" w:rsidRPr="005A284F" w14:paraId="67FBB22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0124B8"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14:paraId="17EA493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646,555,285.49</w:t>
            </w:r>
          </w:p>
        </w:tc>
        <w:tc>
          <w:tcPr>
            <w:tcW w:w="3213" w:type="dxa"/>
            <w:tcBorders>
              <w:top w:val="single" w:sz="2" w:space="0" w:color="auto"/>
              <w:left w:val="single" w:sz="2" w:space="0" w:color="auto"/>
              <w:bottom w:val="single" w:sz="2" w:space="0" w:color="auto"/>
              <w:right w:val="single" w:sz="2" w:space="0" w:color="auto"/>
            </w:tcBorders>
            <w:vAlign w:val="center"/>
          </w:tcPr>
          <w:p w14:paraId="12086AF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558,840,990.65</w:t>
            </w:r>
          </w:p>
        </w:tc>
      </w:tr>
      <w:tr w:rsidR="006C011D" w:rsidRPr="005A284F" w14:paraId="1137570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EFA0F9"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2CFF398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14:paraId="564E344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1,293,700.05</w:t>
            </w:r>
          </w:p>
        </w:tc>
      </w:tr>
      <w:tr w:rsidR="006C011D" w:rsidRPr="005A284F" w14:paraId="7472E71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12E1AB"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5668181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2710252"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3AA6A09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176AF0"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14:paraId="586E6B7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142,953,839.61</w:t>
            </w:r>
          </w:p>
        </w:tc>
        <w:tc>
          <w:tcPr>
            <w:tcW w:w="3213" w:type="dxa"/>
            <w:tcBorders>
              <w:top w:val="single" w:sz="2" w:space="0" w:color="auto"/>
              <w:left w:val="single" w:sz="2" w:space="0" w:color="auto"/>
              <w:bottom w:val="single" w:sz="2" w:space="0" w:color="auto"/>
              <w:right w:val="single" w:sz="2" w:space="0" w:color="auto"/>
            </w:tcBorders>
            <w:vAlign w:val="center"/>
          </w:tcPr>
          <w:p w14:paraId="1F1D1B2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148,024,684.36</w:t>
            </w:r>
          </w:p>
        </w:tc>
      </w:tr>
      <w:tr w:rsidR="006C011D" w:rsidRPr="005A284F" w14:paraId="2D84C93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6BDEBB"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14:paraId="364C7AE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436,798,426.81</w:t>
            </w:r>
          </w:p>
        </w:tc>
        <w:tc>
          <w:tcPr>
            <w:tcW w:w="3213" w:type="dxa"/>
            <w:tcBorders>
              <w:top w:val="single" w:sz="2" w:space="0" w:color="auto"/>
              <w:left w:val="single" w:sz="2" w:space="0" w:color="auto"/>
              <w:bottom w:val="single" w:sz="2" w:space="0" w:color="auto"/>
              <w:right w:val="single" w:sz="2" w:space="0" w:color="auto"/>
            </w:tcBorders>
            <w:vAlign w:val="center"/>
          </w:tcPr>
          <w:p w14:paraId="2F14015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398,482,355.45</w:t>
            </w:r>
          </w:p>
        </w:tc>
      </w:tr>
      <w:tr w:rsidR="006C011D" w:rsidRPr="005A284F" w14:paraId="371A223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271B11"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14:paraId="294632D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5194FE1"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87BBCA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9E4ECD"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14:paraId="5441CD4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34,724,081.17</w:t>
            </w:r>
          </w:p>
        </w:tc>
        <w:tc>
          <w:tcPr>
            <w:tcW w:w="3213" w:type="dxa"/>
            <w:tcBorders>
              <w:top w:val="single" w:sz="2" w:space="0" w:color="auto"/>
              <w:left w:val="single" w:sz="2" w:space="0" w:color="auto"/>
              <w:bottom w:val="single" w:sz="2" w:space="0" w:color="auto"/>
              <w:right w:val="single" w:sz="2" w:space="0" w:color="auto"/>
            </w:tcBorders>
            <w:vAlign w:val="center"/>
          </w:tcPr>
          <w:p w14:paraId="7B6C656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12,510,046.71</w:t>
            </w:r>
          </w:p>
        </w:tc>
      </w:tr>
      <w:tr w:rsidR="006C011D" w:rsidRPr="005A284F" w14:paraId="4DBDC7F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FFF841"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14:paraId="2FE39CF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680,825,103.65</w:t>
            </w:r>
          </w:p>
        </w:tc>
        <w:tc>
          <w:tcPr>
            <w:tcW w:w="3213" w:type="dxa"/>
            <w:tcBorders>
              <w:top w:val="single" w:sz="2" w:space="0" w:color="auto"/>
              <w:left w:val="single" w:sz="2" w:space="0" w:color="auto"/>
              <w:bottom w:val="single" w:sz="2" w:space="0" w:color="auto"/>
              <w:right w:val="single" w:sz="2" w:space="0" w:color="auto"/>
            </w:tcBorders>
            <w:vAlign w:val="center"/>
          </w:tcPr>
          <w:p w14:paraId="4A08C6C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667,216,032.90</w:t>
            </w:r>
          </w:p>
        </w:tc>
      </w:tr>
      <w:tr w:rsidR="006C011D" w:rsidRPr="005A284F" w14:paraId="2DDC048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ACE6C9" w14:textId="77777777" w:rsidR="006C011D" w:rsidRPr="005A284F" w:rsidRDefault="00000000">
            <w:pPr>
              <w:spacing w:before="40" w:after="4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14:paraId="781E6C4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22C0581"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6D8A342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A565C9" w14:textId="77777777" w:rsidR="006C011D" w:rsidRPr="005A284F" w:rsidRDefault="00000000">
            <w:pPr>
              <w:spacing w:before="40" w:after="40" w:line="240" w:lineRule="exact"/>
              <w:ind w:firstLineChars="500" w:firstLine="900"/>
              <w:rPr>
                <w:rFonts w:ascii="Times New Roman" w:eastAsia="宋体" w:hAnsi="Times New Roman" w:cs="Times New Roman"/>
                <w:sz w:val="18"/>
                <w:szCs w:val="18"/>
              </w:rPr>
            </w:pPr>
            <w:r w:rsidRPr="005A284F">
              <w:rPr>
                <w:rFonts w:ascii="Times New Roman" w:eastAsia="宋体" w:hAnsi="Times New Roman" w:cs="Times New Roman"/>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14:paraId="203EAE3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14:paraId="1FADE72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2,240,000.00</w:t>
            </w:r>
          </w:p>
        </w:tc>
      </w:tr>
      <w:tr w:rsidR="006C011D" w:rsidRPr="005A284F" w14:paraId="64A094A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FF028C"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14:paraId="77119AF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300,326,669.68</w:t>
            </w:r>
          </w:p>
        </w:tc>
        <w:tc>
          <w:tcPr>
            <w:tcW w:w="3213" w:type="dxa"/>
            <w:tcBorders>
              <w:top w:val="single" w:sz="2" w:space="0" w:color="auto"/>
              <w:left w:val="single" w:sz="2" w:space="0" w:color="auto"/>
              <w:bottom w:val="single" w:sz="2" w:space="0" w:color="auto"/>
              <w:right w:val="single" w:sz="2" w:space="0" w:color="auto"/>
            </w:tcBorders>
            <w:vAlign w:val="center"/>
          </w:tcPr>
          <w:p w14:paraId="7973A57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319,692,324.38</w:t>
            </w:r>
          </w:p>
        </w:tc>
      </w:tr>
      <w:tr w:rsidR="006C011D" w:rsidRPr="005A284F" w14:paraId="41593FD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72FE2A" w14:textId="77777777" w:rsidR="006C011D" w:rsidRPr="005A284F" w:rsidRDefault="00000000">
            <w:pPr>
              <w:spacing w:before="40" w:after="4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798D800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4746BD2"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3CAE95F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F1F751"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14:paraId="38A98F5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BED60FC"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32F728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BBE639"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14:paraId="137BC2B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DEAC90B"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20770DA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4A76F8"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19C2E99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587A94E"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397F149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544E63"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474FE9B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FC59201"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7FB7F7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46CC96"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4623728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2,242,183,406.41</w:t>
            </w:r>
          </w:p>
        </w:tc>
        <w:tc>
          <w:tcPr>
            <w:tcW w:w="3213" w:type="dxa"/>
            <w:tcBorders>
              <w:top w:val="single" w:sz="2" w:space="0" w:color="auto"/>
              <w:left w:val="single" w:sz="2" w:space="0" w:color="auto"/>
              <w:bottom w:val="single" w:sz="2" w:space="0" w:color="auto"/>
              <w:right w:val="single" w:sz="2" w:space="0" w:color="auto"/>
            </w:tcBorders>
            <w:vAlign w:val="center"/>
          </w:tcPr>
          <w:p w14:paraId="58EC9AC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2,106,060,134.50</w:t>
            </w:r>
          </w:p>
        </w:tc>
      </w:tr>
      <w:tr w:rsidR="006C011D" w:rsidRPr="005A284F" w14:paraId="5A10D50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54EB24"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CD9CCC" w14:textId="77777777" w:rsidR="006C011D" w:rsidRPr="005A284F" w:rsidRDefault="006C011D">
            <w:pPr>
              <w:rPr>
                <w:rFonts w:ascii="Times New Roman" w:eastAsia="宋体"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04F3FB" w14:textId="77777777" w:rsidR="006C011D" w:rsidRPr="005A284F" w:rsidRDefault="006C011D">
            <w:pPr>
              <w:rPr>
                <w:rFonts w:ascii="Times New Roman" w:eastAsia="宋体" w:hAnsi="Times New Roman" w:cs="Times New Roman"/>
              </w:rPr>
            </w:pPr>
          </w:p>
        </w:tc>
      </w:tr>
      <w:tr w:rsidR="006C011D" w:rsidRPr="005A284F" w14:paraId="31AEC24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C9364C"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0C34E9C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4F8A3BF"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4A8443F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603394"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3DA76C1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AE97D99"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4B36DE2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30AF27"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14:paraId="19BC432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66852A1"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144AA19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F64F93"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14:paraId="0E576B1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2,473,481,822.87</w:t>
            </w:r>
          </w:p>
        </w:tc>
        <w:tc>
          <w:tcPr>
            <w:tcW w:w="3213" w:type="dxa"/>
            <w:tcBorders>
              <w:top w:val="single" w:sz="2" w:space="0" w:color="auto"/>
              <w:left w:val="single" w:sz="2" w:space="0" w:color="auto"/>
              <w:bottom w:val="single" w:sz="2" w:space="0" w:color="auto"/>
              <w:right w:val="single" w:sz="2" w:space="0" w:color="auto"/>
            </w:tcBorders>
            <w:vAlign w:val="center"/>
          </w:tcPr>
          <w:p w14:paraId="4AB4C73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2,444,081,822.87</w:t>
            </w:r>
          </w:p>
        </w:tc>
      </w:tr>
      <w:tr w:rsidR="006C011D" w:rsidRPr="005A284F" w14:paraId="3388CD8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25917F"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14:paraId="524B69B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2243EC5"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25F811E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40A1B6"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2488806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3B305F3"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5618715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D35722"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14:paraId="1EC27E2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66D9C78"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2B4D9F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C04CCE"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14:paraId="264F318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488,156,432.84</w:t>
            </w:r>
          </w:p>
        </w:tc>
        <w:tc>
          <w:tcPr>
            <w:tcW w:w="3213" w:type="dxa"/>
            <w:tcBorders>
              <w:top w:val="single" w:sz="2" w:space="0" w:color="auto"/>
              <w:left w:val="single" w:sz="2" w:space="0" w:color="auto"/>
              <w:bottom w:val="single" w:sz="2" w:space="0" w:color="auto"/>
              <w:right w:val="single" w:sz="2" w:space="0" w:color="auto"/>
            </w:tcBorders>
            <w:vAlign w:val="center"/>
          </w:tcPr>
          <w:p w14:paraId="472C1F2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504,334,191.82</w:t>
            </w:r>
          </w:p>
        </w:tc>
      </w:tr>
      <w:tr w:rsidR="006C011D" w:rsidRPr="005A284F" w14:paraId="3190934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1B942D"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14:paraId="1010775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12,053,345.94</w:t>
            </w:r>
          </w:p>
        </w:tc>
        <w:tc>
          <w:tcPr>
            <w:tcW w:w="3213" w:type="dxa"/>
            <w:tcBorders>
              <w:top w:val="single" w:sz="2" w:space="0" w:color="auto"/>
              <w:left w:val="single" w:sz="2" w:space="0" w:color="auto"/>
              <w:bottom w:val="single" w:sz="2" w:space="0" w:color="auto"/>
              <w:right w:val="single" w:sz="2" w:space="0" w:color="auto"/>
            </w:tcBorders>
            <w:vAlign w:val="center"/>
          </w:tcPr>
          <w:p w14:paraId="62BE174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8,978,090.22</w:t>
            </w:r>
          </w:p>
        </w:tc>
      </w:tr>
      <w:tr w:rsidR="006C011D" w:rsidRPr="005A284F" w14:paraId="0B3CFD2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6EEE60"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14:paraId="44BB9BB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C516FDA"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7D255D1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C78313"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14:paraId="29FC509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FAB63ED"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27BD53C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719EC4"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14:paraId="2AE4837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272,899.17</w:t>
            </w:r>
          </w:p>
        </w:tc>
        <w:tc>
          <w:tcPr>
            <w:tcW w:w="3213" w:type="dxa"/>
            <w:tcBorders>
              <w:top w:val="single" w:sz="2" w:space="0" w:color="auto"/>
              <w:left w:val="single" w:sz="2" w:space="0" w:color="auto"/>
              <w:bottom w:val="single" w:sz="2" w:space="0" w:color="auto"/>
              <w:right w:val="single" w:sz="2" w:space="0" w:color="auto"/>
            </w:tcBorders>
            <w:vAlign w:val="center"/>
          </w:tcPr>
          <w:p w14:paraId="1B946A4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398,852.73</w:t>
            </w:r>
          </w:p>
        </w:tc>
      </w:tr>
      <w:tr w:rsidR="006C011D" w:rsidRPr="005A284F" w14:paraId="1442477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42A433"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14:paraId="08A1FBE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12,994,679.63</w:t>
            </w:r>
          </w:p>
        </w:tc>
        <w:tc>
          <w:tcPr>
            <w:tcW w:w="3213" w:type="dxa"/>
            <w:tcBorders>
              <w:top w:val="single" w:sz="2" w:space="0" w:color="auto"/>
              <w:left w:val="single" w:sz="2" w:space="0" w:color="auto"/>
              <w:bottom w:val="single" w:sz="2" w:space="0" w:color="auto"/>
              <w:right w:val="single" w:sz="2" w:space="0" w:color="auto"/>
            </w:tcBorders>
            <w:vAlign w:val="center"/>
          </w:tcPr>
          <w:p w14:paraId="4949189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13,453,776.56</w:t>
            </w:r>
          </w:p>
        </w:tc>
      </w:tr>
      <w:tr w:rsidR="006C011D" w:rsidRPr="005A284F" w14:paraId="6918051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BD0A9B" w14:textId="77777777" w:rsidR="006C011D" w:rsidRPr="005A284F" w:rsidRDefault="00000000">
            <w:pPr>
              <w:spacing w:before="40" w:after="4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684CBCB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2F19618"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682FBF8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880C2F"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14:paraId="5348563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91F7DF4"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3F36AAF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D449C2" w14:textId="77777777" w:rsidR="006C011D" w:rsidRPr="005A284F" w:rsidRDefault="00000000">
            <w:pPr>
              <w:spacing w:before="40" w:after="4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0D1E608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16A1F11"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68CAC68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498CC4"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14:paraId="33A9F62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A55CDF4"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5D9C6B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302946"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14:paraId="40AC4DA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D2BD6BC"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44441ED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A7FFFE"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14:paraId="5E1473A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7,364,910.03</w:t>
            </w:r>
          </w:p>
        </w:tc>
        <w:tc>
          <w:tcPr>
            <w:tcW w:w="3213" w:type="dxa"/>
            <w:tcBorders>
              <w:top w:val="single" w:sz="2" w:space="0" w:color="auto"/>
              <w:left w:val="single" w:sz="2" w:space="0" w:color="auto"/>
              <w:bottom w:val="single" w:sz="2" w:space="0" w:color="auto"/>
              <w:right w:val="single" w:sz="2" w:space="0" w:color="auto"/>
            </w:tcBorders>
            <w:vAlign w:val="center"/>
          </w:tcPr>
          <w:p w14:paraId="51A50F2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8,497,586.69</w:t>
            </w:r>
          </w:p>
        </w:tc>
      </w:tr>
      <w:tr w:rsidR="006C011D" w:rsidRPr="005A284F" w14:paraId="02FE2B9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5F203B"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506424E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6,301,049.68</w:t>
            </w:r>
          </w:p>
        </w:tc>
        <w:tc>
          <w:tcPr>
            <w:tcW w:w="3213" w:type="dxa"/>
            <w:tcBorders>
              <w:top w:val="single" w:sz="2" w:space="0" w:color="auto"/>
              <w:left w:val="single" w:sz="2" w:space="0" w:color="auto"/>
              <w:bottom w:val="single" w:sz="2" w:space="0" w:color="auto"/>
              <w:right w:val="single" w:sz="2" w:space="0" w:color="auto"/>
            </w:tcBorders>
            <w:vAlign w:val="center"/>
          </w:tcPr>
          <w:p w14:paraId="2CE908A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4,427,475.93</w:t>
            </w:r>
          </w:p>
        </w:tc>
      </w:tr>
      <w:tr w:rsidR="006C011D" w:rsidRPr="005A284F" w14:paraId="6C7BF4F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DA09ED"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26BBC86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3,000,625,140.16</w:t>
            </w:r>
          </w:p>
        </w:tc>
        <w:tc>
          <w:tcPr>
            <w:tcW w:w="3213" w:type="dxa"/>
            <w:tcBorders>
              <w:top w:val="single" w:sz="2" w:space="0" w:color="auto"/>
              <w:left w:val="single" w:sz="2" w:space="0" w:color="auto"/>
              <w:bottom w:val="single" w:sz="2" w:space="0" w:color="auto"/>
              <w:right w:val="single" w:sz="2" w:space="0" w:color="auto"/>
            </w:tcBorders>
            <w:vAlign w:val="center"/>
          </w:tcPr>
          <w:p w14:paraId="0D03F93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2,984,171,796.82</w:t>
            </w:r>
          </w:p>
        </w:tc>
      </w:tr>
      <w:tr w:rsidR="006C011D" w:rsidRPr="005A284F" w14:paraId="74A8E53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708C1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14:paraId="7ABBB77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5,242,808,546.57</w:t>
            </w:r>
          </w:p>
        </w:tc>
        <w:tc>
          <w:tcPr>
            <w:tcW w:w="3213" w:type="dxa"/>
            <w:tcBorders>
              <w:top w:val="single" w:sz="2" w:space="0" w:color="auto"/>
              <w:left w:val="single" w:sz="2" w:space="0" w:color="auto"/>
              <w:bottom w:val="single" w:sz="2" w:space="0" w:color="auto"/>
              <w:right w:val="single" w:sz="2" w:space="0" w:color="auto"/>
            </w:tcBorders>
            <w:vAlign w:val="center"/>
          </w:tcPr>
          <w:p w14:paraId="0E79E09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5,090,231,931.32</w:t>
            </w:r>
          </w:p>
        </w:tc>
      </w:tr>
      <w:tr w:rsidR="006C011D" w:rsidRPr="005A284F" w14:paraId="1F863EF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6ED803"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619AF8" w14:textId="77777777" w:rsidR="006C011D" w:rsidRPr="005A284F" w:rsidRDefault="006C011D">
            <w:pPr>
              <w:rPr>
                <w:rFonts w:ascii="Times New Roman" w:eastAsia="宋体"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82F88E" w14:textId="77777777" w:rsidR="006C011D" w:rsidRPr="005A284F" w:rsidRDefault="006C011D">
            <w:pPr>
              <w:rPr>
                <w:rFonts w:ascii="Times New Roman" w:eastAsia="宋体" w:hAnsi="Times New Roman" w:cs="Times New Roman"/>
              </w:rPr>
            </w:pPr>
          </w:p>
        </w:tc>
      </w:tr>
      <w:tr w:rsidR="006C011D" w:rsidRPr="005A284F" w14:paraId="64A52CD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2A92B2"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14:paraId="084AB85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546,460,217.01</w:t>
            </w:r>
          </w:p>
        </w:tc>
        <w:tc>
          <w:tcPr>
            <w:tcW w:w="3213" w:type="dxa"/>
            <w:tcBorders>
              <w:top w:val="single" w:sz="2" w:space="0" w:color="auto"/>
              <w:left w:val="single" w:sz="2" w:space="0" w:color="auto"/>
              <w:bottom w:val="single" w:sz="2" w:space="0" w:color="auto"/>
              <w:right w:val="single" w:sz="2" w:space="0" w:color="auto"/>
            </w:tcBorders>
            <w:vAlign w:val="center"/>
          </w:tcPr>
          <w:p w14:paraId="358FB1C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444,994,165.18</w:t>
            </w:r>
          </w:p>
        </w:tc>
      </w:tr>
      <w:tr w:rsidR="006C011D" w:rsidRPr="005A284F" w14:paraId="7F0E89E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B6EBE2"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17840F8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0545A07"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16D5104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CDF23B"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56D2B6F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CC32E53"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644F0E3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DD48E3"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14:paraId="7241D39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207,270,000.00</w:t>
            </w:r>
          </w:p>
        </w:tc>
        <w:tc>
          <w:tcPr>
            <w:tcW w:w="3213" w:type="dxa"/>
            <w:tcBorders>
              <w:top w:val="single" w:sz="2" w:space="0" w:color="auto"/>
              <w:left w:val="single" w:sz="2" w:space="0" w:color="auto"/>
              <w:bottom w:val="single" w:sz="2" w:space="0" w:color="auto"/>
              <w:right w:val="single" w:sz="2" w:space="0" w:color="auto"/>
            </w:tcBorders>
            <w:vAlign w:val="center"/>
          </w:tcPr>
          <w:p w14:paraId="625EA78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206,560,000.00</w:t>
            </w:r>
          </w:p>
        </w:tc>
      </w:tr>
      <w:tr w:rsidR="006C011D" w:rsidRPr="005A284F" w14:paraId="70ABB4A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E111B9"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14:paraId="2071B37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645,894,582.62</w:t>
            </w:r>
          </w:p>
        </w:tc>
        <w:tc>
          <w:tcPr>
            <w:tcW w:w="3213" w:type="dxa"/>
            <w:tcBorders>
              <w:top w:val="single" w:sz="2" w:space="0" w:color="auto"/>
              <w:left w:val="single" w:sz="2" w:space="0" w:color="auto"/>
              <w:bottom w:val="single" w:sz="2" w:space="0" w:color="auto"/>
              <w:right w:val="single" w:sz="2" w:space="0" w:color="auto"/>
            </w:tcBorders>
            <w:vAlign w:val="center"/>
          </w:tcPr>
          <w:p w14:paraId="44FE73C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641,658,848.57</w:t>
            </w:r>
          </w:p>
        </w:tc>
      </w:tr>
      <w:tr w:rsidR="006C011D" w:rsidRPr="005A284F" w14:paraId="53966F7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3EB9C6"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14:paraId="2F69968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0BFA7D6"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6E1953F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3F274F"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14:paraId="0AD3E96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271,480,435.65</w:t>
            </w:r>
          </w:p>
        </w:tc>
        <w:tc>
          <w:tcPr>
            <w:tcW w:w="3213" w:type="dxa"/>
            <w:tcBorders>
              <w:top w:val="single" w:sz="2" w:space="0" w:color="auto"/>
              <w:left w:val="single" w:sz="2" w:space="0" w:color="auto"/>
              <w:bottom w:val="single" w:sz="2" w:space="0" w:color="auto"/>
              <w:right w:val="single" w:sz="2" w:space="0" w:color="auto"/>
            </w:tcBorders>
            <w:vAlign w:val="center"/>
          </w:tcPr>
          <w:p w14:paraId="7EADD6E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277,276,979.52</w:t>
            </w:r>
          </w:p>
        </w:tc>
      </w:tr>
      <w:tr w:rsidR="006C011D" w:rsidRPr="005A284F" w14:paraId="4A737F9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B84AF5"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2520737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14,391,818.53</w:t>
            </w:r>
          </w:p>
        </w:tc>
        <w:tc>
          <w:tcPr>
            <w:tcW w:w="3213" w:type="dxa"/>
            <w:tcBorders>
              <w:top w:val="single" w:sz="2" w:space="0" w:color="auto"/>
              <w:left w:val="single" w:sz="2" w:space="0" w:color="auto"/>
              <w:bottom w:val="single" w:sz="2" w:space="0" w:color="auto"/>
              <w:right w:val="single" w:sz="2" w:space="0" w:color="auto"/>
            </w:tcBorders>
            <w:vAlign w:val="center"/>
          </w:tcPr>
          <w:p w14:paraId="68F9991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14,733,024.88</w:t>
            </w:r>
          </w:p>
        </w:tc>
      </w:tr>
      <w:tr w:rsidR="006C011D" w:rsidRPr="005A284F" w14:paraId="4C2BC09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F2BB71"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14:paraId="3A0DB3F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4,588,409.49</w:t>
            </w:r>
          </w:p>
        </w:tc>
        <w:tc>
          <w:tcPr>
            <w:tcW w:w="3213" w:type="dxa"/>
            <w:tcBorders>
              <w:top w:val="single" w:sz="2" w:space="0" w:color="auto"/>
              <w:left w:val="single" w:sz="2" w:space="0" w:color="auto"/>
              <w:bottom w:val="single" w:sz="2" w:space="0" w:color="auto"/>
              <w:right w:val="single" w:sz="2" w:space="0" w:color="auto"/>
            </w:tcBorders>
            <w:vAlign w:val="center"/>
          </w:tcPr>
          <w:p w14:paraId="3ABEFE3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4,713,007.18</w:t>
            </w:r>
          </w:p>
        </w:tc>
      </w:tr>
      <w:tr w:rsidR="006C011D" w:rsidRPr="005A284F" w14:paraId="35D0357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87A882"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14:paraId="00586CA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1,235,005,151.85</w:t>
            </w:r>
          </w:p>
        </w:tc>
        <w:tc>
          <w:tcPr>
            <w:tcW w:w="3213" w:type="dxa"/>
            <w:tcBorders>
              <w:top w:val="single" w:sz="2" w:space="0" w:color="auto"/>
              <w:left w:val="single" w:sz="2" w:space="0" w:color="auto"/>
              <w:bottom w:val="single" w:sz="2" w:space="0" w:color="auto"/>
              <w:right w:val="single" w:sz="2" w:space="0" w:color="auto"/>
            </w:tcBorders>
            <w:vAlign w:val="center"/>
          </w:tcPr>
          <w:p w14:paraId="5B4D0BF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1,216,770,497.48</w:t>
            </w:r>
          </w:p>
        </w:tc>
      </w:tr>
      <w:tr w:rsidR="006C011D" w:rsidRPr="005A284F" w14:paraId="5FFF35F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A08D7F" w14:textId="77777777" w:rsidR="006C011D" w:rsidRPr="005A284F" w:rsidRDefault="00000000">
            <w:pPr>
              <w:spacing w:before="40" w:after="4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14:paraId="1D61048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DF6614B"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6FCA9C5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C615A7" w14:textId="77777777" w:rsidR="006C011D" w:rsidRPr="005A284F" w:rsidRDefault="00000000">
            <w:pPr>
              <w:spacing w:before="40" w:after="40" w:line="240" w:lineRule="exact"/>
              <w:ind w:firstLineChars="500" w:firstLine="900"/>
              <w:rPr>
                <w:rFonts w:ascii="Times New Roman" w:eastAsia="宋体" w:hAnsi="Times New Roman" w:cs="Times New Roman"/>
                <w:sz w:val="18"/>
                <w:szCs w:val="18"/>
              </w:rPr>
            </w:pPr>
            <w:r w:rsidRPr="005A284F">
              <w:rPr>
                <w:rFonts w:ascii="Times New Roman" w:eastAsia="宋体" w:hAnsi="Times New Roman" w:cs="Times New Roman"/>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14:paraId="3639881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8271E84"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60565BA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DBE4FB"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14:paraId="70EC604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7375220"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A42F64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081C0B"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0E28B92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77,565,288.72</w:t>
            </w:r>
          </w:p>
        </w:tc>
        <w:tc>
          <w:tcPr>
            <w:tcW w:w="3213" w:type="dxa"/>
            <w:tcBorders>
              <w:top w:val="single" w:sz="2" w:space="0" w:color="auto"/>
              <w:left w:val="single" w:sz="2" w:space="0" w:color="auto"/>
              <w:bottom w:val="single" w:sz="2" w:space="0" w:color="auto"/>
              <w:right w:val="single" w:sz="2" w:space="0" w:color="auto"/>
            </w:tcBorders>
            <w:vAlign w:val="center"/>
          </w:tcPr>
          <w:p w14:paraId="4B54AB7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68,525,976.53</w:t>
            </w:r>
          </w:p>
        </w:tc>
      </w:tr>
      <w:tr w:rsidR="006C011D" w:rsidRPr="005A284F" w14:paraId="446B8E8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EFF4C3"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218DC24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24,433,239.21</w:t>
            </w:r>
          </w:p>
        </w:tc>
        <w:tc>
          <w:tcPr>
            <w:tcW w:w="3213" w:type="dxa"/>
            <w:tcBorders>
              <w:top w:val="single" w:sz="2" w:space="0" w:color="auto"/>
              <w:left w:val="single" w:sz="2" w:space="0" w:color="auto"/>
              <w:bottom w:val="single" w:sz="2" w:space="0" w:color="auto"/>
              <w:right w:val="single" w:sz="2" w:space="0" w:color="auto"/>
            </w:tcBorders>
            <w:vAlign w:val="center"/>
          </w:tcPr>
          <w:p w14:paraId="56638ED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24,954,928.16</w:t>
            </w:r>
          </w:p>
        </w:tc>
      </w:tr>
      <w:tr w:rsidR="006C011D" w:rsidRPr="005A284F" w14:paraId="2D1356E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484C6D"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09A8DAF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3,027,089,143.08</w:t>
            </w:r>
          </w:p>
        </w:tc>
        <w:tc>
          <w:tcPr>
            <w:tcW w:w="3213" w:type="dxa"/>
            <w:tcBorders>
              <w:top w:val="single" w:sz="2" w:space="0" w:color="auto"/>
              <w:left w:val="single" w:sz="2" w:space="0" w:color="auto"/>
              <w:bottom w:val="single" w:sz="2" w:space="0" w:color="auto"/>
              <w:right w:val="single" w:sz="2" w:space="0" w:color="auto"/>
            </w:tcBorders>
            <w:vAlign w:val="center"/>
          </w:tcPr>
          <w:p w14:paraId="2DE45EB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2,900,187,427.50</w:t>
            </w:r>
          </w:p>
        </w:tc>
      </w:tr>
      <w:tr w:rsidR="006C011D" w:rsidRPr="005A284F" w14:paraId="4A5DCC0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FA628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A33AEC" w14:textId="77777777" w:rsidR="006C011D" w:rsidRPr="005A284F" w:rsidRDefault="006C011D">
            <w:pPr>
              <w:rPr>
                <w:rFonts w:ascii="Times New Roman" w:eastAsia="宋体"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185411" w14:textId="77777777" w:rsidR="006C011D" w:rsidRPr="005A284F" w:rsidRDefault="006C011D">
            <w:pPr>
              <w:rPr>
                <w:rFonts w:ascii="Times New Roman" w:eastAsia="宋体" w:hAnsi="Times New Roman" w:cs="Times New Roman"/>
              </w:rPr>
            </w:pPr>
          </w:p>
        </w:tc>
      </w:tr>
      <w:tr w:rsidR="006C011D" w:rsidRPr="005A284F" w14:paraId="6757745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69A0DC"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14:paraId="6E4CC9B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14:paraId="12E49C9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31,500,000.00</w:t>
            </w:r>
          </w:p>
        </w:tc>
      </w:tr>
      <w:tr w:rsidR="006C011D" w:rsidRPr="005A284F" w14:paraId="36CB41C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180022"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14:paraId="30C9E4D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959,255,825.96</w:t>
            </w:r>
          </w:p>
        </w:tc>
        <w:tc>
          <w:tcPr>
            <w:tcW w:w="3213" w:type="dxa"/>
            <w:tcBorders>
              <w:top w:val="single" w:sz="2" w:space="0" w:color="auto"/>
              <w:left w:val="single" w:sz="2" w:space="0" w:color="auto"/>
              <w:bottom w:val="single" w:sz="2" w:space="0" w:color="auto"/>
              <w:right w:val="single" w:sz="2" w:space="0" w:color="auto"/>
            </w:tcBorders>
            <w:vAlign w:val="center"/>
          </w:tcPr>
          <w:p w14:paraId="4C5D6A7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934,309,640.97</w:t>
            </w:r>
          </w:p>
        </w:tc>
      </w:tr>
      <w:tr w:rsidR="006C011D" w:rsidRPr="005A284F" w14:paraId="4F5AE38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A87A77" w14:textId="77777777" w:rsidR="006C011D" w:rsidRPr="005A284F" w:rsidRDefault="00000000">
            <w:pPr>
              <w:spacing w:before="40" w:after="4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106F000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D60A306"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22C320B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D7EE1C" w14:textId="77777777" w:rsidR="006C011D" w:rsidRPr="005A284F" w:rsidRDefault="00000000">
            <w:pPr>
              <w:spacing w:before="40" w:after="40" w:line="240" w:lineRule="exact"/>
              <w:ind w:firstLineChars="500" w:firstLine="900"/>
              <w:rPr>
                <w:rFonts w:ascii="Times New Roman" w:eastAsia="宋体" w:hAnsi="Times New Roman" w:cs="Times New Roman"/>
                <w:sz w:val="18"/>
                <w:szCs w:val="18"/>
              </w:rPr>
            </w:pPr>
            <w:r w:rsidRPr="005A284F">
              <w:rPr>
                <w:rFonts w:ascii="Times New Roman" w:eastAsia="宋体" w:hAnsi="Times New Roman" w:cs="Times New Roman"/>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32D6A53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F8D820D"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1C76360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CAC6DA"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14:paraId="283B5FC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261,885.69</w:t>
            </w:r>
          </w:p>
        </w:tc>
        <w:tc>
          <w:tcPr>
            <w:tcW w:w="3213" w:type="dxa"/>
            <w:tcBorders>
              <w:top w:val="single" w:sz="2" w:space="0" w:color="auto"/>
              <w:left w:val="single" w:sz="2" w:space="0" w:color="auto"/>
              <w:bottom w:val="single" w:sz="2" w:space="0" w:color="auto"/>
              <w:right w:val="single" w:sz="2" w:space="0" w:color="auto"/>
            </w:tcBorders>
            <w:vAlign w:val="center"/>
          </w:tcPr>
          <w:p w14:paraId="08D6332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119,077.51</w:t>
            </w:r>
          </w:p>
        </w:tc>
      </w:tr>
      <w:tr w:rsidR="006C011D" w:rsidRPr="005A284F" w14:paraId="46F66C3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03FEA9"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14:paraId="7A4DA23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37,889,058.95</w:t>
            </w:r>
          </w:p>
        </w:tc>
        <w:tc>
          <w:tcPr>
            <w:tcW w:w="3213" w:type="dxa"/>
            <w:tcBorders>
              <w:top w:val="single" w:sz="2" w:space="0" w:color="auto"/>
              <w:left w:val="single" w:sz="2" w:space="0" w:color="auto"/>
              <w:bottom w:val="single" w:sz="2" w:space="0" w:color="auto"/>
              <w:right w:val="single" w:sz="2" w:space="0" w:color="auto"/>
            </w:tcBorders>
            <w:vAlign w:val="center"/>
          </w:tcPr>
          <w:p w14:paraId="0F54E58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30,716,500.00</w:t>
            </w:r>
          </w:p>
        </w:tc>
      </w:tr>
      <w:tr w:rsidR="006C011D" w:rsidRPr="005A284F" w14:paraId="4472E71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A37E8E"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793B0D5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97B90E7"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C481A5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17B918"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14:paraId="3424847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7FBA724"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E339D3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269A93"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14:paraId="7504CA9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13,274,965.95</w:t>
            </w:r>
          </w:p>
        </w:tc>
        <w:tc>
          <w:tcPr>
            <w:tcW w:w="3213" w:type="dxa"/>
            <w:tcBorders>
              <w:top w:val="single" w:sz="2" w:space="0" w:color="auto"/>
              <w:left w:val="single" w:sz="2" w:space="0" w:color="auto"/>
              <w:bottom w:val="single" w:sz="2" w:space="0" w:color="auto"/>
              <w:right w:val="single" w:sz="2" w:space="0" w:color="auto"/>
            </w:tcBorders>
            <w:vAlign w:val="center"/>
          </w:tcPr>
          <w:p w14:paraId="53DE321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14,081,965.93</w:t>
            </w:r>
          </w:p>
        </w:tc>
      </w:tr>
      <w:tr w:rsidR="006C011D" w:rsidRPr="005A284F" w14:paraId="68756EC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22A45C"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14:paraId="650860C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D754F72"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73A9B60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27A221"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1783C40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503F3B8"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464BE7E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B82E3C"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44D2A6F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1,010,681,736.55</w:t>
            </w:r>
          </w:p>
        </w:tc>
        <w:tc>
          <w:tcPr>
            <w:tcW w:w="3213" w:type="dxa"/>
            <w:tcBorders>
              <w:top w:val="single" w:sz="2" w:space="0" w:color="auto"/>
              <w:left w:val="single" w:sz="2" w:space="0" w:color="auto"/>
              <w:bottom w:val="single" w:sz="2" w:space="0" w:color="auto"/>
              <w:right w:val="single" w:sz="2" w:space="0" w:color="auto"/>
            </w:tcBorders>
            <w:vAlign w:val="center"/>
          </w:tcPr>
          <w:p w14:paraId="605C0C2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1,010,727,184.41</w:t>
            </w:r>
          </w:p>
        </w:tc>
      </w:tr>
      <w:tr w:rsidR="006C011D" w:rsidRPr="005A284F" w14:paraId="728C015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0C3C51"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1572E07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4,037,770,879.63</w:t>
            </w:r>
          </w:p>
        </w:tc>
        <w:tc>
          <w:tcPr>
            <w:tcW w:w="3213" w:type="dxa"/>
            <w:tcBorders>
              <w:top w:val="single" w:sz="2" w:space="0" w:color="auto"/>
              <w:left w:val="single" w:sz="2" w:space="0" w:color="auto"/>
              <w:bottom w:val="single" w:sz="2" w:space="0" w:color="auto"/>
              <w:right w:val="single" w:sz="2" w:space="0" w:color="auto"/>
            </w:tcBorders>
            <w:vAlign w:val="center"/>
          </w:tcPr>
          <w:p w14:paraId="731B1F4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3,910,914,611.91</w:t>
            </w:r>
          </w:p>
        </w:tc>
      </w:tr>
      <w:tr w:rsidR="006C011D" w:rsidRPr="005A284F" w14:paraId="4497683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1D68D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4CA78D" w14:textId="77777777" w:rsidR="006C011D" w:rsidRPr="005A284F" w:rsidRDefault="006C011D">
            <w:pPr>
              <w:rPr>
                <w:rFonts w:ascii="Times New Roman" w:eastAsia="宋体"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C487B8" w14:textId="77777777" w:rsidR="006C011D" w:rsidRPr="005A284F" w:rsidRDefault="006C011D">
            <w:pPr>
              <w:rPr>
                <w:rFonts w:ascii="Times New Roman" w:eastAsia="宋体" w:hAnsi="Times New Roman" w:cs="Times New Roman"/>
              </w:rPr>
            </w:pPr>
          </w:p>
        </w:tc>
      </w:tr>
      <w:tr w:rsidR="006C011D" w:rsidRPr="005A284F" w14:paraId="350AEB4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86ADE8"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14:paraId="6CCA993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1,079,160,689.00</w:t>
            </w:r>
          </w:p>
        </w:tc>
        <w:tc>
          <w:tcPr>
            <w:tcW w:w="3213" w:type="dxa"/>
            <w:tcBorders>
              <w:top w:val="single" w:sz="2" w:space="0" w:color="auto"/>
              <w:left w:val="single" w:sz="2" w:space="0" w:color="auto"/>
              <w:bottom w:val="single" w:sz="2" w:space="0" w:color="auto"/>
              <w:right w:val="single" w:sz="2" w:space="0" w:color="auto"/>
            </w:tcBorders>
            <w:vAlign w:val="center"/>
          </w:tcPr>
          <w:p w14:paraId="3364973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1,079,160,261.00</w:t>
            </w:r>
          </w:p>
        </w:tc>
      </w:tr>
      <w:tr w:rsidR="006C011D" w:rsidRPr="005A284F" w14:paraId="3CCE9DA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F1071D"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14:paraId="7FAADB3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171,569,231.67</w:t>
            </w:r>
          </w:p>
        </w:tc>
        <w:tc>
          <w:tcPr>
            <w:tcW w:w="3213" w:type="dxa"/>
            <w:tcBorders>
              <w:top w:val="single" w:sz="2" w:space="0" w:color="auto"/>
              <w:left w:val="single" w:sz="2" w:space="0" w:color="auto"/>
              <w:bottom w:val="single" w:sz="2" w:space="0" w:color="auto"/>
              <w:right w:val="single" w:sz="2" w:space="0" w:color="auto"/>
            </w:tcBorders>
            <w:vAlign w:val="center"/>
          </w:tcPr>
          <w:p w14:paraId="58A7EA2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171,570,156.57</w:t>
            </w:r>
          </w:p>
        </w:tc>
      </w:tr>
      <w:tr w:rsidR="006C011D" w:rsidRPr="005A284F" w14:paraId="69875E5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83E8F0" w14:textId="77777777" w:rsidR="006C011D" w:rsidRPr="005A284F" w:rsidRDefault="00000000">
            <w:pPr>
              <w:spacing w:after="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288C190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1A8F338"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A7A29E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3C30BE" w14:textId="77777777" w:rsidR="006C011D" w:rsidRPr="005A284F" w:rsidRDefault="00000000">
            <w:pPr>
              <w:spacing w:after="0" w:line="240" w:lineRule="exact"/>
              <w:ind w:firstLineChars="500" w:firstLine="900"/>
              <w:rPr>
                <w:rFonts w:ascii="Times New Roman" w:eastAsia="宋体" w:hAnsi="Times New Roman" w:cs="Times New Roman"/>
                <w:sz w:val="18"/>
                <w:szCs w:val="18"/>
              </w:rPr>
            </w:pPr>
            <w:r w:rsidRPr="005A284F">
              <w:rPr>
                <w:rFonts w:ascii="Times New Roman" w:eastAsia="宋体" w:hAnsi="Times New Roman" w:cs="Times New Roman"/>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65268E6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332447D"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570333B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A763FC"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14:paraId="2FB369D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830,444,322.67</w:t>
            </w:r>
          </w:p>
        </w:tc>
        <w:tc>
          <w:tcPr>
            <w:tcW w:w="3213" w:type="dxa"/>
            <w:tcBorders>
              <w:top w:val="single" w:sz="2" w:space="0" w:color="auto"/>
              <w:left w:val="single" w:sz="2" w:space="0" w:color="auto"/>
              <w:bottom w:val="single" w:sz="2" w:space="0" w:color="auto"/>
              <w:right w:val="single" w:sz="2" w:space="0" w:color="auto"/>
            </w:tcBorders>
            <w:vAlign w:val="center"/>
          </w:tcPr>
          <w:p w14:paraId="10EFB51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830,440,076.97</w:t>
            </w:r>
          </w:p>
        </w:tc>
      </w:tr>
      <w:tr w:rsidR="006C011D" w:rsidRPr="005A284F" w14:paraId="22519E2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E3865D"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14:paraId="23A66EE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330,025,083.29</w:t>
            </w:r>
          </w:p>
        </w:tc>
        <w:tc>
          <w:tcPr>
            <w:tcW w:w="3213" w:type="dxa"/>
            <w:tcBorders>
              <w:top w:val="single" w:sz="2" w:space="0" w:color="auto"/>
              <w:left w:val="single" w:sz="2" w:space="0" w:color="auto"/>
              <w:bottom w:val="single" w:sz="2" w:space="0" w:color="auto"/>
              <w:right w:val="single" w:sz="2" w:space="0" w:color="auto"/>
            </w:tcBorders>
            <w:vAlign w:val="center"/>
          </w:tcPr>
          <w:p w14:paraId="42FA95C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330,025,083.29</w:t>
            </w:r>
          </w:p>
        </w:tc>
      </w:tr>
      <w:tr w:rsidR="006C011D" w:rsidRPr="005A284F" w14:paraId="48FFA51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2E3A35"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787BC18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-12,100,000.00</w:t>
            </w:r>
          </w:p>
        </w:tc>
        <w:tc>
          <w:tcPr>
            <w:tcW w:w="3213" w:type="dxa"/>
            <w:tcBorders>
              <w:top w:val="single" w:sz="2" w:space="0" w:color="auto"/>
              <w:left w:val="single" w:sz="2" w:space="0" w:color="auto"/>
              <w:bottom w:val="single" w:sz="2" w:space="0" w:color="auto"/>
              <w:right w:val="single" w:sz="2" w:space="0" w:color="auto"/>
            </w:tcBorders>
            <w:vAlign w:val="center"/>
          </w:tcPr>
          <w:p w14:paraId="3EBBE2F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-12,100,000.00</w:t>
            </w:r>
          </w:p>
        </w:tc>
      </w:tr>
      <w:tr w:rsidR="006C011D" w:rsidRPr="005A284F" w14:paraId="3074957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6DC232"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14:paraId="17BFB34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04DB70F"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1F789B0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97AA7D"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盈余公积</w:t>
            </w:r>
          </w:p>
        </w:tc>
        <w:tc>
          <w:tcPr>
            <w:tcW w:w="3213" w:type="dxa"/>
            <w:tcBorders>
              <w:top w:val="single" w:sz="2" w:space="0" w:color="auto"/>
              <w:left w:val="single" w:sz="2" w:space="0" w:color="auto"/>
              <w:bottom w:val="single" w:sz="2" w:space="0" w:color="auto"/>
              <w:right w:val="single" w:sz="2" w:space="0" w:color="auto"/>
            </w:tcBorders>
            <w:vAlign w:val="center"/>
          </w:tcPr>
          <w:p w14:paraId="6C743B3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263,717,929.16</w:t>
            </w:r>
          </w:p>
        </w:tc>
        <w:tc>
          <w:tcPr>
            <w:tcW w:w="3213" w:type="dxa"/>
            <w:tcBorders>
              <w:top w:val="single" w:sz="2" w:space="0" w:color="auto"/>
              <w:left w:val="single" w:sz="2" w:space="0" w:color="auto"/>
              <w:bottom w:val="single" w:sz="2" w:space="0" w:color="auto"/>
              <w:right w:val="single" w:sz="2" w:space="0" w:color="auto"/>
            </w:tcBorders>
            <w:vAlign w:val="center"/>
          </w:tcPr>
          <w:p w14:paraId="4210F44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263,717,929.16</w:t>
            </w:r>
          </w:p>
        </w:tc>
      </w:tr>
      <w:tr w:rsidR="006C011D" w:rsidRPr="005A284F" w14:paraId="4E05B39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DFC403"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14:paraId="536FA5F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-797,729,422.27</w:t>
            </w:r>
          </w:p>
        </w:tc>
        <w:tc>
          <w:tcPr>
            <w:tcW w:w="3213" w:type="dxa"/>
            <w:tcBorders>
              <w:top w:val="single" w:sz="2" w:space="0" w:color="auto"/>
              <w:left w:val="single" w:sz="2" w:space="0" w:color="auto"/>
              <w:bottom w:val="single" w:sz="2" w:space="0" w:color="auto"/>
              <w:right w:val="single" w:sz="2" w:space="0" w:color="auto"/>
            </w:tcBorders>
            <w:vAlign w:val="center"/>
          </w:tcPr>
          <w:p w14:paraId="7D3DFC5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-823,446,021.00</w:t>
            </w:r>
          </w:p>
        </w:tc>
      </w:tr>
      <w:tr w:rsidR="006C011D" w:rsidRPr="005A284F" w14:paraId="588F0EB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C7DE4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14:paraId="4DA83B7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1,205,037,666.94</w:t>
            </w:r>
          </w:p>
        </w:tc>
        <w:tc>
          <w:tcPr>
            <w:tcW w:w="3213" w:type="dxa"/>
            <w:tcBorders>
              <w:top w:val="single" w:sz="2" w:space="0" w:color="auto"/>
              <w:left w:val="single" w:sz="2" w:space="0" w:color="auto"/>
              <w:bottom w:val="single" w:sz="2" w:space="0" w:color="auto"/>
              <w:right w:val="single" w:sz="2" w:space="0" w:color="auto"/>
            </w:tcBorders>
            <w:vAlign w:val="center"/>
          </w:tcPr>
          <w:p w14:paraId="49FF0C7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1,179,317,319.41</w:t>
            </w:r>
          </w:p>
        </w:tc>
      </w:tr>
      <w:tr w:rsidR="006C011D" w:rsidRPr="005A284F" w14:paraId="6502BAF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33A31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14:paraId="6F04C72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5,242,808,546.57</w:t>
            </w:r>
          </w:p>
        </w:tc>
        <w:tc>
          <w:tcPr>
            <w:tcW w:w="3213" w:type="dxa"/>
            <w:tcBorders>
              <w:top w:val="single" w:sz="2" w:space="0" w:color="auto"/>
              <w:left w:val="single" w:sz="2" w:space="0" w:color="auto"/>
              <w:bottom w:val="single" w:sz="2" w:space="0" w:color="auto"/>
              <w:right w:val="single" w:sz="2" w:space="0" w:color="auto"/>
            </w:tcBorders>
            <w:vAlign w:val="center"/>
          </w:tcPr>
          <w:p w14:paraId="2559118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5,090,231,931.32</w:t>
            </w:r>
          </w:p>
        </w:tc>
      </w:tr>
    </w:tbl>
    <w:p w14:paraId="34CB7BC9" w14:textId="77777777" w:rsidR="006C011D" w:rsidRPr="005A284F" w:rsidRDefault="00000000">
      <w:pPr>
        <w:pStyle w:val="3"/>
        <w:spacing w:line="280" w:lineRule="exact"/>
        <w:jc w:val="left"/>
        <w:rPr>
          <w:rFonts w:ascii="Times New Roman" w:hAnsi="Times New Roman" w:cs="Times New Roman"/>
          <w:b/>
          <w:bCs/>
        </w:rPr>
      </w:pPr>
      <w:bookmarkStart w:id="104" w:name="_Toc988993"/>
      <w:r w:rsidRPr="005A284F">
        <w:rPr>
          <w:rFonts w:ascii="Times New Roman" w:hAnsi="Times New Roman" w:cs="Times New Roman"/>
          <w:b/>
          <w:bCs/>
        </w:rPr>
        <w:t>3</w:t>
      </w:r>
      <w:r w:rsidRPr="005A284F">
        <w:rPr>
          <w:rFonts w:ascii="Times New Roman" w:hAnsi="Times New Roman" w:cs="Times New Roman"/>
          <w:b/>
          <w:bCs/>
        </w:rPr>
        <w:t>、合并利润表</w:t>
      </w:r>
      <w:bookmarkEnd w:id="104"/>
    </w:p>
    <w:p w14:paraId="7D5890A1"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23FA10E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B15CA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3D8A8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年半年度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F7440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年半年度</w:t>
            </w:r>
          </w:p>
        </w:tc>
      </w:tr>
      <w:tr w:rsidR="006C011D" w:rsidRPr="005A284F" w14:paraId="0F6BB09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67E6AE"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一、营业总收入</w:t>
            </w:r>
          </w:p>
        </w:tc>
        <w:tc>
          <w:tcPr>
            <w:tcW w:w="3213" w:type="dxa"/>
            <w:tcBorders>
              <w:top w:val="single" w:sz="2" w:space="0" w:color="auto"/>
              <w:left w:val="single" w:sz="2" w:space="0" w:color="auto"/>
              <w:bottom w:val="single" w:sz="2" w:space="0" w:color="auto"/>
              <w:right w:val="single" w:sz="2" w:space="0" w:color="auto"/>
            </w:tcBorders>
            <w:vAlign w:val="center"/>
          </w:tcPr>
          <w:p w14:paraId="6C097CD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4,974,609,506.33</w:t>
            </w:r>
          </w:p>
        </w:tc>
        <w:tc>
          <w:tcPr>
            <w:tcW w:w="3213" w:type="dxa"/>
            <w:tcBorders>
              <w:top w:val="single" w:sz="2" w:space="0" w:color="auto"/>
              <w:left w:val="single" w:sz="2" w:space="0" w:color="auto"/>
              <w:bottom w:val="single" w:sz="2" w:space="0" w:color="auto"/>
              <w:right w:val="single" w:sz="2" w:space="0" w:color="auto"/>
            </w:tcBorders>
            <w:vAlign w:val="center"/>
          </w:tcPr>
          <w:p w14:paraId="4307704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5,044,132,021.30</w:t>
            </w:r>
          </w:p>
        </w:tc>
      </w:tr>
      <w:tr w:rsidR="006C011D" w:rsidRPr="005A284F" w14:paraId="4DAF4EF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630F77"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其中：营业收入</w:t>
            </w:r>
          </w:p>
        </w:tc>
        <w:tc>
          <w:tcPr>
            <w:tcW w:w="3213" w:type="dxa"/>
            <w:tcBorders>
              <w:top w:val="single" w:sz="2" w:space="0" w:color="auto"/>
              <w:left w:val="single" w:sz="2" w:space="0" w:color="auto"/>
              <w:bottom w:val="single" w:sz="2" w:space="0" w:color="auto"/>
              <w:right w:val="single" w:sz="2" w:space="0" w:color="auto"/>
            </w:tcBorders>
            <w:vAlign w:val="center"/>
          </w:tcPr>
          <w:p w14:paraId="405503F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4,974,609,506.33</w:t>
            </w:r>
          </w:p>
        </w:tc>
        <w:tc>
          <w:tcPr>
            <w:tcW w:w="3213" w:type="dxa"/>
            <w:tcBorders>
              <w:top w:val="single" w:sz="2" w:space="0" w:color="auto"/>
              <w:left w:val="single" w:sz="2" w:space="0" w:color="auto"/>
              <w:bottom w:val="single" w:sz="2" w:space="0" w:color="auto"/>
              <w:right w:val="single" w:sz="2" w:space="0" w:color="auto"/>
            </w:tcBorders>
            <w:vAlign w:val="center"/>
          </w:tcPr>
          <w:p w14:paraId="1885523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5,044,132,021.30</w:t>
            </w:r>
          </w:p>
        </w:tc>
      </w:tr>
      <w:tr w:rsidR="006C011D" w:rsidRPr="005A284F" w14:paraId="64963DE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750470" w14:textId="77777777" w:rsidR="006C011D" w:rsidRPr="005A284F" w:rsidRDefault="00000000">
            <w:pPr>
              <w:spacing w:before="40" w:after="40" w:line="240" w:lineRule="exact"/>
              <w:ind w:firstLineChars="400" w:firstLine="720"/>
              <w:rPr>
                <w:rFonts w:ascii="Times New Roman" w:eastAsia="宋体" w:hAnsi="Times New Roman" w:cs="Times New Roman"/>
                <w:sz w:val="18"/>
                <w:szCs w:val="18"/>
              </w:rPr>
            </w:pPr>
            <w:r w:rsidRPr="005A284F">
              <w:rPr>
                <w:rFonts w:ascii="Times New Roman" w:eastAsia="宋体" w:hAnsi="Times New Roman" w:cs="Times New Roman"/>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14:paraId="79382B0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AD8A747"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1C45A5C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D1FBDE" w14:textId="77777777" w:rsidR="006C011D" w:rsidRPr="005A284F" w:rsidRDefault="00000000">
            <w:pPr>
              <w:spacing w:before="40" w:after="40" w:line="240" w:lineRule="exact"/>
              <w:ind w:firstLineChars="400" w:firstLine="720"/>
              <w:rPr>
                <w:rFonts w:ascii="Times New Roman" w:eastAsia="宋体" w:hAnsi="Times New Roman" w:cs="Times New Roman"/>
                <w:sz w:val="18"/>
                <w:szCs w:val="18"/>
              </w:rPr>
            </w:pPr>
            <w:r w:rsidRPr="005A284F">
              <w:rPr>
                <w:rFonts w:ascii="Times New Roman" w:eastAsia="宋体" w:hAnsi="Times New Roman" w:cs="Times New Roman"/>
                <w:sz w:val="18"/>
                <w:szCs w:val="18"/>
              </w:rPr>
              <w:t>已赚保费</w:t>
            </w:r>
          </w:p>
        </w:tc>
        <w:tc>
          <w:tcPr>
            <w:tcW w:w="3213" w:type="dxa"/>
            <w:tcBorders>
              <w:top w:val="single" w:sz="2" w:space="0" w:color="auto"/>
              <w:left w:val="single" w:sz="2" w:space="0" w:color="auto"/>
              <w:bottom w:val="single" w:sz="2" w:space="0" w:color="auto"/>
              <w:right w:val="single" w:sz="2" w:space="0" w:color="auto"/>
            </w:tcBorders>
            <w:vAlign w:val="center"/>
          </w:tcPr>
          <w:p w14:paraId="7CB866E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94FFA64"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AA0FB0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F54F6F" w14:textId="77777777" w:rsidR="006C011D" w:rsidRPr="005A284F" w:rsidRDefault="00000000">
            <w:pPr>
              <w:spacing w:before="40" w:after="40" w:line="240" w:lineRule="exact"/>
              <w:ind w:firstLineChars="400" w:firstLine="720"/>
              <w:rPr>
                <w:rFonts w:ascii="Times New Roman" w:eastAsia="宋体" w:hAnsi="Times New Roman" w:cs="Times New Roman"/>
                <w:sz w:val="18"/>
                <w:szCs w:val="18"/>
              </w:rPr>
            </w:pPr>
            <w:r w:rsidRPr="005A284F">
              <w:rPr>
                <w:rFonts w:ascii="Times New Roman" w:eastAsia="宋体" w:hAnsi="Times New Roman" w:cs="Times New Roman"/>
                <w:sz w:val="18"/>
                <w:szCs w:val="18"/>
              </w:rPr>
              <w:t>手续费及佣金收入</w:t>
            </w:r>
          </w:p>
        </w:tc>
        <w:tc>
          <w:tcPr>
            <w:tcW w:w="3213" w:type="dxa"/>
            <w:tcBorders>
              <w:top w:val="single" w:sz="2" w:space="0" w:color="auto"/>
              <w:left w:val="single" w:sz="2" w:space="0" w:color="auto"/>
              <w:bottom w:val="single" w:sz="2" w:space="0" w:color="auto"/>
              <w:right w:val="single" w:sz="2" w:space="0" w:color="auto"/>
            </w:tcBorders>
            <w:vAlign w:val="center"/>
          </w:tcPr>
          <w:p w14:paraId="7BF5192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4D215F5"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1C1415F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C9DBCE"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二、营业总成本</w:t>
            </w:r>
          </w:p>
        </w:tc>
        <w:tc>
          <w:tcPr>
            <w:tcW w:w="3213" w:type="dxa"/>
            <w:tcBorders>
              <w:top w:val="single" w:sz="2" w:space="0" w:color="auto"/>
              <w:left w:val="single" w:sz="2" w:space="0" w:color="auto"/>
              <w:bottom w:val="single" w:sz="2" w:space="0" w:color="auto"/>
              <w:right w:val="single" w:sz="2" w:space="0" w:color="auto"/>
            </w:tcBorders>
            <w:vAlign w:val="center"/>
          </w:tcPr>
          <w:p w14:paraId="47025F8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4,945,486,251.16</w:t>
            </w:r>
          </w:p>
        </w:tc>
        <w:tc>
          <w:tcPr>
            <w:tcW w:w="3213" w:type="dxa"/>
            <w:tcBorders>
              <w:top w:val="single" w:sz="2" w:space="0" w:color="auto"/>
              <w:left w:val="single" w:sz="2" w:space="0" w:color="auto"/>
              <w:bottom w:val="single" w:sz="2" w:space="0" w:color="auto"/>
              <w:right w:val="single" w:sz="2" w:space="0" w:color="auto"/>
            </w:tcBorders>
            <w:vAlign w:val="center"/>
          </w:tcPr>
          <w:p w14:paraId="4116A06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5,017,964,929.91</w:t>
            </w:r>
          </w:p>
        </w:tc>
      </w:tr>
      <w:tr w:rsidR="006C011D" w:rsidRPr="005A284F" w14:paraId="71F0494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9A6A75"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其中：营业成本</w:t>
            </w:r>
          </w:p>
        </w:tc>
        <w:tc>
          <w:tcPr>
            <w:tcW w:w="3213" w:type="dxa"/>
            <w:tcBorders>
              <w:top w:val="single" w:sz="2" w:space="0" w:color="auto"/>
              <w:left w:val="single" w:sz="2" w:space="0" w:color="auto"/>
              <w:bottom w:val="single" w:sz="2" w:space="0" w:color="auto"/>
              <w:right w:val="single" w:sz="2" w:space="0" w:color="auto"/>
            </w:tcBorders>
            <w:vAlign w:val="center"/>
          </w:tcPr>
          <w:p w14:paraId="43F2F54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4,702,021,716.11</w:t>
            </w:r>
          </w:p>
        </w:tc>
        <w:tc>
          <w:tcPr>
            <w:tcW w:w="3213" w:type="dxa"/>
            <w:tcBorders>
              <w:top w:val="single" w:sz="2" w:space="0" w:color="auto"/>
              <w:left w:val="single" w:sz="2" w:space="0" w:color="auto"/>
              <w:bottom w:val="single" w:sz="2" w:space="0" w:color="auto"/>
              <w:right w:val="single" w:sz="2" w:space="0" w:color="auto"/>
            </w:tcBorders>
            <w:vAlign w:val="center"/>
          </w:tcPr>
          <w:p w14:paraId="5AB8786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4,792,939,807.15</w:t>
            </w:r>
          </w:p>
        </w:tc>
      </w:tr>
      <w:tr w:rsidR="006C011D" w:rsidRPr="005A284F" w14:paraId="6EA94B8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373F25" w14:textId="77777777" w:rsidR="006C011D" w:rsidRPr="005A284F" w:rsidRDefault="00000000">
            <w:pPr>
              <w:spacing w:before="40" w:after="40" w:line="240" w:lineRule="exact"/>
              <w:ind w:firstLineChars="400" w:firstLine="720"/>
              <w:rPr>
                <w:rFonts w:ascii="Times New Roman" w:eastAsia="宋体" w:hAnsi="Times New Roman" w:cs="Times New Roman"/>
                <w:sz w:val="18"/>
                <w:szCs w:val="18"/>
              </w:rPr>
            </w:pPr>
            <w:r w:rsidRPr="005A284F">
              <w:rPr>
                <w:rFonts w:ascii="Times New Roman" w:eastAsia="宋体" w:hAnsi="Times New Roman" w:cs="Times New Roman"/>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14:paraId="247E441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B06CB13"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57C36E7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C359A6" w14:textId="77777777" w:rsidR="006C011D" w:rsidRPr="005A284F" w:rsidRDefault="00000000">
            <w:pPr>
              <w:spacing w:before="40" w:after="40" w:line="240" w:lineRule="exact"/>
              <w:ind w:firstLineChars="400" w:firstLine="720"/>
              <w:rPr>
                <w:rFonts w:ascii="Times New Roman" w:eastAsia="宋体" w:hAnsi="Times New Roman" w:cs="Times New Roman"/>
                <w:sz w:val="18"/>
                <w:szCs w:val="18"/>
              </w:rPr>
            </w:pPr>
            <w:r w:rsidRPr="005A284F">
              <w:rPr>
                <w:rFonts w:ascii="Times New Roman" w:eastAsia="宋体" w:hAnsi="Times New Roman" w:cs="Times New Roman"/>
                <w:sz w:val="18"/>
                <w:szCs w:val="18"/>
              </w:rPr>
              <w:t>手续费及佣金支出</w:t>
            </w:r>
          </w:p>
        </w:tc>
        <w:tc>
          <w:tcPr>
            <w:tcW w:w="3213" w:type="dxa"/>
            <w:tcBorders>
              <w:top w:val="single" w:sz="2" w:space="0" w:color="auto"/>
              <w:left w:val="single" w:sz="2" w:space="0" w:color="auto"/>
              <w:bottom w:val="single" w:sz="2" w:space="0" w:color="auto"/>
              <w:right w:val="single" w:sz="2" w:space="0" w:color="auto"/>
            </w:tcBorders>
            <w:vAlign w:val="center"/>
          </w:tcPr>
          <w:p w14:paraId="34532CD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5EB1CF9"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5194732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72E9A8" w14:textId="77777777" w:rsidR="006C011D" w:rsidRPr="005A284F" w:rsidRDefault="00000000">
            <w:pPr>
              <w:spacing w:before="40" w:after="40" w:line="240" w:lineRule="exact"/>
              <w:ind w:firstLineChars="400" w:firstLine="720"/>
              <w:rPr>
                <w:rFonts w:ascii="Times New Roman" w:eastAsia="宋体" w:hAnsi="Times New Roman" w:cs="Times New Roman"/>
                <w:sz w:val="18"/>
                <w:szCs w:val="18"/>
              </w:rPr>
            </w:pPr>
            <w:r w:rsidRPr="005A284F">
              <w:rPr>
                <w:rFonts w:ascii="Times New Roman" w:eastAsia="宋体" w:hAnsi="Times New Roman" w:cs="Times New Roman"/>
                <w:sz w:val="18"/>
                <w:szCs w:val="18"/>
              </w:rPr>
              <w:t>退保金</w:t>
            </w:r>
          </w:p>
        </w:tc>
        <w:tc>
          <w:tcPr>
            <w:tcW w:w="3213" w:type="dxa"/>
            <w:tcBorders>
              <w:top w:val="single" w:sz="2" w:space="0" w:color="auto"/>
              <w:left w:val="single" w:sz="2" w:space="0" w:color="auto"/>
              <w:bottom w:val="single" w:sz="2" w:space="0" w:color="auto"/>
              <w:right w:val="single" w:sz="2" w:space="0" w:color="auto"/>
            </w:tcBorders>
            <w:vAlign w:val="center"/>
          </w:tcPr>
          <w:p w14:paraId="767AC4F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EE35082"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FE2D1F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127689" w14:textId="77777777" w:rsidR="006C011D" w:rsidRPr="005A284F" w:rsidRDefault="00000000">
            <w:pPr>
              <w:spacing w:before="40" w:after="40" w:line="240" w:lineRule="exact"/>
              <w:ind w:firstLineChars="400" w:firstLine="720"/>
              <w:rPr>
                <w:rFonts w:ascii="Times New Roman" w:eastAsia="宋体" w:hAnsi="Times New Roman" w:cs="Times New Roman"/>
                <w:sz w:val="18"/>
                <w:szCs w:val="18"/>
              </w:rPr>
            </w:pPr>
            <w:r w:rsidRPr="005A284F">
              <w:rPr>
                <w:rFonts w:ascii="Times New Roman" w:eastAsia="宋体" w:hAnsi="Times New Roman" w:cs="Times New Roman"/>
                <w:sz w:val="18"/>
                <w:szCs w:val="18"/>
              </w:rPr>
              <w:t>赔付支出净额</w:t>
            </w:r>
          </w:p>
        </w:tc>
        <w:tc>
          <w:tcPr>
            <w:tcW w:w="3213" w:type="dxa"/>
            <w:tcBorders>
              <w:top w:val="single" w:sz="2" w:space="0" w:color="auto"/>
              <w:left w:val="single" w:sz="2" w:space="0" w:color="auto"/>
              <w:bottom w:val="single" w:sz="2" w:space="0" w:color="auto"/>
              <w:right w:val="single" w:sz="2" w:space="0" w:color="auto"/>
            </w:tcBorders>
            <w:vAlign w:val="center"/>
          </w:tcPr>
          <w:p w14:paraId="2A5A37A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216630D"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7C66E1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9D2428" w14:textId="77777777" w:rsidR="006C011D" w:rsidRPr="005A284F" w:rsidRDefault="00000000">
            <w:pPr>
              <w:spacing w:before="40" w:after="40" w:line="240" w:lineRule="exact"/>
              <w:ind w:firstLineChars="400" w:firstLine="720"/>
              <w:rPr>
                <w:rFonts w:ascii="Times New Roman" w:eastAsia="宋体" w:hAnsi="Times New Roman" w:cs="Times New Roman"/>
                <w:sz w:val="18"/>
                <w:szCs w:val="18"/>
              </w:rPr>
            </w:pPr>
            <w:r w:rsidRPr="005A284F">
              <w:rPr>
                <w:rFonts w:ascii="Times New Roman" w:eastAsia="宋体" w:hAnsi="Times New Roman" w:cs="Times New Roman"/>
                <w:sz w:val="18"/>
                <w:szCs w:val="18"/>
              </w:rPr>
              <w:t>提取保险责任准备金净额</w:t>
            </w:r>
          </w:p>
        </w:tc>
        <w:tc>
          <w:tcPr>
            <w:tcW w:w="3213" w:type="dxa"/>
            <w:tcBorders>
              <w:top w:val="single" w:sz="2" w:space="0" w:color="auto"/>
              <w:left w:val="single" w:sz="2" w:space="0" w:color="auto"/>
              <w:bottom w:val="single" w:sz="2" w:space="0" w:color="auto"/>
              <w:right w:val="single" w:sz="2" w:space="0" w:color="auto"/>
            </w:tcBorders>
            <w:vAlign w:val="center"/>
          </w:tcPr>
          <w:p w14:paraId="2680D3F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74FB458"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73659B2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7AEF5A" w14:textId="77777777" w:rsidR="006C011D" w:rsidRPr="005A284F" w:rsidRDefault="00000000">
            <w:pPr>
              <w:spacing w:before="40" w:after="40" w:line="240" w:lineRule="exact"/>
              <w:ind w:firstLineChars="400" w:firstLine="720"/>
              <w:rPr>
                <w:rFonts w:ascii="Times New Roman" w:eastAsia="宋体" w:hAnsi="Times New Roman" w:cs="Times New Roman"/>
                <w:sz w:val="18"/>
                <w:szCs w:val="18"/>
              </w:rPr>
            </w:pPr>
            <w:r w:rsidRPr="005A284F">
              <w:rPr>
                <w:rFonts w:ascii="Times New Roman" w:eastAsia="宋体" w:hAnsi="Times New Roman" w:cs="Times New Roman"/>
                <w:sz w:val="18"/>
                <w:szCs w:val="18"/>
              </w:rPr>
              <w:t>保单红利支出</w:t>
            </w:r>
          </w:p>
        </w:tc>
        <w:tc>
          <w:tcPr>
            <w:tcW w:w="3213" w:type="dxa"/>
            <w:tcBorders>
              <w:top w:val="single" w:sz="2" w:space="0" w:color="auto"/>
              <w:left w:val="single" w:sz="2" w:space="0" w:color="auto"/>
              <w:bottom w:val="single" w:sz="2" w:space="0" w:color="auto"/>
              <w:right w:val="single" w:sz="2" w:space="0" w:color="auto"/>
            </w:tcBorders>
            <w:vAlign w:val="center"/>
          </w:tcPr>
          <w:p w14:paraId="213D3EF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5A55974"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3A73E69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FEAD45" w14:textId="77777777" w:rsidR="006C011D" w:rsidRPr="005A284F" w:rsidRDefault="00000000">
            <w:pPr>
              <w:spacing w:before="40" w:after="40" w:line="240" w:lineRule="exact"/>
              <w:ind w:firstLineChars="400" w:firstLine="720"/>
              <w:rPr>
                <w:rFonts w:ascii="Times New Roman" w:eastAsia="宋体" w:hAnsi="Times New Roman" w:cs="Times New Roman"/>
                <w:sz w:val="18"/>
                <w:szCs w:val="18"/>
              </w:rPr>
            </w:pPr>
            <w:r w:rsidRPr="005A284F">
              <w:rPr>
                <w:rFonts w:ascii="Times New Roman" w:eastAsia="宋体" w:hAnsi="Times New Roman" w:cs="Times New Roman"/>
                <w:sz w:val="18"/>
                <w:szCs w:val="18"/>
              </w:rPr>
              <w:t>分保费用</w:t>
            </w:r>
          </w:p>
        </w:tc>
        <w:tc>
          <w:tcPr>
            <w:tcW w:w="3213" w:type="dxa"/>
            <w:tcBorders>
              <w:top w:val="single" w:sz="2" w:space="0" w:color="auto"/>
              <w:left w:val="single" w:sz="2" w:space="0" w:color="auto"/>
              <w:bottom w:val="single" w:sz="2" w:space="0" w:color="auto"/>
              <w:right w:val="single" w:sz="2" w:space="0" w:color="auto"/>
            </w:tcBorders>
            <w:vAlign w:val="center"/>
          </w:tcPr>
          <w:p w14:paraId="1449F23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3DE83D1"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6A519F4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61AD23" w14:textId="77777777" w:rsidR="006C011D" w:rsidRPr="005A284F" w:rsidRDefault="00000000">
            <w:pPr>
              <w:spacing w:before="40" w:after="40" w:line="240" w:lineRule="exact"/>
              <w:ind w:firstLineChars="400" w:firstLine="720"/>
              <w:rPr>
                <w:rFonts w:ascii="Times New Roman" w:eastAsia="宋体" w:hAnsi="Times New Roman" w:cs="Times New Roman"/>
                <w:sz w:val="18"/>
                <w:szCs w:val="18"/>
              </w:rPr>
            </w:pPr>
            <w:r w:rsidRPr="005A284F">
              <w:rPr>
                <w:rFonts w:ascii="Times New Roman" w:eastAsia="宋体" w:hAnsi="Times New Roman" w:cs="Times New Roman"/>
                <w:sz w:val="18"/>
                <w:szCs w:val="18"/>
              </w:rPr>
              <w:t>税金及附加</w:t>
            </w:r>
          </w:p>
        </w:tc>
        <w:tc>
          <w:tcPr>
            <w:tcW w:w="3213" w:type="dxa"/>
            <w:tcBorders>
              <w:top w:val="single" w:sz="2" w:space="0" w:color="auto"/>
              <w:left w:val="single" w:sz="2" w:space="0" w:color="auto"/>
              <w:bottom w:val="single" w:sz="2" w:space="0" w:color="auto"/>
              <w:right w:val="single" w:sz="2" w:space="0" w:color="auto"/>
            </w:tcBorders>
            <w:vAlign w:val="center"/>
          </w:tcPr>
          <w:p w14:paraId="3D3BC45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11,647,492.36</w:t>
            </w:r>
          </w:p>
        </w:tc>
        <w:tc>
          <w:tcPr>
            <w:tcW w:w="3213" w:type="dxa"/>
            <w:tcBorders>
              <w:top w:val="single" w:sz="2" w:space="0" w:color="auto"/>
              <w:left w:val="single" w:sz="2" w:space="0" w:color="auto"/>
              <w:bottom w:val="single" w:sz="2" w:space="0" w:color="auto"/>
              <w:right w:val="single" w:sz="2" w:space="0" w:color="auto"/>
            </w:tcBorders>
            <w:vAlign w:val="center"/>
          </w:tcPr>
          <w:p w14:paraId="38E9543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9,162,288.48</w:t>
            </w:r>
          </w:p>
        </w:tc>
      </w:tr>
      <w:tr w:rsidR="006C011D" w:rsidRPr="005A284F" w14:paraId="17D661F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58F91B" w14:textId="77777777" w:rsidR="006C011D" w:rsidRPr="005A284F" w:rsidRDefault="00000000">
            <w:pPr>
              <w:spacing w:before="40" w:after="40" w:line="240" w:lineRule="exact"/>
              <w:ind w:firstLineChars="400" w:firstLine="720"/>
              <w:rPr>
                <w:rFonts w:ascii="Times New Roman" w:eastAsia="宋体" w:hAnsi="Times New Roman" w:cs="Times New Roman"/>
                <w:sz w:val="18"/>
                <w:szCs w:val="18"/>
              </w:rPr>
            </w:pPr>
            <w:r w:rsidRPr="005A284F">
              <w:rPr>
                <w:rFonts w:ascii="Times New Roman" w:eastAsia="宋体" w:hAnsi="Times New Roman" w:cs="Times New Roman"/>
                <w:sz w:val="18"/>
                <w:szCs w:val="18"/>
              </w:rPr>
              <w:t>销售费用</w:t>
            </w:r>
          </w:p>
        </w:tc>
        <w:tc>
          <w:tcPr>
            <w:tcW w:w="3213" w:type="dxa"/>
            <w:tcBorders>
              <w:top w:val="single" w:sz="2" w:space="0" w:color="auto"/>
              <w:left w:val="single" w:sz="2" w:space="0" w:color="auto"/>
              <w:bottom w:val="single" w:sz="2" w:space="0" w:color="auto"/>
              <w:right w:val="single" w:sz="2" w:space="0" w:color="auto"/>
            </w:tcBorders>
            <w:vAlign w:val="center"/>
          </w:tcPr>
          <w:p w14:paraId="68595A1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49,716,998.40</w:t>
            </w:r>
          </w:p>
        </w:tc>
        <w:tc>
          <w:tcPr>
            <w:tcW w:w="3213" w:type="dxa"/>
            <w:tcBorders>
              <w:top w:val="single" w:sz="2" w:space="0" w:color="auto"/>
              <w:left w:val="single" w:sz="2" w:space="0" w:color="auto"/>
              <w:bottom w:val="single" w:sz="2" w:space="0" w:color="auto"/>
              <w:right w:val="single" w:sz="2" w:space="0" w:color="auto"/>
            </w:tcBorders>
            <w:vAlign w:val="center"/>
          </w:tcPr>
          <w:p w14:paraId="46E344E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57,280,512.12</w:t>
            </w:r>
          </w:p>
        </w:tc>
      </w:tr>
      <w:tr w:rsidR="006C011D" w:rsidRPr="005A284F" w14:paraId="78E0815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797F6D" w14:textId="77777777" w:rsidR="006C011D" w:rsidRPr="005A284F" w:rsidRDefault="00000000">
            <w:pPr>
              <w:spacing w:before="40" w:after="40" w:line="240" w:lineRule="exact"/>
              <w:ind w:firstLineChars="400" w:firstLine="720"/>
              <w:rPr>
                <w:rFonts w:ascii="Times New Roman" w:eastAsia="宋体" w:hAnsi="Times New Roman" w:cs="Times New Roman"/>
                <w:sz w:val="18"/>
                <w:szCs w:val="18"/>
              </w:rPr>
            </w:pPr>
            <w:r w:rsidRPr="005A284F">
              <w:rPr>
                <w:rFonts w:ascii="Times New Roman" w:eastAsia="宋体" w:hAnsi="Times New Roman" w:cs="Times New Roman"/>
                <w:sz w:val="18"/>
                <w:szCs w:val="18"/>
              </w:rPr>
              <w:t>管理费用</w:t>
            </w:r>
          </w:p>
        </w:tc>
        <w:tc>
          <w:tcPr>
            <w:tcW w:w="3213" w:type="dxa"/>
            <w:tcBorders>
              <w:top w:val="single" w:sz="2" w:space="0" w:color="auto"/>
              <w:left w:val="single" w:sz="2" w:space="0" w:color="auto"/>
              <w:bottom w:val="single" w:sz="2" w:space="0" w:color="auto"/>
              <w:right w:val="single" w:sz="2" w:space="0" w:color="auto"/>
            </w:tcBorders>
            <w:vAlign w:val="center"/>
          </w:tcPr>
          <w:p w14:paraId="4E1A36A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115,974,605.11</w:t>
            </w:r>
          </w:p>
        </w:tc>
        <w:tc>
          <w:tcPr>
            <w:tcW w:w="3213" w:type="dxa"/>
            <w:tcBorders>
              <w:top w:val="single" w:sz="2" w:space="0" w:color="auto"/>
              <w:left w:val="single" w:sz="2" w:space="0" w:color="auto"/>
              <w:bottom w:val="single" w:sz="2" w:space="0" w:color="auto"/>
              <w:right w:val="single" w:sz="2" w:space="0" w:color="auto"/>
            </w:tcBorders>
            <w:vAlign w:val="center"/>
          </w:tcPr>
          <w:p w14:paraId="5EAEF45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113,862,139.49</w:t>
            </w:r>
          </w:p>
        </w:tc>
      </w:tr>
      <w:tr w:rsidR="006C011D" w:rsidRPr="005A284F" w14:paraId="52C405C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D01C8F" w14:textId="77777777" w:rsidR="006C011D" w:rsidRPr="005A284F" w:rsidRDefault="00000000">
            <w:pPr>
              <w:spacing w:before="40" w:after="40" w:line="240" w:lineRule="exact"/>
              <w:ind w:firstLineChars="400" w:firstLine="720"/>
              <w:rPr>
                <w:rFonts w:ascii="Times New Roman" w:eastAsia="宋体" w:hAnsi="Times New Roman" w:cs="Times New Roman"/>
                <w:sz w:val="18"/>
                <w:szCs w:val="18"/>
              </w:rPr>
            </w:pPr>
            <w:r w:rsidRPr="005A284F">
              <w:rPr>
                <w:rFonts w:ascii="Times New Roman" w:eastAsia="宋体" w:hAnsi="Times New Roman" w:cs="Times New Roman"/>
                <w:sz w:val="18"/>
                <w:szCs w:val="18"/>
              </w:rPr>
              <w:t>研发费用</w:t>
            </w:r>
          </w:p>
        </w:tc>
        <w:tc>
          <w:tcPr>
            <w:tcW w:w="3213" w:type="dxa"/>
            <w:tcBorders>
              <w:top w:val="single" w:sz="2" w:space="0" w:color="auto"/>
              <w:left w:val="single" w:sz="2" w:space="0" w:color="auto"/>
              <w:bottom w:val="single" w:sz="2" w:space="0" w:color="auto"/>
              <w:right w:val="single" w:sz="2" w:space="0" w:color="auto"/>
            </w:tcBorders>
            <w:vAlign w:val="center"/>
          </w:tcPr>
          <w:p w14:paraId="65E48E5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4,309,154.70</w:t>
            </w:r>
          </w:p>
        </w:tc>
        <w:tc>
          <w:tcPr>
            <w:tcW w:w="3213" w:type="dxa"/>
            <w:tcBorders>
              <w:top w:val="single" w:sz="2" w:space="0" w:color="auto"/>
              <w:left w:val="single" w:sz="2" w:space="0" w:color="auto"/>
              <w:bottom w:val="single" w:sz="2" w:space="0" w:color="auto"/>
              <w:right w:val="single" w:sz="2" w:space="0" w:color="auto"/>
            </w:tcBorders>
            <w:vAlign w:val="center"/>
          </w:tcPr>
          <w:p w14:paraId="0C34704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3,137,108.09</w:t>
            </w:r>
          </w:p>
        </w:tc>
      </w:tr>
      <w:tr w:rsidR="006C011D" w:rsidRPr="005A284F" w14:paraId="0FDA2DA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1E3653" w14:textId="77777777" w:rsidR="006C011D" w:rsidRPr="005A284F" w:rsidRDefault="00000000">
            <w:pPr>
              <w:spacing w:before="40" w:after="40" w:line="240" w:lineRule="exact"/>
              <w:ind w:firstLineChars="400" w:firstLine="720"/>
              <w:rPr>
                <w:rFonts w:ascii="Times New Roman" w:eastAsia="宋体" w:hAnsi="Times New Roman" w:cs="Times New Roman"/>
                <w:sz w:val="18"/>
                <w:szCs w:val="18"/>
              </w:rPr>
            </w:pPr>
            <w:r w:rsidRPr="005A284F">
              <w:rPr>
                <w:rFonts w:ascii="Times New Roman" w:eastAsia="宋体" w:hAnsi="Times New Roman" w:cs="Times New Roman"/>
                <w:sz w:val="18"/>
                <w:szCs w:val="18"/>
              </w:rPr>
              <w:t>财务费用</w:t>
            </w:r>
          </w:p>
        </w:tc>
        <w:tc>
          <w:tcPr>
            <w:tcW w:w="3213" w:type="dxa"/>
            <w:tcBorders>
              <w:top w:val="single" w:sz="2" w:space="0" w:color="auto"/>
              <w:left w:val="single" w:sz="2" w:space="0" w:color="auto"/>
              <w:bottom w:val="single" w:sz="2" w:space="0" w:color="auto"/>
              <w:right w:val="single" w:sz="2" w:space="0" w:color="auto"/>
            </w:tcBorders>
            <w:vAlign w:val="center"/>
          </w:tcPr>
          <w:p w14:paraId="3316ED3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61,816,284.48</w:t>
            </w:r>
          </w:p>
        </w:tc>
        <w:tc>
          <w:tcPr>
            <w:tcW w:w="3213" w:type="dxa"/>
            <w:tcBorders>
              <w:top w:val="single" w:sz="2" w:space="0" w:color="auto"/>
              <w:left w:val="single" w:sz="2" w:space="0" w:color="auto"/>
              <w:bottom w:val="single" w:sz="2" w:space="0" w:color="auto"/>
              <w:right w:val="single" w:sz="2" w:space="0" w:color="auto"/>
            </w:tcBorders>
            <w:vAlign w:val="center"/>
          </w:tcPr>
          <w:p w14:paraId="119803E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41,583,074.58</w:t>
            </w:r>
          </w:p>
        </w:tc>
      </w:tr>
      <w:tr w:rsidR="006C011D" w:rsidRPr="005A284F" w14:paraId="5C309AD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1621C1" w14:textId="77777777" w:rsidR="006C011D" w:rsidRPr="005A284F" w:rsidRDefault="00000000">
            <w:pPr>
              <w:spacing w:before="40" w:after="40" w:line="240" w:lineRule="exact"/>
              <w:ind w:firstLineChars="500" w:firstLine="900"/>
              <w:rPr>
                <w:rFonts w:ascii="Times New Roman" w:eastAsia="宋体" w:hAnsi="Times New Roman" w:cs="Times New Roman"/>
                <w:sz w:val="18"/>
                <w:szCs w:val="18"/>
              </w:rPr>
            </w:pPr>
            <w:r w:rsidRPr="005A284F">
              <w:rPr>
                <w:rFonts w:ascii="Times New Roman" w:eastAsia="宋体" w:hAnsi="Times New Roman" w:cs="Times New Roman"/>
                <w:sz w:val="18"/>
                <w:szCs w:val="18"/>
              </w:rPr>
              <w:t>其中：利息费用</w:t>
            </w:r>
          </w:p>
        </w:tc>
        <w:tc>
          <w:tcPr>
            <w:tcW w:w="3213" w:type="dxa"/>
            <w:tcBorders>
              <w:top w:val="single" w:sz="2" w:space="0" w:color="auto"/>
              <w:left w:val="single" w:sz="2" w:space="0" w:color="auto"/>
              <w:bottom w:val="single" w:sz="2" w:space="0" w:color="auto"/>
              <w:right w:val="single" w:sz="2" w:space="0" w:color="auto"/>
            </w:tcBorders>
            <w:vAlign w:val="center"/>
          </w:tcPr>
          <w:p w14:paraId="2C19CAE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67,209,757.96</w:t>
            </w:r>
          </w:p>
        </w:tc>
        <w:tc>
          <w:tcPr>
            <w:tcW w:w="3213" w:type="dxa"/>
            <w:tcBorders>
              <w:top w:val="single" w:sz="2" w:space="0" w:color="auto"/>
              <w:left w:val="single" w:sz="2" w:space="0" w:color="auto"/>
              <w:bottom w:val="single" w:sz="2" w:space="0" w:color="auto"/>
              <w:right w:val="single" w:sz="2" w:space="0" w:color="auto"/>
            </w:tcBorders>
            <w:vAlign w:val="center"/>
          </w:tcPr>
          <w:p w14:paraId="74898E9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54,880,293.96</w:t>
            </w:r>
          </w:p>
        </w:tc>
      </w:tr>
      <w:tr w:rsidR="006C011D" w:rsidRPr="005A284F" w14:paraId="1B6532B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B1DFEF" w14:textId="77777777" w:rsidR="006C011D" w:rsidRPr="005A284F" w:rsidRDefault="00000000">
            <w:pPr>
              <w:spacing w:before="40" w:after="40" w:line="240" w:lineRule="exact"/>
              <w:ind w:firstLineChars="800" w:firstLine="1440"/>
              <w:rPr>
                <w:rFonts w:ascii="Times New Roman" w:eastAsia="宋体" w:hAnsi="Times New Roman" w:cs="Times New Roman"/>
                <w:sz w:val="18"/>
                <w:szCs w:val="18"/>
              </w:rPr>
            </w:pPr>
            <w:r w:rsidRPr="005A284F">
              <w:rPr>
                <w:rFonts w:ascii="Times New Roman" w:eastAsia="宋体" w:hAnsi="Times New Roman" w:cs="Times New Roman"/>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14:paraId="75E8B0E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6,371,203.62</w:t>
            </w:r>
          </w:p>
        </w:tc>
        <w:tc>
          <w:tcPr>
            <w:tcW w:w="3213" w:type="dxa"/>
            <w:tcBorders>
              <w:top w:val="single" w:sz="2" w:space="0" w:color="auto"/>
              <w:left w:val="single" w:sz="2" w:space="0" w:color="auto"/>
              <w:bottom w:val="single" w:sz="2" w:space="0" w:color="auto"/>
              <w:right w:val="single" w:sz="2" w:space="0" w:color="auto"/>
            </w:tcBorders>
            <w:vAlign w:val="center"/>
          </w:tcPr>
          <w:p w14:paraId="7AD6BED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14,682,370.19</w:t>
            </w:r>
          </w:p>
        </w:tc>
      </w:tr>
      <w:tr w:rsidR="006C011D" w:rsidRPr="005A284F" w14:paraId="24618C1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57C897"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加：其他收益</w:t>
            </w:r>
          </w:p>
        </w:tc>
        <w:tc>
          <w:tcPr>
            <w:tcW w:w="3213" w:type="dxa"/>
            <w:tcBorders>
              <w:top w:val="single" w:sz="2" w:space="0" w:color="auto"/>
              <w:left w:val="single" w:sz="2" w:space="0" w:color="auto"/>
              <w:bottom w:val="single" w:sz="2" w:space="0" w:color="auto"/>
              <w:right w:val="single" w:sz="2" w:space="0" w:color="auto"/>
            </w:tcBorders>
            <w:vAlign w:val="center"/>
          </w:tcPr>
          <w:p w14:paraId="06B6F31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4,300,305.81</w:t>
            </w:r>
          </w:p>
        </w:tc>
        <w:tc>
          <w:tcPr>
            <w:tcW w:w="3213" w:type="dxa"/>
            <w:tcBorders>
              <w:top w:val="single" w:sz="2" w:space="0" w:color="auto"/>
              <w:left w:val="single" w:sz="2" w:space="0" w:color="auto"/>
              <w:bottom w:val="single" w:sz="2" w:space="0" w:color="auto"/>
              <w:right w:val="single" w:sz="2" w:space="0" w:color="auto"/>
            </w:tcBorders>
            <w:vAlign w:val="center"/>
          </w:tcPr>
          <w:p w14:paraId="33998A7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7,133,934.44</w:t>
            </w:r>
          </w:p>
        </w:tc>
      </w:tr>
      <w:tr w:rsidR="006C011D" w:rsidRPr="005A284F" w14:paraId="31E7698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470852" w14:textId="77777777" w:rsidR="006C011D" w:rsidRPr="005A284F" w:rsidRDefault="00000000">
            <w:pPr>
              <w:spacing w:before="40" w:after="4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投资收益（损失以</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391708B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690,346.28</w:t>
            </w:r>
          </w:p>
        </w:tc>
        <w:tc>
          <w:tcPr>
            <w:tcW w:w="3213" w:type="dxa"/>
            <w:tcBorders>
              <w:top w:val="single" w:sz="2" w:space="0" w:color="auto"/>
              <w:left w:val="single" w:sz="2" w:space="0" w:color="auto"/>
              <w:bottom w:val="single" w:sz="2" w:space="0" w:color="auto"/>
              <w:right w:val="single" w:sz="2" w:space="0" w:color="auto"/>
            </w:tcBorders>
            <w:vAlign w:val="center"/>
          </w:tcPr>
          <w:p w14:paraId="43B5D634"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F01B4F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C905D7" w14:textId="77777777" w:rsidR="006C011D" w:rsidRPr="005A284F" w:rsidRDefault="00000000">
            <w:pPr>
              <w:spacing w:before="40" w:after="40" w:line="240" w:lineRule="exact"/>
              <w:ind w:firstLineChars="500" w:firstLine="900"/>
              <w:rPr>
                <w:rFonts w:ascii="Times New Roman" w:eastAsia="宋体" w:hAnsi="Times New Roman" w:cs="Times New Roman"/>
                <w:sz w:val="18"/>
                <w:szCs w:val="18"/>
              </w:rPr>
            </w:pPr>
            <w:r w:rsidRPr="005A284F">
              <w:rPr>
                <w:rFonts w:ascii="Times New Roman" w:eastAsia="宋体" w:hAnsi="Times New Roman" w:cs="Times New Roman"/>
                <w:sz w:val="18"/>
                <w:szCs w:val="18"/>
              </w:rPr>
              <w:t>其中：对联营企业和合营企业的投资收益</w:t>
            </w:r>
          </w:p>
        </w:tc>
        <w:tc>
          <w:tcPr>
            <w:tcW w:w="3213" w:type="dxa"/>
            <w:tcBorders>
              <w:top w:val="single" w:sz="2" w:space="0" w:color="auto"/>
              <w:left w:val="single" w:sz="2" w:space="0" w:color="auto"/>
              <w:bottom w:val="single" w:sz="2" w:space="0" w:color="auto"/>
              <w:right w:val="single" w:sz="2" w:space="0" w:color="auto"/>
            </w:tcBorders>
            <w:vAlign w:val="center"/>
          </w:tcPr>
          <w:p w14:paraId="5BF1C4B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515C3B4"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2CE653A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87789C" w14:textId="77777777" w:rsidR="006C011D" w:rsidRPr="005A284F" w:rsidRDefault="00000000">
            <w:pPr>
              <w:spacing w:before="40" w:after="40" w:line="240" w:lineRule="exact"/>
              <w:ind w:firstLineChars="800" w:firstLine="1440"/>
              <w:rPr>
                <w:rFonts w:ascii="Times New Roman" w:eastAsia="宋体" w:hAnsi="Times New Roman" w:cs="Times New Roman"/>
                <w:sz w:val="18"/>
                <w:szCs w:val="18"/>
              </w:rPr>
            </w:pPr>
            <w:r w:rsidRPr="005A284F">
              <w:rPr>
                <w:rFonts w:ascii="Times New Roman" w:eastAsia="宋体" w:hAnsi="Times New Roman" w:cs="Times New Roman"/>
                <w:sz w:val="18"/>
                <w:szCs w:val="18"/>
              </w:rPr>
              <w:t>以摊余成本计量的金融资产终止确认收益</w:t>
            </w:r>
          </w:p>
        </w:tc>
        <w:tc>
          <w:tcPr>
            <w:tcW w:w="3213" w:type="dxa"/>
            <w:tcBorders>
              <w:top w:val="single" w:sz="2" w:space="0" w:color="auto"/>
              <w:left w:val="single" w:sz="2" w:space="0" w:color="auto"/>
              <w:bottom w:val="single" w:sz="2" w:space="0" w:color="auto"/>
              <w:right w:val="single" w:sz="2" w:space="0" w:color="auto"/>
            </w:tcBorders>
            <w:vAlign w:val="center"/>
          </w:tcPr>
          <w:p w14:paraId="1B2AEA9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87573BF"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351FF89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234140" w14:textId="77777777" w:rsidR="006C011D" w:rsidRPr="005A284F" w:rsidRDefault="00000000">
            <w:pPr>
              <w:spacing w:before="40" w:after="4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汇兑收益（损失以</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328AEE1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6DCF141"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7130968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91B378" w14:textId="77777777" w:rsidR="006C011D" w:rsidRPr="005A284F" w:rsidRDefault="00000000">
            <w:pPr>
              <w:spacing w:before="40" w:after="4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净敞口套期收益（损失以</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3E9ED5E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E814B3F"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76F05BD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0C0046" w14:textId="77777777" w:rsidR="006C011D" w:rsidRPr="005A284F" w:rsidRDefault="00000000">
            <w:pPr>
              <w:spacing w:before="40" w:after="4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公允价值变动收益（损失以</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17737D0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-9,825.57</w:t>
            </w:r>
          </w:p>
        </w:tc>
        <w:tc>
          <w:tcPr>
            <w:tcW w:w="3213" w:type="dxa"/>
            <w:tcBorders>
              <w:top w:val="single" w:sz="2" w:space="0" w:color="auto"/>
              <w:left w:val="single" w:sz="2" w:space="0" w:color="auto"/>
              <w:bottom w:val="single" w:sz="2" w:space="0" w:color="auto"/>
              <w:right w:val="single" w:sz="2" w:space="0" w:color="auto"/>
            </w:tcBorders>
            <w:vAlign w:val="center"/>
          </w:tcPr>
          <w:p w14:paraId="449082A2"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761788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FF2807" w14:textId="77777777" w:rsidR="006C011D" w:rsidRPr="005A284F" w:rsidRDefault="00000000">
            <w:pPr>
              <w:spacing w:before="40" w:after="4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信用减值损失（损失以</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40AFA34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1,190,505.07</w:t>
            </w:r>
          </w:p>
        </w:tc>
        <w:tc>
          <w:tcPr>
            <w:tcW w:w="3213" w:type="dxa"/>
            <w:tcBorders>
              <w:top w:val="single" w:sz="2" w:space="0" w:color="auto"/>
              <w:left w:val="single" w:sz="2" w:space="0" w:color="auto"/>
              <w:bottom w:val="single" w:sz="2" w:space="0" w:color="auto"/>
              <w:right w:val="single" w:sz="2" w:space="0" w:color="auto"/>
            </w:tcBorders>
            <w:vAlign w:val="center"/>
          </w:tcPr>
          <w:p w14:paraId="2D17DC0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-1,293,497.69</w:t>
            </w:r>
          </w:p>
        </w:tc>
      </w:tr>
      <w:tr w:rsidR="006C011D" w:rsidRPr="005A284F" w14:paraId="2F2E9FD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588C8F" w14:textId="77777777" w:rsidR="006C011D" w:rsidRPr="005A284F" w:rsidRDefault="00000000">
            <w:pPr>
              <w:spacing w:before="40" w:after="4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资产减值损失（损失以</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号</w:t>
            </w:r>
            <w:r w:rsidRPr="005A284F">
              <w:rPr>
                <w:rFonts w:ascii="Times New Roman" w:eastAsia="宋体" w:hAnsi="Times New Roman" w:cs="Times New Roman"/>
                <w:sz w:val="18"/>
                <w:szCs w:val="18"/>
              </w:rPr>
              <w:lastRenderedPageBreak/>
              <w:t>填列）</w:t>
            </w:r>
          </w:p>
        </w:tc>
        <w:tc>
          <w:tcPr>
            <w:tcW w:w="3213" w:type="dxa"/>
            <w:tcBorders>
              <w:top w:val="single" w:sz="2" w:space="0" w:color="auto"/>
              <w:left w:val="single" w:sz="2" w:space="0" w:color="auto"/>
              <w:bottom w:val="single" w:sz="2" w:space="0" w:color="auto"/>
              <w:right w:val="single" w:sz="2" w:space="0" w:color="auto"/>
            </w:tcBorders>
            <w:vAlign w:val="center"/>
          </w:tcPr>
          <w:p w14:paraId="7D151D6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-1,392,080.10</w:t>
            </w:r>
          </w:p>
        </w:tc>
        <w:tc>
          <w:tcPr>
            <w:tcW w:w="3213" w:type="dxa"/>
            <w:tcBorders>
              <w:top w:val="single" w:sz="2" w:space="0" w:color="auto"/>
              <w:left w:val="single" w:sz="2" w:space="0" w:color="auto"/>
              <w:bottom w:val="single" w:sz="2" w:space="0" w:color="auto"/>
              <w:right w:val="single" w:sz="2" w:space="0" w:color="auto"/>
            </w:tcBorders>
            <w:vAlign w:val="center"/>
          </w:tcPr>
          <w:p w14:paraId="2E16790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29,704,269.59</w:t>
            </w:r>
          </w:p>
        </w:tc>
      </w:tr>
      <w:tr w:rsidR="006C011D" w:rsidRPr="005A284F" w14:paraId="48A6B13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B6FD2F" w14:textId="77777777" w:rsidR="006C011D" w:rsidRPr="005A284F" w:rsidRDefault="00000000">
            <w:pPr>
              <w:spacing w:before="40" w:after="4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资产处置收益（损失以</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491BB42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-1,660,619.06</w:t>
            </w:r>
          </w:p>
        </w:tc>
        <w:tc>
          <w:tcPr>
            <w:tcW w:w="3213" w:type="dxa"/>
            <w:tcBorders>
              <w:top w:val="single" w:sz="2" w:space="0" w:color="auto"/>
              <w:left w:val="single" w:sz="2" w:space="0" w:color="auto"/>
              <w:bottom w:val="single" w:sz="2" w:space="0" w:color="auto"/>
              <w:right w:val="single" w:sz="2" w:space="0" w:color="auto"/>
            </w:tcBorders>
            <w:vAlign w:val="center"/>
          </w:tcPr>
          <w:p w14:paraId="46DA882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-577,407.87</w:t>
            </w:r>
          </w:p>
        </w:tc>
      </w:tr>
      <w:tr w:rsidR="006C011D" w:rsidRPr="005A284F" w14:paraId="75880EF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E94B6B"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三、营业利润（亏损以</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39FF29C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32,241,887.60</w:t>
            </w:r>
          </w:p>
        </w:tc>
        <w:tc>
          <w:tcPr>
            <w:tcW w:w="3213" w:type="dxa"/>
            <w:tcBorders>
              <w:top w:val="single" w:sz="2" w:space="0" w:color="auto"/>
              <w:left w:val="single" w:sz="2" w:space="0" w:color="auto"/>
              <w:bottom w:val="single" w:sz="2" w:space="0" w:color="auto"/>
              <w:right w:val="single" w:sz="2" w:space="0" w:color="auto"/>
            </w:tcBorders>
            <w:vAlign w:val="center"/>
          </w:tcPr>
          <w:p w14:paraId="0CF386D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61,134,389.86</w:t>
            </w:r>
          </w:p>
        </w:tc>
      </w:tr>
      <w:tr w:rsidR="006C011D" w:rsidRPr="005A284F" w14:paraId="1973239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B2EA0D"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加：营业外收入</w:t>
            </w:r>
          </w:p>
        </w:tc>
        <w:tc>
          <w:tcPr>
            <w:tcW w:w="3213" w:type="dxa"/>
            <w:tcBorders>
              <w:top w:val="single" w:sz="2" w:space="0" w:color="auto"/>
              <w:left w:val="single" w:sz="2" w:space="0" w:color="auto"/>
              <w:bottom w:val="single" w:sz="2" w:space="0" w:color="auto"/>
              <w:right w:val="single" w:sz="2" w:space="0" w:color="auto"/>
            </w:tcBorders>
            <w:vAlign w:val="center"/>
          </w:tcPr>
          <w:p w14:paraId="0DC9EA2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3,326,070.94</w:t>
            </w:r>
          </w:p>
        </w:tc>
        <w:tc>
          <w:tcPr>
            <w:tcW w:w="3213" w:type="dxa"/>
            <w:tcBorders>
              <w:top w:val="single" w:sz="2" w:space="0" w:color="auto"/>
              <w:left w:val="single" w:sz="2" w:space="0" w:color="auto"/>
              <w:bottom w:val="single" w:sz="2" w:space="0" w:color="auto"/>
              <w:right w:val="single" w:sz="2" w:space="0" w:color="auto"/>
            </w:tcBorders>
            <w:vAlign w:val="center"/>
          </w:tcPr>
          <w:p w14:paraId="16280C7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1,742,973.97</w:t>
            </w:r>
          </w:p>
        </w:tc>
      </w:tr>
      <w:tr w:rsidR="006C011D" w:rsidRPr="005A284F" w14:paraId="4367B00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2878EB"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减：营业外支出</w:t>
            </w:r>
          </w:p>
        </w:tc>
        <w:tc>
          <w:tcPr>
            <w:tcW w:w="3213" w:type="dxa"/>
            <w:tcBorders>
              <w:top w:val="single" w:sz="2" w:space="0" w:color="auto"/>
              <w:left w:val="single" w:sz="2" w:space="0" w:color="auto"/>
              <w:bottom w:val="single" w:sz="2" w:space="0" w:color="auto"/>
              <w:right w:val="single" w:sz="2" w:space="0" w:color="auto"/>
            </w:tcBorders>
            <w:vAlign w:val="center"/>
          </w:tcPr>
          <w:p w14:paraId="38B3CA4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3,424,650.50</w:t>
            </w:r>
          </w:p>
        </w:tc>
        <w:tc>
          <w:tcPr>
            <w:tcW w:w="3213" w:type="dxa"/>
            <w:tcBorders>
              <w:top w:val="single" w:sz="2" w:space="0" w:color="auto"/>
              <w:left w:val="single" w:sz="2" w:space="0" w:color="auto"/>
              <w:bottom w:val="single" w:sz="2" w:space="0" w:color="auto"/>
              <w:right w:val="single" w:sz="2" w:space="0" w:color="auto"/>
            </w:tcBorders>
            <w:vAlign w:val="center"/>
          </w:tcPr>
          <w:p w14:paraId="6462F54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5,462,464.39</w:t>
            </w:r>
          </w:p>
        </w:tc>
      </w:tr>
      <w:tr w:rsidR="006C011D" w:rsidRPr="005A284F" w14:paraId="26A772B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D9E312"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四、利润总额（亏损总额以</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70E92F8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32,143,308.04</w:t>
            </w:r>
          </w:p>
        </w:tc>
        <w:tc>
          <w:tcPr>
            <w:tcW w:w="3213" w:type="dxa"/>
            <w:tcBorders>
              <w:top w:val="single" w:sz="2" w:space="0" w:color="auto"/>
              <w:left w:val="single" w:sz="2" w:space="0" w:color="auto"/>
              <w:bottom w:val="single" w:sz="2" w:space="0" w:color="auto"/>
              <w:right w:val="single" w:sz="2" w:space="0" w:color="auto"/>
            </w:tcBorders>
            <w:vAlign w:val="center"/>
          </w:tcPr>
          <w:p w14:paraId="3CD085B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57,414,899.44</w:t>
            </w:r>
          </w:p>
        </w:tc>
      </w:tr>
      <w:tr w:rsidR="006C011D" w:rsidRPr="005A284F" w14:paraId="48172A9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E87BCD"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减：所得税费用</w:t>
            </w:r>
          </w:p>
        </w:tc>
        <w:tc>
          <w:tcPr>
            <w:tcW w:w="3213" w:type="dxa"/>
            <w:tcBorders>
              <w:top w:val="single" w:sz="2" w:space="0" w:color="auto"/>
              <w:left w:val="single" w:sz="2" w:space="0" w:color="auto"/>
              <w:bottom w:val="single" w:sz="2" w:space="0" w:color="auto"/>
              <w:right w:val="single" w:sz="2" w:space="0" w:color="auto"/>
            </w:tcBorders>
            <w:vAlign w:val="center"/>
          </w:tcPr>
          <w:p w14:paraId="71E2061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1,407,079.06</w:t>
            </w:r>
          </w:p>
        </w:tc>
        <w:tc>
          <w:tcPr>
            <w:tcW w:w="3213" w:type="dxa"/>
            <w:tcBorders>
              <w:top w:val="single" w:sz="2" w:space="0" w:color="auto"/>
              <w:left w:val="single" w:sz="2" w:space="0" w:color="auto"/>
              <w:bottom w:val="single" w:sz="2" w:space="0" w:color="auto"/>
              <w:right w:val="single" w:sz="2" w:space="0" w:color="auto"/>
            </w:tcBorders>
            <w:vAlign w:val="center"/>
          </w:tcPr>
          <w:p w14:paraId="071191E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-6,145,655.16</w:t>
            </w:r>
          </w:p>
        </w:tc>
      </w:tr>
      <w:tr w:rsidR="006C011D" w:rsidRPr="005A284F" w14:paraId="7944FDD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CA2E1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五、净利润（净亏损以</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5655E6A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30,736,228.98</w:t>
            </w:r>
          </w:p>
        </w:tc>
        <w:tc>
          <w:tcPr>
            <w:tcW w:w="3213" w:type="dxa"/>
            <w:tcBorders>
              <w:top w:val="single" w:sz="2" w:space="0" w:color="auto"/>
              <w:left w:val="single" w:sz="2" w:space="0" w:color="auto"/>
              <w:bottom w:val="single" w:sz="2" w:space="0" w:color="auto"/>
              <w:right w:val="single" w:sz="2" w:space="0" w:color="auto"/>
            </w:tcBorders>
            <w:vAlign w:val="center"/>
          </w:tcPr>
          <w:p w14:paraId="387EF33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63,560,554.60</w:t>
            </w:r>
          </w:p>
        </w:tc>
      </w:tr>
      <w:tr w:rsidR="006C011D" w:rsidRPr="005A284F" w14:paraId="7D5C96A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CBD74E"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（一）按经营持续性分类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0FCB3D" w14:textId="77777777" w:rsidR="006C011D" w:rsidRPr="005A284F" w:rsidRDefault="006C011D">
            <w:pPr>
              <w:rPr>
                <w:rFonts w:ascii="Times New Roman" w:eastAsia="宋体"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F4BF53" w14:textId="77777777" w:rsidR="006C011D" w:rsidRPr="005A284F" w:rsidRDefault="006C011D">
            <w:pPr>
              <w:rPr>
                <w:rFonts w:ascii="Times New Roman" w:eastAsia="宋体" w:hAnsi="Times New Roman" w:cs="Times New Roman"/>
              </w:rPr>
            </w:pPr>
          </w:p>
        </w:tc>
      </w:tr>
      <w:tr w:rsidR="006C011D" w:rsidRPr="005A284F" w14:paraId="7A1D081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0CC47C" w14:textId="77777777" w:rsidR="006C011D" w:rsidRPr="005A284F" w:rsidRDefault="00000000">
            <w:pPr>
              <w:spacing w:after="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持续经营净利润（净亏损以</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58DAA2E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30,736,228.98</w:t>
            </w:r>
          </w:p>
        </w:tc>
        <w:tc>
          <w:tcPr>
            <w:tcW w:w="3213" w:type="dxa"/>
            <w:tcBorders>
              <w:top w:val="single" w:sz="2" w:space="0" w:color="auto"/>
              <w:left w:val="single" w:sz="2" w:space="0" w:color="auto"/>
              <w:bottom w:val="single" w:sz="2" w:space="0" w:color="auto"/>
              <w:right w:val="single" w:sz="2" w:space="0" w:color="auto"/>
            </w:tcBorders>
            <w:vAlign w:val="center"/>
          </w:tcPr>
          <w:p w14:paraId="56A7B02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63,560,554.60</w:t>
            </w:r>
          </w:p>
        </w:tc>
      </w:tr>
      <w:tr w:rsidR="006C011D" w:rsidRPr="005A284F" w14:paraId="0174606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CCC209" w14:textId="77777777" w:rsidR="006C011D" w:rsidRPr="005A284F" w:rsidRDefault="00000000">
            <w:pPr>
              <w:spacing w:after="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终止经营净利润（净亏损以</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383C9F0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8AD7529"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546D5F2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A39706"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（二）按所有权归属分类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E5BD2F" w14:textId="77777777" w:rsidR="006C011D" w:rsidRPr="005A284F" w:rsidRDefault="006C011D">
            <w:pPr>
              <w:rPr>
                <w:rFonts w:ascii="Times New Roman" w:eastAsia="宋体"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97B0FC" w14:textId="77777777" w:rsidR="006C011D" w:rsidRPr="005A284F" w:rsidRDefault="006C011D">
            <w:pPr>
              <w:rPr>
                <w:rFonts w:ascii="Times New Roman" w:eastAsia="宋体" w:hAnsi="Times New Roman" w:cs="Times New Roman"/>
              </w:rPr>
            </w:pPr>
          </w:p>
        </w:tc>
      </w:tr>
      <w:tr w:rsidR="006C011D" w:rsidRPr="005A284F" w14:paraId="4DE095D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E8506F" w14:textId="77777777" w:rsidR="006C011D" w:rsidRPr="005A284F" w:rsidRDefault="00000000">
            <w:pPr>
              <w:spacing w:after="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归属于母公司股东的净利润（净亏损以</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2562701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35,168,667.03</w:t>
            </w:r>
          </w:p>
        </w:tc>
        <w:tc>
          <w:tcPr>
            <w:tcW w:w="3213" w:type="dxa"/>
            <w:tcBorders>
              <w:top w:val="single" w:sz="2" w:space="0" w:color="auto"/>
              <w:left w:val="single" w:sz="2" w:space="0" w:color="auto"/>
              <w:bottom w:val="single" w:sz="2" w:space="0" w:color="auto"/>
              <w:right w:val="single" w:sz="2" w:space="0" w:color="auto"/>
            </w:tcBorders>
            <w:vAlign w:val="center"/>
          </w:tcPr>
          <w:p w14:paraId="4C72096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58,152,622.01</w:t>
            </w:r>
          </w:p>
        </w:tc>
      </w:tr>
      <w:tr w:rsidR="006C011D" w:rsidRPr="005A284F" w14:paraId="55A3A4B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E1C4AE" w14:textId="77777777" w:rsidR="006C011D" w:rsidRPr="005A284F" w:rsidRDefault="00000000">
            <w:pPr>
              <w:spacing w:after="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少数股东损益（净亏损以</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5F43240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-4,432,438.05</w:t>
            </w:r>
          </w:p>
        </w:tc>
        <w:tc>
          <w:tcPr>
            <w:tcW w:w="3213" w:type="dxa"/>
            <w:tcBorders>
              <w:top w:val="single" w:sz="2" w:space="0" w:color="auto"/>
              <w:left w:val="single" w:sz="2" w:space="0" w:color="auto"/>
              <w:bottom w:val="single" w:sz="2" w:space="0" w:color="auto"/>
              <w:right w:val="single" w:sz="2" w:space="0" w:color="auto"/>
            </w:tcBorders>
            <w:vAlign w:val="center"/>
          </w:tcPr>
          <w:p w14:paraId="2DCABC3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5,407,932.59</w:t>
            </w:r>
          </w:p>
        </w:tc>
      </w:tr>
      <w:tr w:rsidR="006C011D" w:rsidRPr="005A284F" w14:paraId="473AEFB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F290F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六、其他综合收益的税后净额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51B02C1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E978E4C"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252B5EB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0A63B2"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归属母公司所有者的其他综合收益的税后净额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189F69F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6B0514A"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2D3C318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DCB233" w14:textId="77777777" w:rsidR="006C011D" w:rsidRPr="005A284F" w:rsidRDefault="00000000">
            <w:pPr>
              <w:spacing w:after="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（一）不能重分类进损益的其他综合收益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2CAD18B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799AADA"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1E7338E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44FB0E" w14:textId="77777777" w:rsidR="006C011D" w:rsidRPr="005A284F" w:rsidRDefault="00000000">
            <w:pPr>
              <w:spacing w:after="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重新计量设定受益计划变动额</w:t>
            </w:r>
          </w:p>
        </w:tc>
        <w:tc>
          <w:tcPr>
            <w:tcW w:w="3213" w:type="dxa"/>
            <w:tcBorders>
              <w:top w:val="single" w:sz="2" w:space="0" w:color="auto"/>
              <w:left w:val="single" w:sz="2" w:space="0" w:color="auto"/>
              <w:bottom w:val="single" w:sz="2" w:space="0" w:color="auto"/>
              <w:right w:val="single" w:sz="2" w:space="0" w:color="auto"/>
            </w:tcBorders>
            <w:vAlign w:val="center"/>
          </w:tcPr>
          <w:p w14:paraId="6660415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5B6BCBC"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46AAEEE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5A25F8" w14:textId="77777777" w:rsidR="006C011D" w:rsidRPr="005A284F" w:rsidRDefault="00000000">
            <w:pPr>
              <w:spacing w:after="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权益法下不能转损益的其他综合收益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2E6F7C3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5FC99F5"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1ABF729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9C9FF0" w14:textId="77777777" w:rsidR="006C011D" w:rsidRPr="005A284F" w:rsidRDefault="00000000">
            <w:pPr>
              <w:spacing w:after="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其他权益工具投资公允价值变动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61B0899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C9C1431"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55B5D77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9B0B8E" w14:textId="77777777" w:rsidR="006C011D" w:rsidRPr="005A284F" w:rsidRDefault="00000000">
            <w:pPr>
              <w:spacing w:after="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企业自身信用风险公允价值变动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0017092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EC5CF7E"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45BD15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17A453" w14:textId="77777777" w:rsidR="006C011D" w:rsidRPr="005A284F" w:rsidRDefault="00000000">
            <w:pPr>
              <w:spacing w:after="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5.</w:t>
            </w:r>
            <w:r w:rsidRPr="005A284F">
              <w:rPr>
                <w:rFonts w:ascii="Times New Roman" w:eastAsia="宋体" w:hAnsi="Times New Roman" w:cs="Times New Roman"/>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7207DF5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30FE89E"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176198D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7AA536" w14:textId="77777777" w:rsidR="006C011D" w:rsidRPr="005A284F" w:rsidRDefault="00000000">
            <w:pPr>
              <w:spacing w:after="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（二）将重分类进损益的其他综合收益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6920E1B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D7FB578"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3C01B42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30EDDC" w14:textId="77777777" w:rsidR="006C011D" w:rsidRPr="005A284F" w:rsidRDefault="00000000">
            <w:pPr>
              <w:spacing w:after="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权益法下可转损益的其他综合收益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6E21D98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3A2EA42"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428BC1C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681AC6" w14:textId="77777777" w:rsidR="006C011D" w:rsidRPr="005A284F" w:rsidRDefault="00000000">
            <w:pPr>
              <w:spacing w:after="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其他债权投资公允价值变动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3CD7EE0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2D3630D"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4B09B66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954018" w14:textId="77777777" w:rsidR="006C011D" w:rsidRPr="005A284F" w:rsidRDefault="00000000">
            <w:pPr>
              <w:spacing w:after="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金融资产重分类计入其他综合收益的金额</w:t>
            </w:r>
          </w:p>
        </w:tc>
        <w:tc>
          <w:tcPr>
            <w:tcW w:w="3213" w:type="dxa"/>
            <w:tcBorders>
              <w:top w:val="single" w:sz="2" w:space="0" w:color="auto"/>
              <w:left w:val="single" w:sz="2" w:space="0" w:color="auto"/>
              <w:bottom w:val="single" w:sz="2" w:space="0" w:color="auto"/>
              <w:right w:val="single" w:sz="2" w:space="0" w:color="auto"/>
            </w:tcBorders>
            <w:vAlign w:val="center"/>
          </w:tcPr>
          <w:p w14:paraId="26C87B9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439088B"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5C99070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A77BA3" w14:textId="77777777" w:rsidR="006C011D" w:rsidRPr="005A284F" w:rsidRDefault="00000000">
            <w:pPr>
              <w:spacing w:after="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其他债权投资信用减值准备</w:t>
            </w:r>
          </w:p>
        </w:tc>
        <w:tc>
          <w:tcPr>
            <w:tcW w:w="3213" w:type="dxa"/>
            <w:tcBorders>
              <w:top w:val="single" w:sz="2" w:space="0" w:color="auto"/>
              <w:left w:val="single" w:sz="2" w:space="0" w:color="auto"/>
              <w:bottom w:val="single" w:sz="2" w:space="0" w:color="auto"/>
              <w:right w:val="single" w:sz="2" w:space="0" w:color="auto"/>
            </w:tcBorders>
            <w:vAlign w:val="center"/>
          </w:tcPr>
          <w:p w14:paraId="0A3EFD7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D8EDBF5"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6A367EB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AFFDF2" w14:textId="77777777" w:rsidR="006C011D" w:rsidRPr="005A284F" w:rsidRDefault="00000000">
            <w:pPr>
              <w:spacing w:after="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5.</w:t>
            </w:r>
            <w:r w:rsidRPr="005A284F">
              <w:rPr>
                <w:rFonts w:ascii="Times New Roman" w:eastAsia="宋体" w:hAnsi="Times New Roman" w:cs="Times New Roman"/>
                <w:sz w:val="18"/>
                <w:szCs w:val="18"/>
              </w:rPr>
              <w:t>现金流量套期储备</w:t>
            </w:r>
          </w:p>
        </w:tc>
        <w:tc>
          <w:tcPr>
            <w:tcW w:w="3213" w:type="dxa"/>
            <w:tcBorders>
              <w:top w:val="single" w:sz="2" w:space="0" w:color="auto"/>
              <w:left w:val="single" w:sz="2" w:space="0" w:color="auto"/>
              <w:bottom w:val="single" w:sz="2" w:space="0" w:color="auto"/>
              <w:right w:val="single" w:sz="2" w:space="0" w:color="auto"/>
            </w:tcBorders>
            <w:vAlign w:val="center"/>
          </w:tcPr>
          <w:p w14:paraId="7BAE1BA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167E7DA"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2E9E495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A84198" w14:textId="77777777" w:rsidR="006C011D" w:rsidRPr="005A284F" w:rsidRDefault="00000000">
            <w:pPr>
              <w:spacing w:after="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6.</w:t>
            </w:r>
            <w:r w:rsidRPr="005A284F">
              <w:rPr>
                <w:rFonts w:ascii="Times New Roman" w:eastAsia="宋体" w:hAnsi="Times New Roman" w:cs="Times New Roman"/>
                <w:sz w:val="18"/>
                <w:szCs w:val="18"/>
              </w:rPr>
              <w:t>外币财务报表折算差额</w:t>
            </w:r>
          </w:p>
        </w:tc>
        <w:tc>
          <w:tcPr>
            <w:tcW w:w="3213" w:type="dxa"/>
            <w:tcBorders>
              <w:top w:val="single" w:sz="2" w:space="0" w:color="auto"/>
              <w:left w:val="single" w:sz="2" w:space="0" w:color="auto"/>
              <w:bottom w:val="single" w:sz="2" w:space="0" w:color="auto"/>
              <w:right w:val="single" w:sz="2" w:space="0" w:color="auto"/>
            </w:tcBorders>
            <w:vAlign w:val="center"/>
          </w:tcPr>
          <w:p w14:paraId="1CE93B8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A9CDB85"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5A0FC27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718301" w14:textId="77777777" w:rsidR="006C011D" w:rsidRPr="005A284F" w:rsidRDefault="00000000">
            <w:pPr>
              <w:spacing w:after="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7.</w:t>
            </w:r>
            <w:r w:rsidRPr="005A284F">
              <w:rPr>
                <w:rFonts w:ascii="Times New Roman" w:eastAsia="宋体" w:hAnsi="Times New Roman" w:cs="Times New Roman"/>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62BB676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A7A8A12"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7B4C29C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A3EE41"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归属于少数股东的其他综合收益的税后净额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10F7EEB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28E61D7"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98FAD2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EBABB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七、综合收益总额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7328094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30,736,228.98</w:t>
            </w:r>
          </w:p>
        </w:tc>
        <w:tc>
          <w:tcPr>
            <w:tcW w:w="3213" w:type="dxa"/>
            <w:tcBorders>
              <w:top w:val="single" w:sz="2" w:space="0" w:color="auto"/>
              <w:left w:val="single" w:sz="2" w:space="0" w:color="auto"/>
              <w:bottom w:val="single" w:sz="2" w:space="0" w:color="auto"/>
              <w:right w:val="single" w:sz="2" w:space="0" w:color="auto"/>
            </w:tcBorders>
            <w:vAlign w:val="center"/>
          </w:tcPr>
          <w:p w14:paraId="61F8317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63,560,554.60</w:t>
            </w:r>
          </w:p>
        </w:tc>
      </w:tr>
      <w:tr w:rsidR="006C011D" w:rsidRPr="005A284F" w14:paraId="6B348DF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F38198"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归属于母公司所有者的综合收益总额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03BF93C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35,168,667.03</w:t>
            </w:r>
          </w:p>
        </w:tc>
        <w:tc>
          <w:tcPr>
            <w:tcW w:w="3213" w:type="dxa"/>
            <w:tcBorders>
              <w:top w:val="single" w:sz="2" w:space="0" w:color="auto"/>
              <w:left w:val="single" w:sz="2" w:space="0" w:color="auto"/>
              <w:bottom w:val="single" w:sz="2" w:space="0" w:color="auto"/>
              <w:right w:val="single" w:sz="2" w:space="0" w:color="auto"/>
            </w:tcBorders>
            <w:vAlign w:val="center"/>
          </w:tcPr>
          <w:p w14:paraId="6795719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58,152,622.01</w:t>
            </w:r>
          </w:p>
        </w:tc>
      </w:tr>
      <w:tr w:rsidR="006C011D" w:rsidRPr="005A284F" w14:paraId="5BCC086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3644B2"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归属于少数股东的综合收益总额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6EF63B1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-4,432,438.05</w:t>
            </w:r>
          </w:p>
        </w:tc>
        <w:tc>
          <w:tcPr>
            <w:tcW w:w="3213" w:type="dxa"/>
            <w:tcBorders>
              <w:top w:val="single" w:sz="2" w:space="0" w:color="auto"/>
              <w:left w:val="single" w:sz="2" w:space="0" w:color="auto"/>
              <w:bottom w:val="single" w:sz="2" w:space="0" w:color="auto"/>
              <w:right w:val="single" w:sz="2" w:space="0" w:color="auto"/>
            </w:tcBorders>
            <w:vAlign w:val="center"/>
          </w:tcPr>
          <w:p w14:paraId="7746377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5,407,932.59</w:t>
            </w:r>
          </w:p>
        </w:tc>
      </w:tr>
      <w:tr w:rsidR="006C011D" w:rsidRPr="005A284F" w14:paraId="2BA08F0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6C698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八、每股收益：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1A679F" w14:textId="77777777" w:rsidR="006C011D" w:rsidRPr="005A284F" w:rsidRDefault="006C011D">
            <w:pPr>
              <w:rPr>
                <w:rFonts w:ascii="Times New Roman" w:eastAsia="宋体"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05FBFB" w14:textId="77777777" w:rsidR="006C011D" w:rsidRPr="005A284F" w:rsidRDefault="006C011D">
            <w:pPr>
              <w:rPr>
                <w:rFonts w:ascii="Times New Roman" w:eastAsia="宋体" w:hAnsi="Times New Roman" w:cs="Times New Roman"/>
              </w:rPr>
            </w:pPr>
          </w:p>
        </w:tc>
      </w:tr>
      <w:tr w:rsidR="006C011D" w:rsidRPr="005A284F" w14:paraId="36AA2B9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9BA48F"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（一）基本每股收益</w:t>
            </w:r>
          </w:p>
        </w:tc>
        <w:tc>
          <w:tcPr>
            <w:tcW w:w="3213" w:type="dxa"/>
            <w:tcBorders>
              <w:top w:val="single" w:sz="2" w:space="0" w:color="auto"/>
              <w:left w:val="single" w:sz="2" w:space="0" w:color="auto"/>
              <w:bottom w:val="single" w:sz="2" w:space="0" w:color="auto"/>
              <w:right w:val="single" w:sz="2" w:space="0" w:color="auto"/>
            </w:tcBorders>
            <w:vAlign w:val="center"/>
          </w:tcPr>
          <w:p w14:paraId="7304D17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0.03</w:t>
            </w:r>
          </w:p>
        </w:tc>
        <w:tc>
          <w:tcPr>
            <w:tcW w:w="3213" w:type="dxa"/>
            <w:tcBorders>
              <w:top w:val="single" w:sz="2" w:space="0" w:color="auto"/>
              <w:left w:val="single" w:sz="2" w:space="0" w:color="auto"/>
              <w:bottom w:val="single" w:sz="2" w:space="0" w:color="auto"/>
              <w:right w:val="single" w:sz="2" w:space="0" w:color="auto"/>
            </w:tcBorders>
            <w:vAlign w:val="center"/>
          </w:tcPr>
          <w:p w14:paraId="1AE3F7E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0.05</w:t>
            </w:r>
          </w:p>
        </w:tc>
      </w:tr>
      <w:tr w:rsidR="006C011D" w:rsidRPr="005A284F" w14:paraId="28A309A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561A90"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（二）稀释每股收益</w:t>
            </w:r>
          </w:p>
        </w:tc>
        <w:tc>
          <w:tcPr>
            <w:tcW w:w="3213" w:type="dxa"/>
            <w:tcBorders>
              <w:top w:val="single" w:sz="2" w:space="0" w:color="auto"/>
              <w:left w:val="single" w:sz="2" w:space="0" w:color="auto"/>
              <w:bottom w:val="single" w:sz="2" w:space="0" w:color="auto"/>
              <w:right w:val="single" w:sz="2" w:space="0" w:color="auto"/>
            </w:tcBorders>
            <w:vAlign w:val="center"/>
          </w:tcPr>
          <w:p w14:paraId="3745EBB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0.05</w:t>
            </w:r>
          </w:p>
        </w:tc>
        <w:tc>
          <w:tcPr>
            <w:tcW w:w="3213" w:type="dxa"/>
            <w:tcBorders>
              <w:top w:val="single" w:sz="2" w:space="0" w:color="auto"/>
              <w:left w:val="single" w:sz="2" w:space="0" w:color="auto"/>
              <w:bottom w:val="single" w:sz="2" w:space="0" w:color="auto"/>
              <w:right w:val="single" w:sz="2" w:space="0" w:color="auto"/>
            </w:tcBorders>
            <w:vAlign w:val="center"/>
          </w:tcPr>
          <w:p w14:paraId="106FB5E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0.07</w:t>
            </w:r>
          </w:p>
        </w:tc>
      </w:tr>
    </w:tbl>
    <w:p w14:paraId="11B65397" w14:textId="0BD7ABD1"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本期发生同一控制下企业合并的，被合并方在合并前实现的净利润为：</w:t>
      </w:r>
      <w:r w:rsidR="00634AA8">
        <w:rPr>
          <w:rFonts w:ascii="Times New Roman" w:eastAsia="宋体" w:hAnsi="Times New Roman" w:cs="Times New Roman" w:hint="eastAsia"/>
          <w:sz w:val="18"/>
          <w:szCs w:val="18"/>
        </w:rPr>
        <w:t>0</w:t>
      </w:r>
      <w:r w:rsidRPr="005A284F">
        <w:rPr>
          <w:rFonts w:ascii="Times New Roman" w:eastAsia="宋体" w:hAnsi="Times New Roman" w:cs="Times New Roman"/>
          <w:sz w:val="18"/>
          <w:szCs w:val="18"/>
        </w:rPr>
        <w:t>元，上期被合并方实现的净利润为：</w:t>
      </w:r>
      <w:r w:rsidR="00634AA8">
        <w:rPr>
          <w:rFonts w:ascii="Times New Roman" w:eastAsia="宋体" w:hAnsi="Times New Roman" w:cs="Times New Roman" w:hint="eastAsia"/>
          <w:sz w:val="18"/>
          <w:szCs w:val="18"/>
        </w:rPr>
        <w:t>0</w:t>
      </w:r>
      <w:r w:rsidRPr="005A284F">
        <w:rPr>
          <w:rFonts w:ascii="Times New Roman" w:eastAsia="宋体" w:hAnsi="Times New Roman" w:cs="Times New Roman"/>
          <w:sz w:val="18"/>
          <w:szCs w:val="18"/>
        </w:rPr>
        <w:t>元。</w:t>
      </w:r>
    </w:p>
    <w:p w14:paraId="1AB18E5E" w14:textId="21ECF940"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法定代表人：杨晓初</w:t>
      </w:r>
      <w:r w:rsidRPr="005A284F">
        <w:rPr>
          <w:rFonts w:ascii="Times New Roman" w:eastAsia="宋体" w:hAnsi="Times New Roman" w:cs="Times New Roman"/>
          <w:sz w:val="18"/>
          <w:szCs w:val="18"/>
        </w:rPr>
        <w:t xml:space="preserve">    </w:t>
      </w:r>
      <w:r w:rsidR="00634AA8">
        <w:rPr>
          <w:rFonts w:ascii="Times New Roman" w:eastAsia="宋体" w:hAnsi="Times New Roman" w:cs="Times New Roman" w:hint="eastAsia"/>
          <w:sz w:val="18"/>
          <w:szCs w:val="18"/>
        </w:rPr>
        <w:t xml:space="preserve">                           </w:t>
      </w:r>
      <w:r w:rsidRPr="005A284F">
        <w:rPr>
          <w:rFonts w:ascii="Times New Roman" w:eastAsia="宋体" w:hAnsi="Times New Roman" w:cs="Times New Roman"/>
          <w:sz w:val="18"/>
          <w:szCs w:val="18"/>
        </w:rPr>
        <w:t>主管会计工作负责人：郭锐</w:t>
      </w:r>
      <w:r w:rsidRPr="005A284F">
        <w:rPr>
          <w:rFonts w:ascii="Times New Roman" w:eastAsia="宋体" w:hAnsi="Times New Roman" w:cs="Times New Roman"/>
          <w:sz w:val="18"/>
          <w:szCs w:val="18"/>
        </w:rPr>
        <w:t xml:space="preserve">   </w:t>
      </w:r>
      <w:r w:rsidR="00634AA8">
        <w:rPr>
          <w:rFonts w:ascii="Times New Roman" w:eastAsia="宋体" w:hAnsi="Times New Roman" w:cs="Times New Roman" w:hint="eastAsia"/>
          <w:sz w:val="18"/>
          <w:szCs w:val="18"/>
        </w:rPr>
        <w:t xml:space="preserve">                                               </w:t>
      </w:r>
      <w:r w:rsidRPr="005A284F">
        <w:rPr>
          <w:rFonts w:ascii="Times New Roman" w:eastAsia="宋体" w:hAnsi="Times New Roman" w:cs="Times New Roman"/>
          <w:sz w:val="18"/>
          <w:szCs w:val="18"/>
        </w:rPr>
        <w:t xml:space="preserve"> </w:t>
      </w:r>
      <w:r w:rsidRPr="005A284F">
        <w:rPr>
          <w:rFonts w:ascii="Times New Roman" w:eastAsia="宋体" w:hAnsi="Times New Roman" w:cs="Times New Roman"/>
          <w:sz w:val="18"/>
          <w:szCs w:val="18"/>
        </w:rPr>
        <w:t>会计机构负责人：刘璐希</w:t>
      </w:r>
    </w:p>
    <w:p w14:paraId="28AF5CB4" w14:textId="77777777" w:rsidR="006C011D" w:rsidRPr="005A284F" w:rsidRDefault="00000000">
      <w:pPr>
        <w:pStyle w:val="3"/>
        <w:spacing w:line="280" w:lineRule="exact"/>
        <w:jc w:val="left"/>
        <w:rPr>
          <w:rFonts w:ascii="Times New Roman" w:hAnsi="Times New Roman" w:cs="Times New Roman"/>
          <w:b/>
          <w:bCs/>
        </w:rPr>
      </w:pPr>
      <w:bookmarkStart w:id="105" w:name="_Toc988994"/>
      <w:r w:rsidRPr="005A284F">
        <w:rPr>
          <w:rFonts w:ascii="Times New Roman" w:hAnsi="Times New Roman" w:cs="Times New Roman"/>
          <w:b/>
          <w:bCs/>
        </w:rPr>
        <w:t>4</w:t>
      </w:r>
      <w:r w:rsidRPr="005A284F">
        <w:rPr>
          <w:rFonts w:ascii="Times New Roman" w:hAnsi="Times New Roman" w:cs="Times New Roman"/>
          <w:b/>
          <w:bCs/>
        </w:rPr>
        <w:t>、母公司利润表</w:t>
      </w:r>
      <w:bookmarkEnd w:id="105"/>
    </w:p>
    <w:p w14:paraId="6A8433D7"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691FAAB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C59FC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8EE1D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年半年度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79F10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年半年度</w:t>
            </w:r>
          </w:p>
        </w:tc>
      </w:tr>
      <w:tr w:rsidR="006C011D" w:rsidRPr="005A284F" w14:paraId="78F4D96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E5629B"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一、营业收入</w:t>
            </w:r>
          </w:p>
        </w:tc>
        <w:tc>
          <w:tcPr>
            <w:tcW w:w="3213" w:type="dxa"/>
            <w:tcBorders>
              <w:top w:val="single" w:sz="2" w:space="0" w:color="auto"/>
              <w:left w:val="single" w:sz="2" w:space="0" w:color="auto"/>
              <w:bottom w:val="single" w:sz="2" w:space="0" w:color="auto"/>
              <w:right w:val="single" w:sz="2" w:space="0" w:color="auto"/>
            </w:tcBorders>
            <w:vAlign w:val="center"/>
          </w:tcPr>
          <w:p w14:paraId="4104C7A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2,193,177,936.15</w:t>
            </w:r>
          </w:p>
        </w:tc>
        <w:tc>
          <w:tcPr>
            <w:tcW w:w="3213" w:type="dxa"/>
            <w:tcBorders>
              <w:top w:val="single" w:sz="2" w:space="0" w:color="auto"/>
              <w:left w:val="single" w:sz="2" w:space="0" w:color="auto"/>
              <w:bottom w:val="single" w:sz="2" w:space="0" w:color="auto"/>
              <w:right w:val="single" w:sz="2" w:space="0" w:color="auto"/>
            </w:tcBorders>
            <w:vAlign w:val="center"/>
          </w:tcPr>
          <w:p w14:paraId="6F6B0D9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1,953,373,586.74</w:t>
            </w:r>
          </w:p>
        </w:tc>
      </w:tr>
      <w:tr w:rsidR="006C011D" w:rsidRPr="005A284F" w14:paraId="49596BA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454152"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减：营业成本</w:t>
            </w:r>
          </w:p>
        </w:tc>
        <w:tc>
          <w:tcPr>
            <w:tcW w:w="3213" w:type="dxa"/>
            <w:tcBorders>
              <w:top w:val="single" w:sz="2" w:space="0" w:color="auto"/>
              <w:left w:val="single" w:sz="2" w:space="0" w:color="auto"/>
              <w:bottom w:val="single" w:sz="2" w:space="0" w:color="auto"/>
              <w:right w:val="single" w:sz="2" w:space="0" w:color="auto"/>
            </w:tcBorders>
            <w:vAlign w:val="center"/>
          </w:tcPr>
          <w:p w14:paraId="4FE7DF3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2,032,865,119.73</w:t>
            </w:r>
          </w:p>
        </w:tc>
        <w:tc>
          <w:tcPr>
            <w:tcW w:w="3213" w:type="dxa"/>
            <w:tcBorders>
              <w:top w:val="single" w:sz="2" w:space="0" w:color="auto"/>
              <w:left w:val="single" w:sz="2" w:space="0" w:color="auto"/>
              <w:bottom w:val="single" w:sz="2" w:space="0" w:color="auto"/>
              <w:right w:val="single" w:sz="2" w:space="0" w:color="auto"/>
            </w:tcBorders>
            <w:vAlign w:val="center"/>
          </w:tcPr>
          <w:p w14:paraId="0D6A7D6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1,822,496,763.56</w:t>
            </w:r>
          </w:p>
        </w:tc>
      </w:tr>
      <w:tr w:rsidR="006C011D" w:rsidRPr="005A284F" w14:paraId="4EAEE6F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84997A" w14:textId="77777777" w:rsidR="006C011D" w:rsidRPr="005A284F" w:rsidRDefault="00000000">
            <w:pPr>
              <w:spacing w:before="40" w:after="4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税金及附加</w:t>
            </w:r>
          </w:p>
        </w:tc>
        <w:tc>
          <w:tcPr>
            <w:tcW w:w="3213" w:type="dxa"/>
            <w:tcBorders>
              <w:top w:val="single" w:sz="2" w:space="0" w:color="auto"/>
              <w:left w:val="single" w:sz="2" w:space="0" w:color="auto"/>
              <w:bottom w:val="single" w:sz="2" w:space="0" w:color="auto"/>
              <w:right w:val="single" w:sz="2" w:space="0" w:color="auto"/>
            </w:tcBorders>
            <w:vAlign w:val="center"/>
          </w:tcPr>
          <w:p w14:paraId="280097B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3,648,630.66</w:t>
            </w:r>
          </w:p>
        </w:tc>
        <w:tc>
          <w:tcPr>
            <w:tcW w:w="3213" w:type="dxa"/>
            <w:tcBorders>
              <w:top w:val="single" w:sz="2" w:space="0" w:color="auto"/>
              <w:left w:val="single" w:sz="2" w:space="0" w:color="auto"/>
              <w:bottom w:val="single" w:sz="2" w:space="0" w:color="auto"/>
              <w:right w:val="single" w:sz="2" w:space="0" w:color="auto"/>
            </w:tcBorders>
            <w:vAlign w:val="center"/>
          </w:tcPr>
          <w:p w14:paraId="39C827E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3,388,325.68</w:t>
            </w:r>
          </w:p>
        </w:tc>
      </w:tr>
      <w:tr w:rsidR="006C011D" w:rsidRPr="005A284F" w14:paraId="0EF7FA6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E0423E" w14:textId="77777777" w:rsidR="006C011D" w:rsidRPr="005A284F" w:rsidRDefault="00000000">
            <w:pPr>
              <w:spacing w:before="40" w:after="4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销售费用</w:t>
            </w:r>
          </w:p>
        </w:tc>
        <w:tc>
          <w:tcPr>
            <w:tcW w:w="3213" w:type="dxa"/>
            <w:tcBorders>
              <w:top w:val="single" w:sz="2" w:space="0" w:color="auto"/>
              <w:left w:val="single" w:sz="2" w:space="0" w:color="auto"/>
              <w:bottom w:val="single" w:sz="2" w:space="0" w:color="auto"/>
              <w:right w:val="single" w:sz="2" w:space="0" w:color="auto"/>
            </w:tcBorders>
            <w:vAlign w:val="center"/>
          </w:tcPr>
          <w:p w14:paraId="0459FF3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63,103,430.50</w:t>
            </w:r>
          </w:p>
        </w:tc>
        <w:tc>
          <w:tcPr>
            <w:tcW w:w="3213" w:type="dxa"/>
            <w:tcBorders>
              <w:top w:val="single" w:sz="2" w:space="0" w:color="auto"/>
              <w:left w:val="single" w:sz="2" w:space="0" w:color="auto"/>
              <w:bottom w:val="single" w:sz="2" w:space="0" w:color="auto"/>
              <w:right w:val="single" w:sz="2" w:space="0" w:color="auto"/>
            </w:tcBorders>
            <w:vAlign w:val="center"/>
          </w:tcPr>
          <w:p w14:paraId="0B9FDD4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69,356,596.93</w:t>
            </w:r>
          </w:p>
        </w:tc>
      </w:tr>
      <w:tr w:rsidR="006C011D" w:rsidRPr="005A284F" w14:paraId="31E44F1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4D2710" w14:textId="77777777" w:rsidR="006C011D" w:rsidRPr="005A284F" w:rsidRDefault="00000000">
            <w:pPr>
              <w:spacing w:before="40" w:after="4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管理费用</w:t>
            </w:r>
          </w:p>
        </w:tc>
        <w:tc>
          <w:tcPr>
            <w:tcW w:w="3213" w:type="dxa"/>
            <w:tcBorders>
              <w:top w:val="single" w:sz="2" w:space="0" w:color="auto"/>
              <w:left w:val="single" w:sz="2" w:space="0" w:color="auto"/>
              <w:bottom w:val="single" w:sz="2" w:space="0" w:color="auto"/>
              <w:right w:val="single" w:sz="2" w:space="0" w:color="auto"/>
            </w:tcBorders>
            <w:vAlign w:val="center"/>
          </w:tcPr>
          <w:p w14:paraId="5CE08A1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48,422,631.94</w:t>
            </w:r>
          </w:p>
        </w:tc>
        <w:tc>
          <w:tcPr>
            <w:tcW w:w="3213" w:type="dxa"/>
            <w:tcBorders>
              <w:top w:val="single" w:sz="2" w:space="0" w:color="auto"/>
              <w:left w:val="single" w:sz="2" w:space="0" w:color="auto"/>
              <w:bottom w:val="single" w:sz="2" w:space="0" w:color="auto"/>
              <w:right w:val="single" w:sz="2" w:space="0" w:color="auto"/>
            </w:tcBorders>
            <w:vAlign w:val="center"/>
          </w:tcPr>
          <w:p w14:paraId="2D1FA40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48,818,085.93</w:t>
            </w:r>
          </w:p>
        </w:tc>
      </w:tr>
      <w:tr w:rsidR="006C011D" w:rsidRPr="005A284F" w14:paraId="7F33639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BA5E07" w14:textId="77777777" w:rsidR="006C011D" w:rsidRPr="005A284F" w:rsidRDefault="00000000">
            <w:pPr>
              <w:spacing w:before="40" w:after="4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研发费用</w:t>
            </w:r>
          </w:p>
        </w:tc>
        <w:tc>
          <w:tcPr>
            <w:tcW w:w="3213" w:type="dxa"/>
            <w:tcBorders>
              <w:top w:val="single" w:sz="2" w:space="0" w:color="auto"/>
              <w:left w:val="single" w:sz="2" w:space="0" w:color="auto"/>
              <w:bottom w:val="single" w:sz="2" w:space="0" w:color="auto"/>
              <w:right w:val="single" w:sz="2" w:space="0" w:color="auto"/>
            </w:tcBorders>
            <w:vAlign w:val="center"/>
          </w:tcPr>
          <w:p w14:paraId="6EB5E90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142,220.71</w:t>
            </w:r>
          </w:p>
        </w:tc>
        <w:tc>
          <w:tcPr>
            <w:tcW w:w="3213" w:type="dxa"/>
            <w:tcBorders>
              <w:top w:val="single" w:sz="2" w:space="0" w:color="auto"/>
              <w:left w:val="single" w:sz="2" w:space="0" w:color="auto"/>
              <w:bottom w:val="single" w:sz="2" w:space="0" w:color="auto"/>
              <w:right w:val="single" w:sz="2" w:space="0" w:color="auto"/>
            </w:tcBorders>
            <w:vAlign w:val="center"/>
          </w:tcPr>
          <w:p w14:paraId="53B91A5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134,338.18</w:t>
            </w:r>
          </w:p>
        </w:tc>
      </w:tr>
      <w:tr w:rsidR="006C011D" w:rsidRPr="005A284F" w14:paraId="6822F74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7FE98C" w14:textId="77777777" w:rsidR="006C011D" w:rsidRPr="005A284F" w:rsidRDefault="00000000">
            <w:pPr>
              <w:spacing w:before="40" w:after="4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财务费用</w:t>
            </w:r>
          </w:p>
        </w:tc>
        <w:tc>
          <w:tcPr>
            <w:tcW w:w="3213" w:type="dxa"/>
            <w:tcBorders>
              <w:top w:val="single" w:sz="2" w:space="0" w:color="auto"/>
              <w:left w:val="single" w:sz="2" w:space="0" w:color="auto"/>
              <w:bottom w:val="single" w:sz="2" w:space="0" w:color="auto"/>
              <w:right w:val="single" w:sz="2" w:space="0" w:color="auto"/>
            </w:tcBorders>
            <w:vAlign w:val="center"/>
          </w:tcPr>
          <w:p w14:paraId="532F967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33,103,669.64</w:t>
            </w:r>
          </w:p>
        </w:tc>
        <w:tc>
          <w:tcPr>
            <w:tcW w:w="3213" w:type="dxa"/>
            <w:tcBorders>
              <w:top w:val="single" w:sz="2" w:space="0" w:color="auto"/>
              <w:left w:val="single" w:sz="2" w:space="0" w:color="auto"/>
              <w:bottom w:val="single" w:sz="2" w:space="0" w:color="auto"/>
              <w:right w:val="single" w:sz="2" w:space="0" w:color="auto"/>
            </w:tcBorders>
            <w:vAlign w:val="center"/>
          </w:tcPr>
          <w:p w14:paraId="63AC681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29,693,343.81</w:t>
            </w:r>
          </w:p>
        </w:tc>
      </w:tr>
      <w:tr w:rsidR="006C011D" w:rsidRPr="005A284F" w14:paraId="23DCD90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762BDA" w14:textId="77777777" w:rsidR="006C011D" w:rsidRPr="005A284F" w:rsidRDefault="00000000">
            <w:pPr>
              <w:spacing w:before="40" w:after="40" w:line="240" w:lineRule="exact"/>
              <w:ind w:firstLineChars="400" w:firstLine="720"/>
              <w:rPr>
                <w:rFonts w:ascii="Times New Roman" w:eastAsia="宋体" w:hAnsi="Times New Roman" w:cs="Times New Roman"/>
                <w:sz w:val="18"/>
                <w:szCs w:val="18"/>
              </w:rPr>
            </w:pPr>
            <w:r w:rsidRPr="005A284F">
              <w:rPr>
                <w:rFonts w:ascii="Times New Roman" w:eastAsia="宋体" w:hAnsi="Times New Roman" w:cs="Times New Roman"/>
                <w:sz w:val="18"/>
                <w:szCs w:val="18"/>
              </w:rPr>
              <w:t>其中：利息费用</w:t>
            </w:r>
          </w:p>
        </w:tc>
        <w:tc>
          <w:tcPr>
            <w:tcW w:w="3213" w:type="dxa"/>
            <w:tcBorders>
              <w:top w:val="single" w:sz="2" w:space="0" w:color="auto"/>
              <w:left w:val="single" w:sz="2" w:space="0" w:color="auto"/>
              <w:bottom w:val="single" w:sz="2" w:space="0" w:color="auto"/>
              <w:right w:val="single" w:sz="2" w:space="0" w:color="auto"/>
            </w:tcBorders>
            <w:vAlign w:val="center"/>
          </w:tcPr>
          <w:p w14:paraId="707D0CB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36,925,994.09</w:t>
            </w:r>
          </w:p>
        </w:tc>
        <w:tc>
          <w:tcPr>
            <w:tcW w:w="3213" w:type="dxa"/>
            <w:tcBorders>
              <w:top w:val="single" w:sz="2" w:space="0" w:color="auto"/>
              <w:left w:val="single" w:sz="2" w:space="0" w:color="auto"/>
              <w:bottom w:val="single" w:sz="2" w:space="0" w:color="auto"/>
              <w:right w:val="single" w:sz="2" w:space="0" w:color="auto"/>
            </w:tcBorders>
            <w:vAlign w:val="center"/>
          </w:tcPr>
          <w:p w14:paraId="085E472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40,307,274.52</w:t>
            </w:r>
          </w:p>
        </w:tc>
      </w:tr>
      <w:tr w:rsidR="006C011D" w:rsidRPr="005A284F" w14:paraId="3A6B447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7E6895" w14:textId="77777777" w:rsidR="006C011D" w:rsidRPr="005A284F" w:rsidRDefault="00000000">
            <w:pPr>
              <w:spacing w:before="40" w:after="40" w:line="240" w:lineRule="exact"/>
              <w:ind w:firstLineChars="700" w:firstLine="1260"/>
              <w:rPr>
                <w:rFonts w:ascii="Times New Roman" w:eastAsia="宋体" w:hAnsi="Times New Roman" w:cs="Times New Roman"/>
                <w:sz w:val="18"/>
                <w:szCs w:val="18"/>
              </w:rPr>
            </w:pPr>
            <w:r w:rsidRPr="005A284F">
              <w:rPr>
                <w:rFonts w:ascii="Times New Roman" w:eastAsia="宋体" w:hAnsi="Times New Roman" w:cs="Times New Roman"/>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14:paraId="0E7F1F2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4,068,186.76</w:t>
            </w:r>
          </w:p>
        </w:tc>
        <w:tc>
          <w:tcPr>
            <w:tcW w:w="3213" w:type="dxa"/>
            <w:tcBorders>
              <w:top w:val="single" w:sz="2" w:space="0" w:color="auto"/>
              <w:left w:val="single" w:sz="2" w:space="0" w:color="auto"/>
              <w:bottom w:val="single" w:sz="2" w:space="0" w:color="auto"/>
              <w:right w:val="single" w:sz="2" w:space="0" w:color="auto"/>
            </w:tcBorders>
            <w:vAlign w:val="center"/>
          </w:tcPr>
          <w:p w14:paraId="3DDBF5A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11,062,975.88</w:t>
            </w:r>
          </w:p>
        </w:tc>
      </w:tr>
      <w:tr w:rsidR="006C011D" w:rsidRPr="005A284F" w14:paraId="167F626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2E18F7"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加：其他收益</w:t>
            </w:r>
          </w:p>
        </w:tc>
        <w:tc>
          <w:tcPr>
            <w:tcW w:w="3213" w:type="dxa"/>
            <w:tcBorders>
              <w:top w:val="single" w:sz="2" w:space="0" w:color="auto"/>
              <w:left w:val="single" w:sz="2" w:space="0" w:color="auto"/>
              <w:bottom w:val="single" w:sz="2" w:space="0" w:color="auto"/>
              <w:right w:val="single" w:sz="2" w:space="0" w:color="auto"/>
            </w:tcBorders>
            <w:vAlign w:val="center"/>
          </w:tcPr>
          <w:p w14:paraId="43809B1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831,496.23</w:t>
            </w:r>
          </w:p>
        </w:tc>
        <w:tc>
          <w:tcPr>
            <w:tcW w:w="3213" w:type="dxa"/>
            <w:tcBorders>
              <w:top w:val="single" w:sz="2" w:space="0" w:color="auto"/>
              <w:left w:val="single" w:sz="2" w:space="0" w:color="auto"/>
              <w:bottom w:val="single" w:sz="2" w:space="0" w:color="auto"/>
              <w:right w:val="single" w:sz="2" w:space="0" w:color="auto"/>
            </w:tcBorders>
            <w:vAlign w:val="center"/>
          </w:tcPr>
          <w:p w14:paraId="37CB8A2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1,680,949.76</w:t>
            </w:r>
          </w:p>
        </w:tc>
      </w:tr>
      <w:tr w:rsidR="006C011D" w:rsidRPr="005A284F" w14:paraId="5DC1CEE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EF6675" w14:textId="77777777" w:rsidR="006C011D" w:rsidRPr="005A284F" w:rsidRDefault="00000000">
            <w:pPr>
              <w:spacing w:before="40" w:after="4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投资收益（损失以</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0E3A6A3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690,346.28</w:t>
            </w:r>
          </w:p>
        </w:tc>
        <w:tc>
          <w:tcPr>
            <w:tcW w:w="3213" w:type="dxa"/>
            <w:tcBorders>
              <w:top w:val="single" w:sz="2" w:space="0" w:color="auto"/>
              <w:left w:val="single" w:sz="2" w:space="0" w:color="auto"/>
              <w:bottom w:val="single" w:sz="2" w:space="0" w:color="auto"/>
              <w:right w:val="single" w:sz="2" w:space="0" w:color="auto"/>
            </w:tcBorders>
            <w:vAlign w:val="center"/>
          </w:tcPr>
          <w:p w14:paraId="7208FC3E"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1F34041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2C7CC4" w14:textId="77777777" w:rsidR="006C011D" w:rsidRPr="005A284F" w:rsidRDefault="00000000">
            <w:pPr>
              <w:spacing w:before="40" w:after="40" w:line="240" w:lineRule="exact"/>
              <w:ind w:firstLineChars="400" w:firstLine="720"/>
              <w:rPr>
                <w:rFonts w:ascii="Times New Roman" w:eastAsia="宋体" w:hAnsi="Times New Roman" w:cs="Times New Roman"/>
                <w:sz w:val="18"/>
                <w:szCs w:val="18"/>
              </w:rPr>
            </w:pPr>
            <w:r w:rsidRPr="005A284F">
              <w:rPr>
                <w:rFonts w:ascii="Times New Roman" w:eastAsia="宋体" w:hAnsi="Times New Roman" w:cs="Times New Roman"/>
                <w:sz w:val="18"/>
                <w:szCs w:val="18"/>
              </w:rPr>
              <w:t>其中：对联营企业和合营企业的投资收益</w:t>
            </w:r>
          </w:p>
        </w:tc>
        <w:tc>
          <w:tcPr>
            <w:tcW w:w="3213" w:type="dxa"/>
            <w:tcBorders>
              <w:top w:val="single" w:sz="2" w:space="0" w:color="auto"/>
              <w:left w:val="single" w:sz="2" w:space="0" w:color="auto"/>
              <w:bottom w:val="single" w:sz="2" w:space="0" w:color="auto"/>
              <w:right w:val="single" w:sz="2" w:space="0" w:color="auto"/>
            </w:tcBorders>
            <w:vAlign w:val="center"/>
          </w:tcPr>
          <w:p w14:paraId="18BB522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54B922F"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14E8972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8ED415" w14:textId="77777777" w:rsidR="006C011D" w:rsidRPr="005A284F" w:rsidRDefault="00000000">
            <w:pPr>
              <w:spacing w:before="40" w:after="40" w:line="240" w:lineRule="exact"/>
              <w:ind w:firstLineChars="700" w:firstLine="1260"/>
              <w:rPr>
                <w:rFonts w:ascii="Times New Roman" w:eastAsia="宋体" w:hAnsi="Times New Roman" w:cs="Times New Roman"/>
                <w:sz w:val="18"/>
                <w:szCs w:val="18"/>
              </w:rPr>
            </w:pPr>
            <w:r w:rsidRPr="005A284F">
              <w:rPr>
                <w:rFonts w:ascii="Times New Roman" w:eastAsia="宋体" w:hAnsi="Times New Roman" w:cs="Times New Roman"/>
                <w:sz w:val="18"/>
                <w:szCs w:val="18"/>
              </w:rPr>
              <w:t>以摊余成本计量的金融资产终止确认收益（损失以</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676AF3A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D125F8F"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33557E6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FBF229" w14:textId="77777777" w:rsidR="006C011D" w:rsidRPr="005A284F" w:rsidRDefault="00000000">
            <w:pPr>
              <w:spacing w:before="40" w:after="4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净敞口套期收益（损失以</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1185E8D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94125D7"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63C042D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DDF779" w14:textId="77777777" w:rsidR="006C011D" w:rsidRPr="005A284F" w:rsidRDefault="00000000">
            <w:pPr>
              <w:spacing w:before="40" w:after="4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公允价值变动收益（损失以</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6B6BCB8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-9,825.57</w:t>
            </w:r>
          </w:p>
        </w:tc>
        <w:tc>
          <w:tcPr>
            <w:tcW w:w="3213" w:type="dxa"/>
            <w:tcBorders>
              <w:top w:val="single" w:sz="2" w:space="0" w:color="auto"/>
              <w:left w:val="single" w:sz="2" w:space="0" w:color="auto"/>
              <w:bottom w:val="single" w:sz="2" w:space="0" w:color="auto"/>
              <w:right w:val="single" w:sz="2" w:space="0" w:color="auto"/>
            </w:tcBorders>
            <w:vAlign w:val="center"/>
          </w:tcPr>
          <w:p w14:paraId="216CBDF6"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69EE645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D0D59F" w14:textId="77777777" w:rsidR="006C011D" w:rsidRPr="005A284F" w:rsidRDefault="00000000">
            <w:pPr>
              <w:spacing w:before="40" w:after="4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信用减值损失（损失以</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23A0125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15,285,767.97</w:t>
            </w:r>
          </w:p>
        </w:tc>
        <w:tc>
          <w:tcPr>
            <w:tcW w:w="3213" w:type="dxa"/>
            <w:tcBorders>
              <w:top w:val="single" w:sz="2" w:space="0" w:color="auto"/>
              <w:left w:val="single" w:sz="2" w:space="0" w:color="auto"/>
              <w:bottom w:val="single" w:sz="2" w:space="0" w:color="auto"/>
              <w:right w:val="single" w:sz="2" w:space="0" w:color="auto"/>
            </w:tcBorders>
            <w:vAlign w:val="center"/>
          </w:tcPr>
          <w:p w14:paraId="4EECB52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35,846,869.26</w:t>
            </w:r>
          </w:p>
        </w:tc>
      </w:tr>
      <w:tr w:rsidR="006C011D" w:rsidRPr="005A284F" w14:paraId="0A63FCF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8B7EBE" w14:textId="77777777" w:rsidR="006C011D" w:rsidRPr="005A284F" w:rsidRDefault="00000000">
            <w:pPr>
              <w:spacing w:before="40" w:after="4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资产减值损失（损失以</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778A40D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-15,306.59</w:t>
            </w:r>
          </w:p>
        </w:tc>
        <w:tc>
          <w:tcPr>
            <w:tcW w:w="3213" w:type="dxa"/>
            <w:tcBorders>
              <w:top w:val="single" w:sz="2" w:space="0" w:color="auto"/>
              <w:left w:val="single" w:sz="2" w:space="0" w:color="auto"/>
              <w:bottom w:val="single" w:sz="2" w:space="0" w:color="auto"/>
              <w:right w:val="single" w:sz="2" w:space="0" w:color="auto"/>
            </w:tcBorders>
            <w:vAlign w:val="center"/>
          </w:tcPr>
          <w:p w14:paraId="0DE7A2F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744,475.08</w:t>
            </w:r>
          </w:p>
        </w:tc>
      </w:tr>
      <w:tr w:rsidR="006C011D" w:rsidRPr="005A284F" w14:paraId="1FA3F29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EBF5F5" w14:textId="77777777" w:rsidR="006C011D" w:rsidRPr="005A284F" w:rsidRDefault="00000000">
            <w:pPr>
              <w:spacing w:before="40" w:after="4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资产处置收益（损失以</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4F477F4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64,872.43</w:t>
            </w:r>
          </w:p>
        </w:tc>
        <w:tc>
          <w:tcPr>
            <w:tcW w:w="3213" w:type="dxa"/>
            <w:tcBorders>
              <w:top w:val="single" w:sz="2" w:space="0" w:color="auto"/>
              <w:left w:val="single" w:sz="2" w:space="0" w:color="auto"/>
              <w:bottom w:val="single" w:sz="2" w:space="0" w:color="auto"/>
              <w:right w:val="single" w:sz="2" w:space="0" w:color="auto"/>
            </w:tcBorders>
            <w:vAlign w:val="center"/>
          </w:tcPr>
          <w:p w14:paraId="04E9FD3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275,381.13</w:t>
            </w:r>
          </w:p>
        </w:tc>
      </w:tr>
      <w:tr w:rsidR="006C011D" w:rsidRPr="005A284F" w14:paraId="39707FE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9E2288"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二、营业利润（亏损以</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209FA48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28,739,583.72</w:t>
            </w:r>
          </w:p>
        </w:tc>
        <w:tc>
          <w:tcPr>
            <w:tcW w:w="3213" w:type="dxa"/>
            <w:tcBorders>
              <w:top w:val="single" w:sz="2" w:space="0" w:color="auto"/>
              <w:left w:val="single" w:sz="2" w:space="0" w:color="auto"/>
              <w:bottom w:val="single" w:sz="2" w:space="0" w:color="auto"/>
              <w:right w:val="single" w:sz="2" w:space="0" w:color="auto"/>
            </w:tcBorders>
            <w:vAlign w:val="center"/>
          </w:tcPr>
          <w:p w14:paraId="2777C94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18,033,807.88</w:t>
            </w:r>
          </w:p>
        </w:tc>
      </w:tr>
      <w:tr w:rsidR="006C011D" w:rsidRPr="005A284F" w14:paraId="1F562DE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E7B116"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加：营业外收入</w:t>
            </w:r>
          </w:p>
        </w:tc>
        <w:tc>
          <w:tcPr>
            <w:tcW w:w="3213" w:type="dxa"/>
            <w:tcBorders>
              <w:top w:val="single" w:sz="2" w:space="0" w:color="auto"/>
              <w:left w:val="single" w:sz="2" w:space="0" w:color="auto"/>
              <w:bottom w:val="single" w:sz="2" w:space="0" w:color="auto"/>
              <w:right w:val="single" w:sz="2" w:space="0" w:color="auto"/>
            </w:tcBorders>
            <w:vAlign w:val="center"/>
          </w:tcPr>
          <w:p w14:paraId="72816F9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295,588.25</w:t>
            </w:r>
          </w:p>
        </w:tc>
        <w:tc>
          <w:tcPr>
            <w:tcW w:w="3213" w:type="dxa"/>
            <w:tcBorders>
              <w:top w:val="single" w:sz="2" w:space="0" w:color="auto"/>
              <w:left w:val="single" w:sz="2" w:space="0" w:color="auto"/>
              <w:bottom w:val="single" w:sz="2" w:space="0" w:color="auto"/>
              <w:right w:val="single" w:sz="2" w:space="0" w:color="auto"/>
            </w:tcBorders>
            <w:vAlign w:val="center"/>
          </w:tcPr>
          <w:p w14:paraId="6AA38C9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1,138,197.21</w:t>
            </w:r>
          </w:p>
        </w:tc>
      </w:tr>
      <w:tr w:rsidR="006C011D" w:rsidRPr="005A284F" w14:paraId="4691DFC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2B48E9"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减：营业外支出</w:t>
            </w:r>
          </w:p>
        </w:tc>
        <w:tc>
          <w:tcPr>
            <w:tcW w:w="3213" w:type="dxa"/>
            <w:tcBorders>
              <w:top w:val="single" w:sz="2" w:space="0" w:color="auto"/>
              <w:left w:val="single" w:sz="2" w:space="0" w:color="auto"/>
              <w:bottom w:val="single" w:sz="2" w:space="0" w:color="auto"/>
              <w:right w:val="single" w:sz="2" w:space="0" w:color="auto"/>
            </w:tcBorders>
            <w:vAlign w:val="center"/>
          </w:tcPr>
          <w:p w14:paraId="3F98FE9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2,068,270.40</w:t>
            </w:r>
          </w:p>
        </w:tc>
        <w:tc>
          <w:tcPr>
            <w:tcW w:w="3213" w:type="dxa"/>
            <w:tcBorders>
              <w:top w:val="single" w:sz="2" w:space="0" w:color="auto"/>
              <w:left w:val="single" w:sz="2" w:space="0" w:color="auto"/>
              <w:bottom w:val="single" w:sz="2" w:space="0" w:color="auto"/>
              <w:right w:val="single" w:sz="2" w:space="0" w:color="auto"/>
            </w:tcBorders>
            <w:vAlign w:val="center"/>
          </w:tcPr>
          <w:p w14:paraId="6B6CC36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715,416.02</w:t>
            </w:r>
          </w:p>
        </w:tc>
      </w:tr>
      <w:tr w:rsidR="006C011D" w:rsidRPr="005A284F" w14:paraId="2B3CD5F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428B2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三、利润总额（亏损总额以</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44E1BB1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26,966,901.57</w:t>
            </w:r>
          </w:p>
        </w:tc>
        <w:tc>
          <w:tcPr>
            <w:tcW w:w="3213" w:type="dxa"/>
            <w:tcBorders>
              <w:top w:val="single" w:sz="2" w:space="0" w:color="auto"/>
              <w:left w:val="single" w:sz="2" w:space="0" w:color="auto"/>
              <w:bottom w:val="single" w:sz="2" w:space="0" w:color="auto"/>
              <w:right w:val="single" w:sz="2" w:space="0" w:color="auto"/>
            </w:tcBorders>
            <w:vAlign w:val="center"/>
          </w:tcPr>
          <w:p w14:paraId="22D39D0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18,456,589.07</w:t>
            </w:r>
          </w:p>
        </w:tc>
      </w:tr>
      <w:tr w:rsidR="006C011D" w:rsidRPr="005A284F" w14:paraId="020FCE1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E82656"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减：所得税费用</w:t>
            </w:r>
          </w:p>
        </w:tc>
        <w:tc>
          <w:tcPr>
            <w:tcW w:w="3213" w:type="dxa"/>
            <w:tcBorders>
              <w:top w:val="single" w:sz="2" w:space="0" w:color="auto"/>
              <w:left w:val="single" w:sz="2" w:space="0" w:color="auto"/>
              <w:bottom w:val="single" w:sz="2" w:space="0" w:color="auto"/>
              <w:right w:val="single" w:sz="2" w:space="0" w:color="auto"/>
            </w:tcBorders>
            <w:vAlign w:val="center"/>
          </w:tcPr>
          <w:p w14:paraId="00139C6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1,250,302.84</w:t>
            </w:r>
          </w:p>
        </w:tc>
        <w:tc>
          <w:tcPr>
            <w:tcW w:w="3213" w:type="dxa"/>
            <w:tcBorders>
              <w:top w:val="single" w:sz="2" w:space="0" w:color="auto"/>
              <w:left w:val="single" w:sz="2" w:space="0" w:color="auto"/>
              <w:bottom w:val="single" w:sz="2" w:space="0" w:color="auto"/>
              <w:right w:val="single" w:sz="2" w:space="0" w:color="auto"/>
            </w:tcBorders>
            <w:vAlign w:val="center"/>
          </w:tcPr>
          <w:p w14:paraId="0B63786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3,822,129.70</w:t>
            </w:r>
          </w:p>
        </w:tc>
      </w:tr>
      <w:tr w:rsidR="006C011D" w:rsidRPr="005A284F" w14:paraId="18E4EA4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62C78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四、净利润（净亏损以</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6F8C848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25,716,598.73</w:t>
            </w:r>
          </w:p>
        </w:tc>
        <w:tc>
          <w:tcPr>
            <w:tcW w:w="3213" w:type="dxa"/>
            <w:tcBorders>
              <w:top w:val="single" w:sz="2" w:space="0" w:color="auto"/>
              <w:left w:val="single" w:sz="2" w:space="0" w:color="auto"/>
              <w:bottom w:val="single" w:sz="2" w:space="0" w:color="auto"/>
              <w:right w:val="single" w:sz="2" w:space="0" w:color="auto"/>
            </w:tcBorders>
            <w:vAlign w:val="center"/>
          </w:tcPr>
          <w:p w14:paraId="7CC47C6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14,634,459.37</w:t>
            </w:r>
          </w:p>
        </w:tc>
      </w:tr>
      <w:tr w:rsidR="006C011D" w:rsidRPr="005A284F" w14:paraId="3C376CE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FBCF67"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（一）持续经营净利润（净亏损以</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77506BB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25,716,598.73</w:t>
            </w:r>
          </w:p>
        </w:tc>
        <w:tc>
          <w:tcPr>
            <w:tcW w:w="3213" w:type="dxa"/>
            <w:tcBorders>
              <w:top w:val="single" w:sz="2" w:space="0" w:color="auto"/>
              <w:left w:val="single" w:sz="2" w:space="0" w:color="auto"/>
              <w:bottom w:val="single" w:sz="2" w:space="0" w:color="auto"/>
              <w:right w:val="single" w:sz="2" w:space="0" w:color="auto"/>
            </w:tcBorders>
            <w:vAlign w:val="center"/>
          </w:tcPr>
          <w:p w14:paraId="63407E3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14,634,459.37</w:t>
            </w:r>
          </w:p>
        </w:tc>
      </w:tr>
      <w:tr w:rsidR="006C011D" w:rsidRPr="005A284F" w14:paraId="23A5C01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5ADBF3"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（二）终止经营净利润（净亏损以</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79B4CBE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80003FD"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7613A61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C6777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五、其他综合收益的税后净额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60E1CC8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170F92A"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120B7AC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D76E0F" w14:textId="77777777" w:rsidR="006C011D" w:rsidRPr="005A284F" w:rsidRDefault="00000000">
            <w:pPr>
              <w:spacing w:after="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（一）不能重分类进损益的其他综合收益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65A62E2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345A659"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4CB4290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72D579" w14:textId="77777777" w:rsidR="006C011D" w:rsidRPr="005A284F" w:rsidRDefault="00000000">
            <w:pPr>
              <w:spacing w:after="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重新计量设定受益计划变动额</w:t>
            </w:r>
          </w:p>
        </w:tc>
        <w:tc>
          <w:tcPr>
            <w:tcW w:w="3213" w:type="dxa"/>
            <w:tcBorders>
              <w:top w:val="single" w:sz="2" w:space="0" w:color="auto"/>
              <w:left w:val="single" w:sz="2" w:space="0" w:color="auto"/>
              <w:bottom w:val="single" w:sz="2" w:space="0" w:color="auto"/>
              <w:right w:val="single" w:sz="2" w:space="0" w:color="auto"/>
            </w:tcBorders>
            <w:vAlign w:val="center"/>
          </w:tcPr>
          <w:p w14:paraId="19747C5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4D2F956"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62B1D93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9650F3" w14:textId="77777777" w:rsidR="006C011D" w:rsidRPr="005A284F" w:rsidRDefault="00000000">
            <w:pPr>
              <w:spacing w:after="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权益法下不能转损益的其他综合收益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3FAC539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10FB57A"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26045E1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E61EC4" w14:textId="77777777" w:rsidR="006C011D" w:rsidRPr="005A284F" w:rsidRDefault="00000000">
            <w:pPr>
              <w:spacing w:after="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其他权益工具投资公允价值变动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2637299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D44086F"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5F92D61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9A9B69" w14:textId="77777777" w:rsidR="006C011D" w:rsidRPr="005A284F" w:rsidRDefault="00000000">
            <w:pPr>
              <w:spacing w:after="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企业自身信用风险公允价值变动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1648B2B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DFC9FFE"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451F1D9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2C5C9E" w14:textId="77777777" w:rsidR="006C011D" w:rsidRPr="005A284F" w:rsidRDefault="00000000">
            <w:pPr>
              <w:spacing w:after="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5.</w:t>
            </w:r>
            <w:r w:rsidRPr="005A284F">
              <w:rPr>
                <w:rFonts w:ascii="Times New Roman" w:eastAsia="宋体" w:hAnsi="Times New Roman" w:cs="Times New Roman"/>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03E9E39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ECC77DD"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220D78E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C0296A" w14:textId="77777777" w:rsidR="006C011D" w:rsidRPr="005A284F" w:rsidRDefault="00000000">
            <w:pPr>
              <w:spacing w:after="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（二）将重分类进损益的其他综合收益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48019A6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08C5109"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2F0139B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E4C77B" w14:textId="77777777" w:rsidR="006C011D" w:rsidRPr="005A284F" w:rsidRDefault="00000000">
            <w:pPr>
              <w:spacing w:after="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权益法下可转损益的其他综合收益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58C5A58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16C9E4A"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10CAF6E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105AED" w14:textId="77777777" w:rsidR="006C011D" w:rsidRPr="005A284F" w:rsidRDefault="00000000">
            <w:pPr>
              <w:spacing w:after="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其他债权投资公允价值变动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577D257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71236BD"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57F0030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6FF57B" w14:textId="77777777" w:rsidR="006C011D" w:rsidRPr="005A284F" w:rsidRDefault="00000000">
            <w:pPr>
              <w:spacing w:after="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金融资产重分类计入其他综合收益的金额</w:t>
            </w:r>
          </w:p>
        </w:tc>
        <w:tc>
          <w:tcPr>
            <w:tcW w:w="3213" w:type="dxa"/>
            <w:tcBorders>
              <w:top w:val="single" w:sz="2" w:space="0" w:color="auto"/>
              <w:left w:val="single" w:sz="2" w:space="0" w:color="auto"/>
              <w:bottom w:val="single" w:sz="2" w:space="0" w:color="auto"/>
              <w:right w:val="single" w:sz="2" w:space="0" w:color="auto"/>
            </w:tcBorders>
            <w:vAlign w:val="center"/>
          </w:tcPr>
          <w:p w14:paraId="4329548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39CF858"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6E206D0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B06907" w14:textId="77777777" w:rsidR="006C011D" w:rsidRPr="005A284F" w:rsidRDefault="00000000">
            <w:pPr>
              <w:spacing w:after="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其他债权投资信用减值准备</w:t>
            </w:r>
          </w:p>
        </w:tc>
        <w:tc>
          <w:tcPr>
            <w:tcW w:w="3213" w:type="dxa"/>
            <w:tcBorders>
              <w:top w:val="single" w:sz="2" w:space="0" w:color="auto"/>
              <w:left w:val="single" w:sz="2" w:space="0" w:color="auto"/>
              <w:bottom w:val="single" w:sz="2" w:space="0" w:color="auto"/>
              <w:right w:val="single" w:sz="2" w:space="0" w:color="auto"/>
            </w:tcBorders>
            <w:vAlign w:val="center"/>
          </w:tcPr>
          <w:p w14:paraId="63B9EA5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E5FD94E"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7BB20A7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03DB17" w14:textId="77777777" w:rsidR="006C011D" w:rsidRPr="005A284F" w:rsidRDefault="00000000">
            <w:pPr>
              <w:spacing w:after="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5.</w:t>
            </w:r>
            <w:r w:rsidRPr="005A284F">
              <w:rPr>
                <w:rFonts w:ascii="Times New Roman" w:eastAsia="宋体" w:hAnsi="Times New Roman" w:cs="Times New Roman"/>
                <w:sz w:val="18"/>
                <w:szCs w:val="18"/>
              </w:rPr>
              <w:t>现金流量套期储备</w:t>
            </w:r>
          </w:p>
        </w:tc>
        <w:tc>
          <w:tcPr>
            <w:tcW w:w="3213" w:type="dxa"/>
            <w:tcBorders>
              <w:top w:val="single" w:sz="2" w:space="0" w:color="auto"/>
              <w:left w:val="single" w:sz="2" w:space="0" w:color="auto"/>
              <w:bottom w:val="single" w:sz="2" w:space="0" w:color="auto"/>
              <w:right w:val="single" w:sz="2" w:space="0" w:color="auto"/>
            </w:tcBorders>
            <w:vAlign w:val="center"/>
          </w:tcPr>
          <w:p w14:paraId="47F9060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76A14F0"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573FF52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483172" w14:textId="77777777" w:rsidR="006C011D" w:rsidRPr="005A284F" w:rsidRDefault="00000000">
            <w:pPr>
              <w:spacing w:after="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6.</w:t>
            </w:r>
            <w:r w:rsidRPr="005A284F">
              <w:rPr>
                <w:rFonts w:ascii="Times New Roman" w:eastAsia="宋体" w:hAnsi="Times New Roman" w:cs="Times New Roman"/>
                <w:sz w:val="18"/>
                <w:szCs w:val="18"/>
              </w:rPr>
              <w:t>外币财务报表折算差额</w:t>
            </w:r>
          </w:p>
        </w:tc>
        <w:tc>
          <w:tcPr>
            <w:tcW w:w="3213" w:type="dxa"/>
            <w:tcBorders>
              <w:top w:val="single" w:sz="2" w:space="0" w:color="auto"/>
              <w:left w:val="single" w:sz="2" w:space="0" w:color="auto"/>
              <w:bottom w:val="single" w:sz="2" w:space="0" w:color="auto"/>
              <w:right w:val="single" w:sz="2" w:space="0" w:color="auto"/>
            </w:tcBorders>
            <w:vAlign w:val="center"/>
          </w:tcPr>
          <w:p w14:paraId="049DE7D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8D4D018"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7B87576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AC70C5" w14:textId="77777777" w:rsidR="006C011D" w:rsidRPr="005A284F" w:rsidRDefault="00000000">
            <w:pPr>
              <w:spacing w:after="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7.</w:t>
            </w:r>
            <w:r w:rsidRPr="005A284F">
              <w:rPr>
                <w:rFonts w:ascii="Times New Roman" w:eastAsia="宋体" w:hAnsi="Times New Roman" w:cs="Times New Roman"/>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316F17B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DEDEC1A"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697DC49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308F2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六、综合收益总额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6BF01CA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25,716,598.73</w:t>
            </w:r>
          </w:p>
        </w:tc>
        <w:tc>
          <w:tcPr>
            <w:tcW w:w="3213" w:type="dxa"/>
            <w:tcBorders>
              <w:top w:val="single" w:sz="2" w:space="0" w:color="auto"/>
              <w:left w:val="single" w:sz="2" w:space="0" w:color="auto"/>
              <w:bottom w:val="single" w:sz="2" w:space="0" w:color="auto"/>
              <w:right w:val="single" w:sz="2" w:space="0" w:color="auto"/>
            </w:tcBorders>
            <w:vAlign w:val="center"/>
          </w:tcPr>
          <w:p w14:paraId="75877AC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14,634,459.37</w:t>
            </w:r>
          </w:p>
        </w:tc>
      </w:tr>
      <w:tr w:rsidR="006C011D" w:rsidRPr="005A284F" w14:paraId="1776AB4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EB936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七、每股收益：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83636A" w14:textId="77777777" w:rsidR="006C011D" w:rsidRPr="005A284F" w:rsidRDefault="006C011D">
            <w:pPr>
              <w:rPr>
                <w:rFonts w:ascii="Times New Roman" w:eastAsia="宋体"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89906E" w14:textId="77777777" w:rsidR="006C011D" w:rsidRPr="005A284F" w:rsidRDefault="006C011D">
            <w:pPr>
              <w:rPr>
                <w:rFonts w:ascii="Times New Roman" w:eastAsia="宋体" w:hAnsi="Times New Roman" w:cs="Times New Roman"/>
              </w:rPr>
            </w:pPr>
          </w:p>
        </w:tc>
      </w:tr>
      <w:tr w:rsidR="006C011D" w:rsidRPr="005A284F" w14:paraId="40E4900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9551B4"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（一）基本每股收益</w:t>
            </w:r>
          </w:p>
        </w:tc>
        <w:tc>
          <w:tcPr>
            <w:tcW w:w="3213" w:type="dxa"/>
            <w:tcBorders>
              <w:top w:val="single" w:sz="2" w:space="0" w:color="auto"/>
              <w:left w:val="single" w:sz="2" w:space="0" w:color="auto"/>
              <w:bottom w:val="single" w:sz="2" w:space="0" w:color="auto"/>
              <w:right w:val="single" w:sz="2" w:space="0" w:color="auto"/>
            </w:tcBorders>
            <w:vAlign w:val="center"/>
          </w:tcPr>
          <w:p w14:paraId="016C45D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1C07F68"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26B5D5B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751F77"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（二）稀释每股收益</w:t>
            </w:r>
          </w:p>
        </w:tc>
        <w:tc>
          <w:tcPr>
            <w:tcW w:w="3213" w:type="dxa"/>
            <w:tcBorders>
              <w:top w:val="single" w:sz="2" w:space="0" w:color="auto"/>
              <w:left w:val="single" w:sz="2" w:space="0" w:color="auto"/>
              <w:bottom w:val="single" w:sz="2" w:space="0" w:color="auto"/>
              <w:right w:val="single" w:sz="2" w:space="0" w:color="auto"/>
            </w:tcBorders>
            <w:vAlign w:val="center"/>
          </w:tcPr>
          <w:p w14:paraId="7744D0B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60847C3" w14:textId="77777777" w:rsidR="006C011D" w:rsidRPr="005A284F" w:rsidRDefault="006C011D">
            <w:pPr>
              <w:spacing w:after="0" w:line="240" w:lineRule="exact"/>
              <w:jc w:val="right"/>
              <w:rPr>
                <w:rFonts w:ascii="Times New Roman" w:eastAsia="宋体" w:hAnsi="Times New Roman" w:cs="Times New Roman"/>
                <w:sz w:val="18"/>
                <w:szCs w:val="18"/>
              </w:rPr>
            </w:pPr>
          </w:p>
        </w:tc>
      </w:tr>
    </w:tbl>
    <w:p w14:paraId="28D57B98" w14:textId="77777777" w:rsidR="006C011D" w:rsidRPr="005A284F" w:rsidRDefault="00000000">
      <w:pPr>
        <w:pStyle w:val="3"/>
        <w:spacing w:line="280" w:lineRule="exact"/>
        <w:jc w:val="left"/>
        <w:rPr>
          <w:rFonts w:ascii="Times New Roman" w:hAnsi="Times New Roman" w:cs="Times New Roman"/>
          <w:b/>
          <w:bCs/>
        </w:rPr>
      </w:pPr>
      <w:bookmarkStart w:id="106" w:name="_Toc988995"/>
      <w:r w:rsidRPr="005A284F">
        <w:rPr>
          <w:rFonts w:ascii="Times New Roman" w:hAnsi="Times New Roman" w:cs="Times New Roman"/>
          <w:b/>
          <w:bCs/>
        </w:rPr>
        <w:t>5</w:t>
      </w:r>
      <w:r w:rsidRPr="005A284F">
        <w:rPr>
          <w:rFonts w:ascii="Times New Roman" w:hAnsi="Times New Roman" w:cs="Times New Roman"/>
          <w:b/>
          <w:bCs/>
        </w:rPr>
        <w:t>、合并现金流量表</w:t>
      </w:r>
      <w:bookmarkEnd w:id="106"/>
    </w:p>
    <w:p w14:paraId="20F33815"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14817DD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BB4A82" w14:textId="77777777" w:rsidR="006C011D" w:rsidRPr="005A284F" w:rsidRDefault="00000000">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261EA5" w14:textId="77777777" w:rsidR="006C011D" w:rsidRPr="005A284F" w:rsidRDefault="00000000">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年半年度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724303" w14:textId="77777777" w:rsidR="006C011D" w:rsidRPr="005A284F" w:rsidRDefault="00000000">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年半年度</w:t>
            </w:r>
          </w:p>
        </w:tc>
      </w:tr>
      <w:tr w:rsidR="006C011D" w:rsidRPr="005A284F" w14:paraId="24B4868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C674D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7CD849" w14:textId="77777777" w:rsidR="006C011D" w:rsidRPr="005A284F" w:rsidRDefault="006C011D">
            <w:pPr>
              <w:rPr>
                <w:rFonts w:ascii="Times New Roman" w:eastAsia="宋体"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82383E" w14:textId="77777777" w:rsidR="006C011D" w:rsidRPr="005A284F" w:rsidRDefault="006C011D">
            <w:pPr>
              <w:rPr>
                <w:rFonts w:ascii="Times New Roman" w:eastAsia="宋体" w:hAnsi="Times New Roman" w:cs="Times New Roman"/>
              </w:rPr>
            </w:pPr>
          </w:p>
        </w:tc>
      </w:tr>
      <w:tr w:rsidR="006C011D" w:rsidRPr="005A284F" w14:paraId="2D49ABC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9ABBDF"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17261C0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5,411,653,240.66</w:t>
            </w:r>
          </w:p>
        </w:tc>
        <w:tc>
          <w:tcPr>
            <w:tcW w:w="3213" w:type="dxa"/>
            <w:tcBorders>
              <w:top w:val="single" w:sz="2" w:space="0" w:color="auto"/>
              <w:left w:val="single" w:sz="2" w:space="0" w:color="auto"/>
              <w:bottom w:val="single" w:sz="2" w:space="0" w:color="auto"/>
              <w:right w:val="single" w:sz="2" w:space="0" w:color="auto"/>
            </w:tcBorders>
            <w:vAlign w:val="center"/>
          </w:tcPr>
          <w:p w14:paraId="2C0DECF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5,576,758,172.42</w:t>
            </w:r>
          </w:p>
        </w:tc>
      </w:tr>
      <w:tr w:rsidR="006C011D" w:rsidRPr="005A284F" w14:paraId="3D2D674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50EE60"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客户存款和同业存放款项净增加额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01D5D25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2F2F1A8"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4C36659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E067A2"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向中央银行借款净增加额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68F4774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591FA27"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761D528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E406E7"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向其他金融机构拆入资金净增加额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0FE9BCD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4FE2D52"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5B1307C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F386D7"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收到原保险合同保费取得的现金</w:t>
            </w:r>
          </w:p>
        </w:tc>
        <w:tc>
          <w:tcPr>
            <w:tcW w:w="3213" w:type="dxa"/>
            <w:tcBorders>
              <w:top w:val="single" w:sz="2" w:space="0" w:color="auto"/>
              <w:left w:val="single" w:sz="2" w:space="0" w:color="auto"/>
              <w:bottom w:val="single" w:sz="2" w:space="0" w:color="auto"/>
              <w:right w:val="single" w:sz="2" w:space="0" w:color="auto"/>
            </w:tcBorders>
            <w:vAlign w:val="center"/>
          </w:tcPr>
          <w:p w14:paraId="6288CDB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54960CA"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6EC6834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1DB0A4"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收到再保业务现金净额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020E2D2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4E776D3"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1A4F4C5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A7FB1C"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保户储金及投资款净增加额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57594EC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830919F"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2D74443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317030"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收取利息、手续费及佣金的现金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14:paraId="56A9CA9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ACCCA28"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4762649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68AF3D"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2B17B42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766A205"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58F439A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B9FFB3"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回购业务资金净增加额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0E933FC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201C520"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5102D3C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55DF58"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代理买卖证券收到的现金净额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7565F49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365BCA4"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6432BDD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83E204"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14:paraId="0282BA6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1,947.68</w:t>
            </w:r>
          </w:p>
        </w:tc>
        <w:tc>
          <w:tcPr>
            <w:tcW w:w="3213" w:type="dxa"/>
            <w:tcBorders>
              <w:top w:val="single" w:sz="2" w:space="0" w:color="auto"/>
              <w:left w:val="single" w:sz="2" w:space="0" w:color="auto"/>
              <w:bottom w:val="single" w:sz="2" w:space="0" w:color="auto"/>
              <w:right w:val="single" w:sz="2" w:space="0" w:color="auto"/>
            </w:tcBorders>
            <w:vAlign w:val="center"/>
          </w:tcPr>
          <w:p w14:paraId="6C35BA2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5,759,926.35</w:t>
            </w:r>
          </w:p>
        </w:tc>
      </w:tr>
      <w:tr w:rsidR="006C011D" w:rsidRPr="005A284F" w14:paraId="585962E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A8B11A"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279EF27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63,374,535.03</w:t>
            </w:r>
          </w:p>
        </w:tc>
        <w:tc>
          <w:tcPr>
            <w:tcW w:w="3213" w:type="dxa"/>
            <w:tcBorders>
              <w:top w:val="single" w:sz="2" w:space="0" w:color="auto"/>
              <w:left w:val="single" w:sz="2" w:space="0" w:color="auto"/>
              <w:bottom w:val="single" w:sz="2" w:space="0" w:color="auto"/>
              <w:right w:val="single" w:sz="2" w:space="0" w:color="auto"/>
            </w:tcBorders>
            <w:vAlign w:val="center"/>
          </w:tcPr>
          <w:p w14:paraId="17C76AD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73,549,933.70</w:t>
            </w:r>
          </w:p>
        </w:tc>
      </w:tr>
      <w:tr w:rsidR="006C011D" w:rsidRPr="005A284F" w14:paraId="735255D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346B1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0DFC76F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5,475,029,723.37</w:t>
            </w:r>
          </w:p>
        </w:tc>
        <w:tc>
          <w:tcPr>
            <w:tcW w:w="3213" w:type="dxa"/>
            <w:tcBorders>
              <w:top w:val="single" w:sz="2" w:space="0" w:color="auto"/>
              <w:left w:val="single" w:sz="2" w:space="0" w:color="auto"/>
              <w:bottom w:val="single" w:sz="2" w:space="0" w:color="auto"/>
              <w:right w:val="single" w:sz="2" w:space="0" w:color="auto"/>
            </w:tcBorders>
            <w:vAlign w:val="center"/>
          </w:tcPr>
          <w:p w14:paraId="296DC60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5,656,068,032.47</w:t>
            </w:r>
          </w:p>
        </w:tc>
      </w:tr>
      <w:tr w:rsidR="006C011D" w:rsidRPr="005A284F" w14:paraId="3AC09C5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B37FB5"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5937069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4,954,631,546.04</w:t>
            </w:r>
          </w:p>
        </w:tc>
        <w:tc>
          <w:tcPr>
            <w:tcW w:w="3213" w:type="dxa"/>
            <w:tcBorders>
              <w:top w:val="single" w:sz="2" w:space="0" w:color="auto"/>
              <w:left w:val="single" w:sz="2" w:space="0" w:color="auto"/>
              <w:bottom w:val="single" w:sz="2" w:space="0" w:color="auto"/>
              <w:right w:val="single" w:sz="2" w:space="0" w:color="auto"/>
            </w:tcBorders>
            <w:vAlign w:val="center"/>
          </w:tcPr>
          <w:p w14:paraId="2F03AAE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5,066,007,937.51</w:t>
            </w:r>
          </w:p>
        </w:tc>
      </w:tr>
      <w:tr w:rsidR="006C011D" w:rsidRPr="005A284F" w14:paraId="4A93A5A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3B6EF6"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客户贷款及垫款净增加额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251C784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040373B"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61AA155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47D67C"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存放中央银行和同业款项净增加额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67FC177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D1CB720"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6CAC2E3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02DA0B"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支付原保险合同赔付款项的现金</w:t>
            </w:r>
          </w:p>
        </w:tc>
        <w:tc>
          <w:tcPr>
            <w:tcW w:w="3213" w:type="dxa"/>
            <w:tcBorders>
              <w:top w:val="single" w:sz="2" w:space="0" w:color="auto"/>
              <w:left w:val="single" w:sz="2" w:space="0" w:color="auto"/>
              <w:bottom w:val="single" w:sz="2" w:space="0" w:color="auto"/>
              <w:right w:val="single" w:sz="2" w:space="0" w:color="auto"/>
            </w:tcBorders>
            <w:vAlign w:val="center"/>
          </w:tcPr>
          <w:p w14:paraId="6973AD7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5D377EB"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5EA4911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76B905"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拆出资金净增加额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79A4CD2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25F574A"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21BE624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600091"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支付利息、手续费及佣金的现金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14:paraId="00029E4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F7E0CCF"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00252B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CE0A67"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支付保单红利的现金</w:t>
            </w:r>
          </w:p>
        </w:tc>
        <w:tc>
          <w:tcPr>
            <w:tcW w:w="3213" w:type="dxa"/>
            <w:tcBorders>
              <w:top w:val="single" w:sz="2" w:space="0" w:color="auto"/>
              <w:left w:val="single" w:sz="2" w:space="0" w:color="auto"/>
              <w:bottom w:val="single" w:sz="2" w:space="0" w:color="auto"/>
              <w:right w:val="single" w:sz="2" w:space="0" w:color="auto"/>
            </w:tcBorders>
            <w:vAlign w:val="center"/>
          </w:tcPr>
          <w:p w14:paraId="3E71D08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F58E2D2"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389529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2C8B80"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支付给职工以及为职工支付的现金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6BF096D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229,607,632.90</w:t>
            </w:r>
          </w:p>
        </w:tc>
        <w:tc>
          <w:tcPr>
            <w:tcW w:w="3213" w:type="dxa"/>
            <w:tcBorders>
              <w:top w:val="single" w:sz="2" w:space="0" w:color="auto"/>
              <w:left w:val="single" w:sz="2" w:space="0" w:color="auto"/>
              <w:bottom w:val="single" w:sz="2" w:space="0" w:color="auto"/>
              <w:right w:val="single" w:sz="2" w:space="0" w:color="auto"/>
            </w:tcBorders>
            <w:vAlign w:val="center"/>
          </w:tcPr>
          <w:p w14:paraId="07D7F97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226,303,104.17</w:t>
            </w:r>
          </w:p>
        </w:tc>
      </w:tr>
      <w:tr w:rsidR="006C011D" w:rsidRPr="005A284F" w14:paraId="6F2EC3A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3181CE"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14:paraId="744DA2B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42,067,819.75</w:t>
            </w:r>
          </w:p>
        </w:tc>
        <w:tc>
          <w:tcPr>
            <w:tcW w:w="3213" w:type="dxa"/>
            <w:tcBorders>
              <w:top w:val="single" w:sz="2" w:space="0" w:color="auto"/>
              <w:left w:val="single" w:sz="2" w:space="0" w:color="auto"/>
              <w:bottom w:val="single" w:sz="2" w:space="0" w:color="auto"/>
              <w:right w:val="single" w:sz="2" w:space="0" w:color="auto"/>
            </w:tcBorders>
            <w:vAlign w:val="center"/>
          </w:tcPr>
          <w:p w14:paraId="6168090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15,151,254.58</w:t>
            </w:r>
          </w:p>
        </w:tc>
      </w:tr>
      <w:tr w:rsidR="006C011D" w:rsidRPr="005A284F" w14:paraId="348E84A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15D342"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10567E4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135,334,743.87</w:t>
            </w:r>
          </w:p>
        </w:tc>
        <w:tc>
          <w:tcPr>
            <w:tcW w:w="3213" w:type="dxa"/>
            <w:tcBorders>
              <w:top w:val="single" w:sz="2" w:space="0" w:color="auto"/>
              <w:left w:val="single" w:sz="2" w:space="0" w:color="auto"/>
              <w:bottom w:val="single" w:sz="2" w:space="0" w:color="auto"/>
              <w:right w:val="single" w:sz="2" w:space="0" w:color="auto"/>
            </w:tcBorders>
            <w:vAlign w:val="center"/>
          </w:tcPr>
          <w:p w14:paraId="6137CBB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127,080,503.16</w:t>
            </w:r>
          </w:p>
        </w:tc>
      </w:tr>
      <w:tr w:rsidR="006C011D" w:rsidRPr="005A284F" w14:paraId="22B7281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846A8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24F70DF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5,361,641,742.56</w:t>
            </w:r>
          </w:p>
        </w:tc>
        <w:tc>
          <w:tcPr>
            <w:tcW w:w="3213" w:type="dxa"/>
            <w:tcBorders>
              <w:top w:val="single" w:sz="2" w:space="0" w:color="auto"/>
              <w:left w:val="single" w:sz="2" w:space="0" w:color="auto"/>
              <w:bottom w:val="single" w:sz="2" w:space="0" w:color="auto"/>
              <w:right w:val="single" w:sz="2" w:space="0" w:color="auto"/>
            </w:tcBorders>
            <w:vAlign w:val="center"/>
          </w:tcPr>
          <w:p w14:paraId="34E07A0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5,434,542,799.42</w:t>
            </w:r>
          </w:p>
        </w:tc>
      </w:tr>
      <w:tr w:rsidR="006C011D" w:rsidRPr="005A284F" w14:paraId="08EB0A2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895B8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1B8A640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113,387,980.81</w:t>
            </w:r>
          </w:p>
        </w:tc>
        <w:tc>
          <w:tcPr>
            <w:tcW w:w="3213" w:type="dxa"/>
            <w:tcBorders>
              <w:top w:val="single" w:sz="2" w:space="0" w:color="auto"/>
              <w:left w:val="single" w:sz="2" w:space="0" w:color="auto"/>
              <w:bottom w:val="single" w:sz="2" w:space="0" w:color="auto"/>
              <w:right w:val="single" w:sz="2" w:space="0" w:color="auto"/>
            </w:tcBorders>
            <w:vAlign w:val="center"/>
          </w:tcPr>
          <w:p w14:paraId="272D1E2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221,525,233.05</w:t>
            </w:r>
          </w:p>
        </w:tc>
      </w:tr>
      <w:tr w:rsidR="006C011D" w:rsidRPr="005A284F" w14:paraId="6B247D4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F0317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A557EE" w14:textId="77777777" w:rsidR="006C011D" w:rsidRPr="005A284F" w:rsidRDefault="006C011D">
            <w:pPr>
              <w:rPr>
                <w:rFonts w:ascii="Times New Roman" w:eastAsia="宋体"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2AE874" w14:textId="77777777" w:rsidR="006C011D" w:rsidRPr="005A284F" w:rsidRDefault="006C011D">
            <w:pPr>
              <w:rPr>
                <w:rFonts w:ascii="Times New Roman" w:eastAsia="宋体" w:hAnsi="Times New Roman" w:cs="Times New Roman"/>
              </w:rPr>
            </w:pPr>
          </w:p>
        </w:tc>
      </w:tr>
      <w:tr w:rsidR="006C011D" w:rsidRPr="005A284F" w14:paraId="6F7C759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E8315D"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73BAABC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66,174,220.76</w:t>
            </w:r>
          </w:p>
        </w:tc>
        <w:tc>
          <w:tcPr>
            <w:tcW w:w="3213" w:type="dxa"/>
            <w:tcBorders>
              <w:top w:val="single" w:sz="2" w:space="0" w:color="auto"/>
              <w:left w:val="single" w:sz="2" w:space="0" w:color="auto"/>
              <w:bottom w:val="single" w:sz="2" w:space="0" w:color="auto"/>
              <w:right w:val="single" w:sz="2" w:space="0" w:color="auto"/>
            </w:tcBorders>
            <w:vAlign w:val="center"/>
          </w:tcPr>
          <w:p w14:paraId="5B5BE567"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387083B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B8CFAB"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11039F7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309C251"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2AEDB09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7967E8"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7F940F1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316.92</w:t>
            </w:r>
          </w:p>
        </w:tc>
        <w:tc>
          <w:tcPr>
            <w:tcW w:w="3213" w:type="dxa"/>
            <w:tcBorders>
              <w:top w:val="single" w:sz="2" w:space="0" w:color="auto"/>
              <w:left w:val="single" w:sz="2" w:space="0" w:color="auto"/>
              <w:bottom w:val="single" w:sz="2" w:space="0" w:color="auto"/>
              <w:right w:val="single" w:sz="2" w:space="0" w:color="auto"/>
            </w:tcBorders>
            <w:vAlign w:val="center"/>
          </w:tcPr>
          <w:p w14:paraId="6E14B19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363,500.00</w:t>
            </w:r>
          </w:p>
        </w:tc>
      </w:tr>
      <w:tr w:rsidR="006C011D" w:rsidRPr="005A284F" w14:paraId="60DBE74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9D713D"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处置子公司及其他营业单位收到的现金净额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620E3B2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14:paraId="57011DAA"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150D446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45B8C2"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60CDDC5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48BDF9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r>
      <w:tr w:rsidR="006C011D" w:rsidRPr="005A284F" w14:paraId="2E86F5B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04EA4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0C9C394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66,174,537.68</w:t>
            </w:r>
          </w:p>
        </w:tc>
        <w:tc>
          <w:tcPr>
            <w:tcW w:w="3213" w:type="dxa"/>
            <w:tcBorders>
              <w:top w:val="single" w:sz="2" w:space="0" w:color="auto"/>
              <w:left w:val="single" w:sz="2" w:space="0" w:color="auto"/>
              <w:bottom w:val="single" w:sz="2" w:space="0" w:color="auto"/>
              <w:right w:val="single" w:sz="2" w:space="0" w:color="auto"/>
            </w:tcBorders>
            <w:vAlign w:val="center"/>
          </w:tcPr>
          <w:p w14:paraId="604E14F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363,500.00</w:t>
            </w:r>
          </w:p>
        </w:tc>
      </w:tr>
      <w:tr w:rsidR="006C011D" w:rsidRPr="005A284F" w14:paraId="00DC4E0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8E1B5F"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购建固定资产、无形资产和其他长期资产支付的现金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08BCB87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63,413,422.58</w:t>
            </w:r>
          </w:p>
        </w:tc>
        <w:tc>
          <w:tcPr>
            <w:tcW w:w="3213" w:type="dxa"/>
            <w:tcBorders>
              <w:top w:val="single" w:sz="2" w:space="0" w:color="auto"/>
              <w:left w:val="single" w:sz="2" w:space="0" w:color="auto"/>
              <w:bottom w:val="single" w:sz="2" w:space="0" w:color="auto"/>
              <w:right w:val="single" w:sz="2" w:space="0" w:color="auto"/>
            </w:tcBorders>
            <w:vAlign w:val="center"/>
          </w:tcPr>
          <w:p w14:paraId="4AFDACD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78,768,006.26</w:t>
            </w:r>
          </w:p>
        </w:tc>
      </w:tr>
      <w:tr w:rsidR="006C011D" w:rsidRPr="005A284F" w14:paraId="648C2DA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AA5CE7"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08BAD52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14:paraId="028FDFD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27,440,000.00</w:t>
            </w:r>
          </w:p>
        </w:tc>
      </w:tr>
      <w:tr w:rsidR="006C011D" w:rsidRPr="005A284F" w14:paraId="7AC12D7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C0A511"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质押贷款净增加额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29896F3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87C7C81"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045293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F913F4"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717F51A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C6B6D19"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4B1349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4B8B68"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052FFFD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14:paraId="1D774C2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r>
      <w:tr w:rsidR="006C011D" w:rsidRPr="005A284F" w14:paraId="75BA9A3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3C003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21E20D8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63,413,422.58</w:t>
            </w:r>
          </w:p>
        </w:tc>
        <w:tc>
          <w:tcPr>
            <w:tcW w:w="3213" w:type="dxa"/>
            <w:tcBorders>
              <w:top w:val="single" w:sz="2" w:space="0" w:color="auto"/>
              <w:left w:val="single" w:sz="2" w:space="0" w:color="auto"/>
              <w:bottom w:val="single" w:sz="2" w:space="0" w:color="auto"/>
              <w:right w:val="single" w:sz="2" w:space="0" w:color="auto"/>
            </w:tcBorders>
            <w:vAlign w:val="center"/>
          </w:tcPr>
          <w:p w14:paraId="782D1CE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106,208,006.26</w:t>
            </w:r>
          </w:p>
        </w:tc>
      </w:tr>
      <w:tr w:rsidR="006C011D" w:rsidRPr="005A284F" w14:paraId="0352A01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BC0B9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5314D22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2,761,115.10</w:t>
            </w:r>
          </w:p>
        </w:tc>
        <w:tc>
          <w:tcPr>
            <w:tcW w:w="3213" w:type="dxa"/>
            <w:tcBorders>
              <w:top w:val="single" w:sz="2" w:space="0" w:color="auto"/>
              <w:left w:val="single" w:sz="2" w:space="0" w:color="auto"/>
              <w:bottom w:val="single" w:sz="2" w:space="0" w:color="auto"/>
              <w:right w:val="single" w:sz="2" w:space="0" w:color="auto"/>
            </w:tcBorders>
            <w:vAlign w:val="center"/>
          </w:tcPr>
          <w:p w14:paraId="60CF148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-105,844,506.26</w:t>
            </w:r>
          </w:p>
        </w:tc>
      </w:tr>
      <w:tr w:rsidR="006C011D" w:rsidRPr="005A284F" w14:paraId="477AA9A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D526B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3A29F2" w14:textId="77777777" w:rsidR="006C011D" w:rsidRPr="005A284F" w:rsidRDefault="006C011D">
            <w:pPr>
              <w:rPr>
                <w:rFonts w:ascii="Times New Roman" w:eastAsia="宋体"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680AFF" w14:textId="77777777" w:rsidR="006C011D" w:rsidRPr="005A284F" w:rsidRDefault="006C011D">
            <w:pPr>
              <w:rPr>
                <w:rFonts w:ascii="Times New Roman" w:eastAsia="宋体" w:hAnsi="Times New Roman" w:cs="Times New Roman"/>
              </w:rPr>
            </w:pPr>
          </w:p>
        </w:tc>
      </w:tr>
      <w:tr w:rsidR="006C011D" w:rsidRPr="005A284F" w14:paraId="476BD4C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CA9341"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417FF19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14:paraId="6463100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r>
      <w:tr w:rsidR="006C011D" w:rsidRPr="005A284F" w14:paraId="0064070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CDF0FE"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其中：子公司吸收少数股东投资收到的现金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0DA303F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1DAC27D"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6532269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6DAA27"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4225462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295,894,330.09</w:t>
            </w:r>
          </w:p>
        </w:tc>
        <w:tc>
          <w:tcPr>
            <w:tcW w:w="3213" w:type="dxa"/>
            <w:tcBorders>
              <w:top w:val="single" w:sz="2" w:space="0" w:color="auto"/>
              <w:left w:val="single" w:sz="2" w:space="0" w:color="auto"/>
              <w:bottom w:val="single" w:sz="2" w:space="0" w:color="auto"/>
              <w:right w:val="single" w:sz="2" w:space="0" w:color="auto"/>
            </w:tcBorders>
            <w:vAlign w:val="center"/>
          </w:tcPr>
          <w:p w14:paraId="2B011FE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299,698,973.77</w:t>
            </w:r>
          </w:p>
        </w:tc>
      </w:tr>
      <w:tr w:rsidR="006C011D" w:rsidRPr="005A284F" w14:paraId="6B6C712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FEDC0C"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7F4CA1D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762,545,827.28</w:t>
            </w:r>
          </w:p>
        </w:tc>
        <w:tc>
          <w:tcPr>
            <w:tcW w:w="3213" w:type="dxa"/>
            <w:tcBorders>
              <w:top w:val="single" w:sz="2" w:space="0" w:color="auto"/>
              <w:left w:val="single" w:sz="2" w:space="0" w:color="auto"/>
              <w:bottom w:val="single" w:sz="2" w:space="0" w:color="auto"/>
              <w:right w:val="single" w:sz="2" w:space="0" w:color="auto"/>
            </w:tcBorders>
            <w:vAlign w:val="center"/>
          </w:tcPr>
          <w:p w14:paraId="39EA452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765,070,868.05</w:t>
            </w:r>
          </w:p>
        </w:tc>
      </w:tr>
      <w:tr w:rsidR="006C011D" w:rsidRPr="005A284F" w14:paraId="48B44AA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3D48D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5C206D7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1,058,440,157.37</w:t>
            </w:r>
          </w:p>
        </w:tc>
        <w:tc>
          <w:tcPr>
            <w:tcW w:w="3213" w:type="dxa"/>
            <w:tcBorders>
              <w:top w:val="single" w:sz="2" w:space="0" w:color="auto"/>
              <w:left w:val="single" w:sz="2" w:space="0" w:color="auto"/>
              <w:bottom w:val="single" w:sz="2" w:space="0" w:color="auto"/>
              <w:right w:val="single" w:sz="2" w:space="0" w:color="auto"/>
            </w:tcBorders>
            <w:vAlign w:val="center"/>
          </w:tcPr>
          <w:p w14:paraId="6315719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1,064,769,841.82</w:t>
            </w:r>
          </w:p>
        </w:tc>
      </w:tr>
      <w:tr w:rsidR="006C011D" w:rsidRPr="005A284F" w14:paraId="148BBB2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A0F8D4"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0576C92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376,882,100.00</w:t>
            </w:r>
          </w:p>
        </w:tc>
        <w:tc>
          <w:tcPr>
            <w:tcW w:w="3213" w:type="dxa"/>
            <w:tcBorders>
              <w:top w:val="single" w:sz="2" w:space="0" w:color="auto"/>
              <w:left w:val="single" w:sz="2" w:space="0" w:color="auto"/>
              <w:bottom w:val="single" w:sz="2" w:space="0" w:color="auto"/>
              <w:right w:val="single" w:sz="2" w:space="0" w:color="auto"/>
            </w:tcBorders>
            <w:vAlign w:val="center"/>
          </w:tcPr>
          <w:p w14:paraId="390F21A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540,386,000.00</w:t>
            </w:r>
          </w:p>
        </w:tc>
      </w:tr>
      <w:tr w:rsidR="006C011D" w:rsidRPr="005A284F" w14:paraId="7C8AF97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97575A"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7BFEFA8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27,898,707.58</w:t>
            </w:r>
          </w:p>
        </w:tc>
        <w:tc>
          <w:tcPr>
            <w:tcW w:w="3213" w:type="dxa"/>
            <w:tcBorders>
              <w:top w:val="single" w:sz="2" w:space="0" w:color="auto"/>
              <w:left w:val="single" w:sz="2" w:space="0" w:color="auto"/>
              <w:bottom w:val="single" w:sz="2" w:space="0" w:color="auto"/>
              <w:right w:val="single" w:sz="2" w:space="0" w:color="auto"/>
            </w:tcBorders>
            <w:vAlign w:val="center"/>
          </w:tcPr>
          <w:p w14:paraId="7FDDD6E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35,137,258.47</w:t>
            </w:r>
          </w:p>
        </w:tc>
      </w:tr>
      <w:tr w:rsidR="006C011D" w:rsidRPr="005A284F" w14:paraId="44B649D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91536C"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其中：子公司支付给少数股东的股利、利润</w:t>
            </w:r>
          </w:p>
        </w:tc>
        <w:tc>
          <w:tcPr>
            <w:tcW w:w="3213" w:type="dxa"/>
            <w:tcBorders>
              <w:top w:val="single" w:sz="2" w:space="0" w:color="auto"/>
              <w:left w:val="single" w:sz="2" w:space="0" w:color="auto"/>
              <w:bottom w:val="single" w:sz="2" w:space="0" w:color="auto"/>
              <w:right w:val="single" w:sz="2" w:space="0" w:color="auto"/>
            </w:tcBorders>
            <w:vAlign w:val="center"/>
          </w:tcPr>
          <w:p w14:paraId="343A468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AB173DA"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2F279B5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3C6AB2"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48D5E61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737,366,206.49</w:t>
            </w:r>
          </w:p>
        </w:tc>
        <w:tc>
          <w:tcPr>
            <w:tcW w:w="3213" w:type="dxa"/>
            <w:tcBorders>
              <w:top w:val="single" w:sz="2" w:space="0" w:color="auto"/>
              <w:left w:val="single" w:sz="2" w:space="0" w:color="auto"/>
              <w:bottom w:val="single" w:sz="2" w:space="0" w:color="auto"/>
              <w:right w:val="single" w:sz="2" w:space="0" w:color="auto"/>
            </w:tcBorders>
            <w:vAlign w:val="center"/>
          </w:tcPr>
          <w:p w14:paraId="50E9A9E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850,300,659.39</w:t>
            </w:r>
          </w:p>
        </w:tc>
      </w:tr>
      <w:tr w:rsidR="006C011D" w:rsidRPr="005A284F" w14:paraId="387325F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7F610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3ABB00A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1,142,147,014.07</w:t>
            </w:r>
          </w:p>
        </w:tc>
        <w:tc>
          <w:tcPr>
            <w:tcW w:w="3213" w:type="dxa"/>
            <w:tcBorders>
              <w:top w:val="single" w:sz="2" w:space="0" w:color="auto"/>
              <w:left w:val="single" w:sz="2" w:space="0" w:color="auto"/>
              <w:bottom w:val="single" w:sz="2" w:space="0" w:color="auto"/>
              <w:right w:val="single" w:sz="2" w:space="0" w:color="auto"/>
            </w:tcBorders>
            <w:vAlign w:val="center"/>
          </w:tcPr>
          <w:p w14:paraId="33149A6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1,425,823,917.86</w:t>
            </w:r>
          </w:p>
        </w:tc>
      </w:tr>
      <w:tr w:rsidR="006C011D" w:rsidRPr="005A284F" w14:paraId="6106A4E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83A34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391BF05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-83,706,856.70</w:t>
            </w:r>
          </w:p>
        </w:tc>
        <w:tc>
          <w:tcPr>
            <w:tcW w:w="3213" w:type="dxa"/>
            <w:tcBorders>
              <w:top w:val="single" w:sz="2" w:space="0" w:color="auto"/>
              <w:left w:val="single" w:sz="2" w:space="0" w:color="auto"/>
              <w:bottom w:val="single" w:sz="2" w:space="0" w:color="auto"/>
              <w:right w:val="single" w:sz="2" w:space="0" w:color="auto"/>
            </w:tcBorders>
            <w:vAlign w:val="center"/>
          </w:tcPr>
          <w:p w14:paraId="7FE0757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-361,054,076.04</w:t>
            </w:r>
          </w:p>
        </w:tc>
      </w:tr>
      <w:tr w:rsidR="006C011D" w:rsidRPr="005A284F" w14:paraId="68A8279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F2048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14:paraId="1DA435C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-751.61</w:t>
            </w:r>
          </w:p>
        </w:tc>
        <w:tc>
          <w:tcPr>
            <w:tcW w:w="3213" w:type="dxa"/>
            <w:tcBorders>
              <w:top w:val="single" w:sz="2" w:space="0" w:color="auto"/>
              <w:left w:val="single" w:sz="2" w:space="0" w:color="auto"/>
              <w:bottom w:val="single" w:sz="2" w:space="0" w:color="auto"/>
              <w:right w:val="single" w:sz="2" w:space="0" w:color="auto"/>
            </w:tcBorders>
            <w:vAlign w:val="center"/>
          </w:tcPr>
          <w:p w14:paraId="3FB0473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570.08</w:t>
            </w:r>
          </w:p>
        </w:tc>
      </w:tr>
      <w:tr w:rsidR="006C011D" w:rsidRPr="005A284F" w14:paraId="44A19B0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03072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0D3600F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32,441,487.60</w:t>
            </w:r>
          </w:p>
        </w:tc>
        <w:tc>
          <w:tcPr>
            <w:tcW w:w="3213" w:type="dxa"/>
            <w:tcBorders>
              <w:top w:val="single" w:sz="2" w:space="0" w:color="auto"/>
              <w:left w:val="single" w:sz="2" w:space="0" w:color="auto"/>
              <w:bottom w:val="single" w:sz="2" w:space="0" w:color="auto"/>
              <w:right w:val="single" w:sz="2" w:space="0" w:color="auto"/>
            </w:tcBorders>
            <w:vAlign w:val="center"/>
          </w:tcPr>
          <w:p w14:paraId="6BD0CEF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-245,372,779.17</w:t>
            </w:r>
          </w:p>
        </w:tc>
      </w:tr>
      <w:tr w:rsidR="006C011D" w:rsidRPr="005A284F" w14:paraId="35CD61B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C50A3A"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14:paraId="50260CC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618,065,015.97</w:t>
            </w:r>
          </w:p>
        </w:tc>
        <w:tc>
          <w:tcPr>
            <w:tcW w:w="3213" w:type="dxa"/>
            <w:tcBorders>
              <w:top w:val="single" w:sz="2" w:space="0" w:color="auto"/>
              <w:left w:val="single" w:sz="2" w:space="0" w:color="auto"/>
              <w:bottom w:val="single" w:sz="2" w:space="0" w:color="auto"/>
              <w:right w:val="single" w:sz="2" w:space="0" w:color="auto"/>
            </w:tcBorders>
            <w:vAlign w:val="center"/>
          </w:tcPr>
          <w:p w14:paraId="5EC48FC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903,314,576.39</w:t>
            </w:r>
          </w:p>
        </w:tc>
      </w:tr>
      <w:tr w:rsidR="006C011D" w:rsidRPr="005A284F" w14:paraId="4351B8B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2ABD2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14:paraId="39A7CE9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650,506,503.57</w:t>
            </w:r>
          </w:p>
        </w:tc>
        <w:tc>
          <w:tcPr>
            <w:tcW w:w="3213" w:type="dxa"/>
            <w:tcBorders>
              <w:top w:val="single" w:sz="2" w:space="0" w:color="auto"/>
              <w:left w:val="single" w:sz="2" w:space="0" w:color="auto"/>
              <w:bottom w:val="single" w:sz="2" w:space="0" w:color="auto"/>
              <w:right w:val="single" w:sz="2" w:space="0" w:color="auto"/>
            </w:tcBorders>
            <w:vAlign w:val="center"/>
          </w:tcPr>
          <w:p w14:paraId="75AE85D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657,941,797.22</w:t>
            </w:r>
          </w:p>
        </w:tc>
      </w:tr>
    </w:tbl>
    <w:p w14:paraId="652F34FA" w14:textId="77777777" w:rsidR="009B215B" w:rsidRDefault="009B215B">
      <w:pPr>
        <w:spacing w:after="0" w:line="240" w:lineRule="exact"/>
        <w:jc w:val="right"/>
        <w:rPr>
          <w:rFonts w:ascii="Times New Roman" w:eastAsia="宋体" w:hAnsi="Times New Roman" w:cs="Times New Roman"/>
          <w:sz w:val="18"/>
          <w:szCs w:val="18"/>
        </w:rPr>
      </w:pPr>
    </w:p>
    <w:p w14:paraId="10AEF04C" w14:textId="77777777" w:rsidR="009B215B" w:rsidRDefault="009B215B">
      <w:pPr>
        <w:spacing w:after="0" w:line="240" w:lineRule="exact"/>
        <w:jc w:val="right"/>
        <w:rPr>
          <w:rFonts w:ascii="Times New Roman" w:eastAsia="宋体" w:hAnsi="Times New Roman" w:cs="Times New Roman"/>
          <w:sz w:val="18"/>
          <w:szCs w:val="18"/>
        </w:rPr>
      </w:pPr>
    </w:p>
    <w:p w14:paraId="20E97CEE" w14:textId="77777777" w:rsidR="009B215B" w:rsidRDefault="009B215B">
      <w:pPr>
        <w:spacing w:after="0" w:line="240" w:lineRule="exact"/>
        <w:jc w:val="right"/>
        <w:rPr>
          <w:rFonts w:ascii="Times New Roman" w:eastAsia="宋体" w:hAnsi="Times New Roman" w:cs="Times New Roman"/>
          <w:sz w:val="18"/>
          <w:szCs w:val="18"/>
        </w:rPr>
      </w:pPr>
    </w:p>
    <w:p w14:paraId="689F4921" w14:textId="77777777" w:rsidR="009B215B" w:rsidRDefault="009B215B">
      <w:pPr>
        <w:spacing w:after="0" w:line="240" w:lineRule="exact"/>
        <w:jc w:val="right"/>
        <w:rPr>
          <w:rFonts w:ascii="Times New Roman" w:eastAsia="宋体" w:hAnsi="Times New Roman" w:cs="Times New Roman"/>
          <w:sz w:val="18"/>
          <w:szCs w:val="18"/>
        </w:rPr>
      </w:pPr>
    </w:p>
    <w:p w14:paraId="193B07E7" w14:textId="77777777" w:rsidR="009B215B" w:rsidRPr="005A284F" w:rsidRDefault="009B215B" w:rsidP="009B215B">
      <w:pPr>
        <w:pStyle w:val="3"/>
        <w:spacing w:line="280" w:lineRule="exact"/>
        <w:jc w:val="left"/>
        <w:rPr>
          <w:rFonts w:ascii="Times New Roman" w:hAnsi="Times New Roman" w:cs="Times New Roman"/>
          <w:b/>
          <w:bCs/>
        </w:rPr>
      </w:pPr>
      <w:bookmarkStart w:id="107" w:name="_Toc988996"/>
      <w:r w:rsidRPr="005A284F">
        <w:rPr>
          <w:rFonts w:ascii="Times New Roman" w:hAnsi="Times New Roman" w:cs="Times New Roman"/>
          <w:b/>
          <w:bCs/>
        </w:rPr>
        <w:lastRenderedPageBreak/>
        <w:t>6</w:t>
      </w:r>
      <w:r w:rsidRPr="005A284F">
        <w:rPr>
          <w:rFonts w:ascii="Times New Roman" w:hAnsi="Times New Roman" w:cs="Times New Roman"/>
          <w:b/>
          <w:bCs/>
        </w:rPr>
        <w:t>、母公司现金流量表</w:t>
      </w:r>
      <w:bookmarkEnd w:id="107"/>
    </w:p>
    <w:p w14:paraId="0C4583B2" w14:textId="61309EA8"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1EB3C2BC" w14:textId="77777777" w:rsidTr="009B215B">
        <w:trPr>
          <w:trHeight w:val="366"/>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D9F27E" w14:textId="77777777" w:rsidR="006C011D" w:rsidRPr="005A284F" w:rsidRDefault="00000000">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38B9C6" w14:textId="77777777" w:rsidR="006C011D" w:rsidRPr="005A284F" w:rsidRDefault="00000000">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年半年度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3B86EA" w14:textId="77777777" w:rsidR="006C011D" w:rsidRPr="005A284F" w:rsidRDefault="00000000">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年半年度</w:t>
            </w:r>
          </w:p>
        </w:tc>
      </w:tr>
      <w:tr w:rsidR="006C011D" w:rsidRPr="005A284F" w14:paraId="4837AD1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4271B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12A938" w14:textId="77777777" w:rsidR="006C011D" w:rsidRPr="005A284F" w:rsidRDefault="006C011D">
            <w:pPr>
              <w:rPr>
                <w:rFonts w:ascii="Times New Roman" w:eastAsia="宋体"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F2947F" w14:textId="77777777" w:rsidR="006C011D" w:rsidRPr="005A284F" w:rsidRDefault="006C011D">
            <w:pPr>
              <w:rPr>
                <w:rFonts w:ascii="Times New Roman" w:eastAsia="宋体" w:hAnsi="Times New Roman" w:cs="Times New Roman"/>
              </w:rPr>
            </w:pPr>
          </w:p>
        </w:tc>
      </w:tr>
      <w:tr w:rsidR="006C011D" w:rsidRPr="005A284F" w14:paraId="2212F24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F84D5C"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42BC7B8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2,333,466,702.98</w:t>
            </w:r>
          </w:p>
        </w:tc>
        <w:tc>
          <w:tcPr>
            <w:tcW w:w="3213" w:type="dxa"/>
            <w:tcBorders>
              <w:top w:val="single" w:sz="2" w:space="0" w:color="auto"/>
              <w:left w:val="single" w:sz="2" w:space="0" w:color="auto"/>
              <w:bottom w:val="single" w:sz="2" w:space="0" w:color="auto"/>
              <w:right w:val="single" w:sz="2" w:space="0" w:color="auto"/>
            </w:tcBorders>
            <w:vAlign w:val="center"/>
          </w:tcPr>
          <w:p w14:paraId="53DB608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2,097,643,867.74</w:t>
            </w:r>
          </w:p>
        </w:tc>
      </w:tr>
      <w:tr w:rsidR="006C011D" w:rsidRPr="005A284F" w14:paraId="6797B74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E4B84D"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14:paraId="207F322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AB39CE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r>
      <w:tr w:rsidR="006C011D" w:rsidRPr="005A284F" w14:paraId="06740BA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5F7C82"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64384CE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32,451,238.52</w:t>
            </w:r>
          </w:p>
        </w:tc>
        <w:tc>
          <w:tcPr>
            <w:tcW w:w="3213" w:type="dxa"/>
            <w:tcBorders>
              <w:top w:val="single" w:sz="2" w:space="0" w:color="auto"/>
              <w:left w:val="single" w:sz="2" w:space="0" w:color="auto"/>
              <w:bottom w:val="single" w:sz="2" w:space="0" w:color="auto"/>
              <w:right w:val="single" w:sz="2" w:space="0" w:color="auto"/>
            </w:tcBorders>
            <w:vAlign w:val="center"/>
          </w:tcPr>
          <w:p w14:paraId="5EEB5DA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31,922,998.99</w:t>
            </w:r>
          </w:p>
        </w:tc>
      </w:tr>
      <w:tr w:rsidR="006C011D" w:rsidRPr="005A284F" w14:paraId="6939696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EF226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6D07165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2,365,917,941.50</w:t>
            </w:r>
          </w:p>
        </w:tc>
        <w:tc>
          <w:tcPr>
            <w:tcW w:w="3213" w:type="dxa"/>
            <w:tcBorders>
              <w:top w:val="single" w:sz="2" w:space="0" w:color="auto"/>
              <w:left w:val="single" w:sz="2" w:space="0" w:color="auto"/>
              <w:bottom w:val="single" w:sz="2" w:space="0" w:color="auto"/>
              <w:right w:val="single" w:sz="2" w:space="0" w:color="auto"/>
            </w:tcBorders>
            <w:vAlign w:val="center"/>
          </w:tcPr>
          <w:p w14:paraId="43EFFFE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2,129,566,866.73</w:t>
            </w:r>
          </w:p>
        </w:tc>
      </w:tr>
      <w:tr w:rsidR="006C011D" w:rsidRPr="005A284F" w14:paraId="1AAA8E8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8E8E5B"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29F81A6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2,103,850,158.72</w:t>
            </w:r>
          </w:p>
        </w:tc>
        <w:tc>
          <w:tcPr>
            <w:tcW w:w="3213" w:type="dxa"/>
            <w:tcBorders>
              <w:top w:val="single" w:sz="2" w:space="0" w:color="auto"/>
              <w:left w:val="single" w:sz="2" w:space="0" w:color="auto"/>
              <w:bottom w:val="single" w:sz="2" w:space="0" w:color="auto"/>
              <w:right w:val="single" w:sz="2" w:space="0" w:color="auto"/>
            </w:tcBorders>
            <w:vAlign w:val="center"/>
          </w:tcPr>
          <w:p w14:paraId="2E19464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1,739,996,096.95</w:t>
            </w:r>
          </w:p>
        </w:tc>
      </w:tr>
      <w:tr w:rsidR="006C011D" w:rsidRPr="005A284F" w14:paraId="0200D02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2A9E5F"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支付给职工以及为职工支付的现金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2A0A675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96,689,720.22</w:t>
            </w:r>
          </w:p>
        </w:tc>
        <w:tc>
          <w:tcPr>
            <w:tcW w:w="3213" w:type="dxa"/>
            <w:tcBorders>
              <w:top w:val="single" w:sz="2" w:space="0" w:color="auto"/>
              <w:left w:val="single" w:sz="2" w:space="0" w:color="auto"/>
              <w:bottom w:val="single" w:sz="2" w:space="0" w:color="auto"/>
              <w:right w:val="single" w:sz="2" w:space="0" w:color="auto"/>
            </w:tcBorders>
            <w:vAlign w:val="center"/>
          </w:tcPr>
          <w:p w14:paraId="6C2C7E9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99,864,535.53</w:t>
            </w:r>
          </w:p>
        </w:tc>
      </w:tr>
      <w:tr w:rsidR="006C011D" w:rsidRPr="005A284F" w14:paraId="06B3CA2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3E40A8"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14:paraId="13435AB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31,236,347.66</w:t>
            </w:r>
          </w:p>
        </w:tc>
        <w:tc>
          <w:tcPr>
            <w:tcW w:w="3213" w:type="dxa"/>
            <w:tcBorders>
              <w:top w:val="single" w:sz="2" w:space="0" w:color="auto"/>
              <w:left w:val="single" w:sz="2" w:space="0" w:color="auto"/>
              <w:bottom w:val="single" w:sz="2" w:space="0" w:color="auto"/>
              <w:right w:val="single" w:sz="2" w:space="0" w:color="auto"/>
            </w:tcBorders>
            <w:vAlign w:val="center"/>
          </w:tcPr>
          <w:p w14:paraId="19FC7F7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3,721,055.30</w:t>
            </w:r>
          </w:p>
        </w:tc>
      </w:tr>
      <w:tr w:rsidR="006C011D" w:rsidRPr="005A284F" w14:paraId="40588C3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5F4203"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737452F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95,692,821.66</w:t>
            </w:r>
          </w:p>
        </w:tc>
        <w:tc>
          <w:tcPr>
            <w:tcW w:w="3213" w:type="dxa"/>
            <w:tcBorders>
              <w:top w:val="single" w:sz="2" w:space="0" w:color="auto"/>
              <w:left w:val="single" w:sz="2" w:space="0" w:color="auto"/>
              <w:bottom w:val="single" w:sz="2" w:space="0" w:color="auto"/>
              <w:right w:val="single" w:sz="2" w:space="0" w:color="auto"/>
            </w:tcBorders>
            <w:vAlign w:val="center"/>
          </w:tcPr>
          <w:p w14:paraId="50A0B55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91,979,775.60</w:t>
            </w:r>
          </w:p>
        </w:tc>
      </w:tr>
      <w:tr w:rsidR="006C011D" w:rsidRPr="005A284F" w14:paraId="5C2305B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07DEC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68F9D54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2,327,469,048.26</w:t>
            </w:r>
          </w:p>
        </w:tc>
        <w:tc>
          <w:tcPr>
            <w:tcW w:w="3213" w:type="dxa"/>
            <w:tcBorders>
              <w:top w:val="single" w:sz="2" w:space="0" w:color="auto"/>
              <w:left w:val="single" w:sz="2" w:space="0" w:color="auto"/>
              <w:bottom w:val="single" w:sz="2" w:space="0" w:color="auto"/>
              <w:right w:val="single" w:sz="2" w:space="0" w:color="auto"/>
            </w:tcBorders>
            <w:vAlign w:val="center"/>
          </w:tcPr>
          <w:p w14:paraId="5378CB7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1,935,561,463.38</w:t>
            </w:r>
          </w:p>
        </w:tc>
      </w:tr>
      <w:tr w:rsidR="006C011D" w:rsidRPr="005A284F" w14:paraId="15A02C3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9F747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6E4375B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38,448,893.24</w:t>
            </w:r>
          </w:p>
        </w:tc>
        <w:tc>
          <w:tcPr>
            <w:tcW w:w="3213" w:type="dxa"/>
            <w:tcBorders>
              <w:top w:val="single" w:sz="2" w:space="0" w:color="auto"/>
              <w:left w:val="single" w:sz="2" w:space="0" w:color="auto"/>
              <w:bottom w:val="single" w:sz="2" w:space="0" w:color="auto"/>
              <w:right w:val="single" w:sz="2" w:space="0" w:color="auto"/>
            </w:tcBorders>
            <w:vAlign w:val="center"/>
          </w:tcPr>
          <w:p w14:paraId="2D078C5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194,005,403.35</w:t>
            </w:r>
          </w:p>
        </w:tc>
      </w:tr>
      <w:tr w:rsidR="006C011D" w:rsidRPr="005A284F" w14:paraId="7D4C048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CE0E4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07A0A0" w14:textId="77777777" w:rsidR="006C011D" w:rsidRPr="005A284F" w:rsidRDefault="006C011D">
            <w:pPr>
              <w:rPr>
                <w:rFonts w:ascii="Times New Roman" w:eastAsia="宋体"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A9EF3E" w14:textId="77777777" w:rsidR="006C011D" w:rsidRPr="005A284F" w:rsidRDefault="006C011D">
            <w:pPr>
              <w:rPr>
                <w:rFonts w:ascii="Times New Roman" w:eastAsia="宋体" w:hAnsi="Times New Roman" w:cs="Times New Roman"/>
              </w:rPr>
            </w:pPr>
          </w:p>
        </w:tc>
      </w:tr>
      <w:tr w:rsidR="006C011D" w:rsidRPr="005A284F" w14:paraId="3920918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5765B2"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7BE53AC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66,174,220.76</w:t>
            </w:r>
          </w:p>
        </w:tc>
        <w:tc>
          <w:tcPr>
            <w:tcW w:w="3213" w:type="dxa"/>
            <w:tcBorders>
              <w:top w:val="single" w:sz="2" w:space="0" w:color="auto"/>
              <w:left w:val="single" w:sz="2" w:space="0" w:color="auto"/>
              <w:bottom w:val="single" w:sz="2" w:space="0" w:color="auto"/>
              <w:right w:val="single" w:sz="2" w:space="0" w:color="auto"/>
            </w:tcBorders>
            <w:vAlign w:val="center"/>
          </w:tcPr>
          <w:p w14:paraId="240D9BD9"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5925F96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7AA1C9"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489D5E0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2,240,000.00</w:t>
            </w:r>
          </w:p>
        </w:tc>
        <w:tc>
          <w:tcPr>
            <w:tcW w:w="3213" w:type="dxa"/>
            <w:tcBorders>
              <w:top w:val="single" w:sz="2" w:space="0" w:color="auto"/>
              <w:left w:val="single" w:sz="2" w:space="0" w:color="auto"/>
              <w:bottom w:val="single" w:sz="2" w:space="0" w:color="auto"/>
              <w:right w:val="single" w:sz="2" w:space="0" w:color="auto"/>
            </w:tcBorders>
            <w:vAlign w:val="center"/>
          </w:tcPr>
          <w:p w14:paraId="582D33B8"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5A7B999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DCC86B"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510183F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11,896.16</w:t>
            </w:r>
          </w:p>
        </w:tc>
        <w:tc>
          <w:tcPr>
            <w:tcW w:w="3213" w:type="dxa"/>
            <w:tcBorders>
              <w:top w:val="single" w:sz="2" w:space="0" w:color="auto"/>
              <w:left w:val="single" w:sz="2" w:space="0" w:color="auto"/>
              <w:bottom w:val="single" w:sz="2" w:space="0" w:color="auto"/>
              <w:right w:val="single" w:sz="2" w:space="0" w:color="auto"/>
            </w:tcBorders>
            <w:vAlign w:val="center"/>
          </w:tcPr>
          <w:p w14:paraId="4230856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554,208.50</w:t>
            </w:r>
          </w:p>
        </w:tc>
      </w:tr>
      <w:tr w:rsidR="006C011D" w:rsidRPr="005A284F" w14:paraId="28EFE61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C0EEE8"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处置子公司及其他营业单位收到的现金净额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4E9A101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76781EC"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3AF2A6E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5BED42"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5FA9C71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357,749,169.15</w:t>
            </w:r>
          </w:p>
        </w:tc>
        <w:tc>
          <w:tcPr>
            <w:tcW w:w="3213" w:type="dxa"/>
            <w:tcBorders>
              <w:top w:val="single" w:sz="2" w:space="0" w:color="auto"/>
              <w:left w:val="single" w:sz="2" w:space="0" w:color="auto"/>
              <w:bottom w:val="single" w:sz="2" w:space="0" w:color="auto"/>
              <w:right w:val="single" w:sz="2" w:space="0" w:color="auto"/>
            </w:tcBorders>
            <w:vAlign w:val="center"/>
          </w:tcPr>
          <w:p w14:paraId="0F473CC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334,539,051.29</w:t>
            </w:r>
          </w:p>
        </w:tc>
      </w:tr>
      <w:tr w:rsidR="006C011D" w:rsidRPr="005A284F" w14:paraId="3182323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FAEB1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7A1A1AD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426,175,286.07</w:t>
            </w:r>
          </w:p>
        </w:tc>
        <w:tc>
          <w:tcPr>
            <w:tcW w:w="3213" w:type="dxa"/>
            <w:tcBorders>
              <w:top w:val="single" w:sz="2" w:space="0" w:color="auto"/>
              <w:left w:val="single" w:sz="2" w:space="0" w:color="auto"/>
              <w:bottom w:val="single" w:sz="2" w:space="0" w:color="auto"/>
              <w:right w:val="single" w:sz="2" w:space="0" w:color="auto"/>
            </w:tcBorders>
            <w:vAlign w:val="center"/>
          </w:tcPr>
          <w:p w14:paraId="56846E2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335,093,259.79</w:t>
            </w:r>
          </w:p>
        </w:tc>
      </w:tr>
      <w:tr w:rsidR="006C011D" w:rsidRPr="005A284F" w14:paraId="1B30A62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CD71B2"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购建固定资产、无形资产和其他长期资产支付的现金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668FB45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10,504,699.49</w:t>
            </w:r>
          </w:p>
        </w:tc>
        <w:tc>
          <w:tcPr>
            <w:tcW w:w="3213" w:type="dxa"/>
            <w:tcBorders>
              <w:top w:val="single" w:sz="2" w:space="0" w:color="auto"/>
              <w:left w:val="single" w:sz="2" w:space="0" w:color="auto"/>
              <w:bottom w:val="single" w:sz="2" w:space="0" w:color="auto"/>
              <w:right w:val="single" w:sz="2" w:space="0" w:color="auto"/>
            </w:tcBorders>
            <w:vAlign w:val="center"/>
          </w:tcPr>
          <w:p w14:paraId="320594F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7,641,892.23</w:t>
            </w:r>
          </w:p>
        </w:tc>
      </w:tr>
      <w:tr w:rsidR="006C011D" w:rsidRPr="005A284F" w14:paraId="239D466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6287D3"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43016DD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60,000,000.00</w:t>
            </w:r>
          </w:p>
        </w:tc>
        <w:tc>
          <w:tcPr>
            <w:tcW w:w="3213" w:type="dxa"/>
            <w:tcBorders>
              <w:top w:val="single" w:sz="2" w:space="0" w:color="auto"/>
              <w:left w:val="single" w:sz="2" w:space="0" w:color="auto"/>
              <w:bottom w:val="single" w:sz="2" w:space="0" w:color="auto"/>
              <w:right w:val="single" w:sz="2" w:space="0" w:color="auto"/>
            </w:tcBorders>
            <w:vAlign w:val="center"/>
          </w:tcPr>
          <w:p w14:paraId="28DF8FD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48,440,000.00</w:t>
            </w:r>
          </w:p>
        </w:tc>
      </w:tr>
      <w:tr w:rsidR="006C011D" w:rsidRPr="005A284F" w14:paraId="37D852F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A2B276"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73A538E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485B0B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r>
      <w:tr w:rsidR="006C011D" w:rsidRPr="005A284F" w14:paraId="328C3B9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F481D7"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3F25C4F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421,626,450.46</w:t>
            </w:r>
          </w:p>
        </w:tc>
        <w:tc>
          <w:tcPr>
            <w:tcW w:w="3213" w:type="dxa"/>
            <w:tcBorders>
              <w:top w:val="single" w:sz="2" w:space="0" w:color="auto"/>
              <w:left w:val="single" w:sz="2" w:space="0" w:color="auto"/>
              <w:bottom w:val="single" w:sz="2" w:space="0" w:color="auto"/>
              <w:right w:val="single" w:sz="2" w:space="0" w:color="auto"/>
            </w:tcBorders>
            <w:vAlign w:val="center"/>
          </w:tcPr>
          <w:p w14:paraId="2702D40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255,934,638.89</w:t>
            </w:r>
          </w:p>
        </w:tc>
      </w:tr>
      <w:tr w:rsidR="006C011D" w:rsidRPr="005A284F" w14:paraId="5D225ED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D650F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60EDEAE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492,131,149.95</w:t>
            </w:r>
          </w:p>
        </w:tc>
        <w:tc>
          <w:tcPr>
            <w:tcW w:w="3213" w:type="dxa"/>
            <w:tcBorders>
              <w:top w:val="single" w:sz="2" w:space="0" w:color="auto"/>
              <w:left w:val="single" w:sz="2" w:space="0" w:color="auto"/>
              <w:bottom w:val="single" w:sz="2" w:space="0" w:color="auto"/>
              <w:right w:val="single" w:sz="2" w:space="0" w:color="auto"/>
            </w:tcBorders>
            <w:vAlign w:val="center"/>
          </w:tcPr>
          <w:p w14:paraId="2259767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312,016,531.12</w:t>
            </w:r>
          </w:p>
        </w:tc>
      </w:tr>
      <w:tr w:rsidR="006C011D" w:rsidRPr="005A284F" w14:paraId="71E4A5B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9D2D0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4AD4637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-65,955,863.88</w:t>
            </w:r>
          </w:p>
        </w:tc>
        <w:tc>
          <w:tcPr>
            <w:tcW w:w="3213" w:type="dxa"/>
            <w:tcBorders>
              <w:top w:val="single" w:sz="2" w:space="0" w:color="auto"/>
              <w:left w:val="single" w:sz="2" w:space="0" w:color="auto"/>
              <w:bottom w:val="single" w:sz="2" w:space="0" w:color="auto"/>
              <w:right w:val="single" w:sz="2" w:space="0" w:color="auto"/>
            </w:tcBorders>
            <w:vAlign w:val="center"/>
          </w:tcPr>
          <w:p w14:paraId="50F8BFD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23,076,728.67</w:t>
            </w:r>
          </w:p>
        </w:tc>
      </w:tr>
      <w:tr w:rsidR="006C011D" w:rsidRPr="005A284F" w14:paraId="17721D4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B6856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284FC7" w14:textId="77777777" w:rsidR="006C011D" w:rsidRPr="005A284F" w:rsidRDefault="006C011D">
            <w:pPr>
              <w:rPr>
                <w:rFonts w:ascii="Times New Roman" w:eastAsia="宋体"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896846" w14:textId="77777777" w:rsidR="006C011D" w:rsidRPr="005A284F" w:rsidRDefault="006C011D">
            <w:pPr>
              <w:rPr>
                <w:rFonts w:ascii="Times New Roman" w:eastAsia="宋体" w:hAnsi="Times New Roman" w:cs="Times New Roman"/>
              </w:rPr>
            </w:pPr>
          </w:p>
        </w:tc>
      </w:tr>
      <w:tr w:rsidR="006C011D" w:rsidRPr="005A284F" w14:paraId="7F3DE21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D8CF3C"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0B92E00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CA84A7A"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DA9D45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16856A"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6F08E1E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139,990,000.00</w:t>
            </w:r>
          </w:p>
        </w:tc>
        <w:tc>
          <w:tcPr>
            <w:tcW w:w="3213" w:type="dxa"/>
            <w:tcBorders>
              <w:top w:val="single" w:sz="2" w:space="0" w:color="auto"/>
              <w:left w:val="single" w:sz="2" w:space="0" w:color="auto"/>
              <w:bottom w:val="single" w:sz="2" w:space="0" w:color="auto"/>
              <w:right w:val="single" w:sz="2" w:space="0" w:color="auto"/>
            </w:tcBorders>
            <w:vAlign w:val="center"/>
          </w:tcPr>
          <w:p w14:paraId="42CEAC0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66,560,000.00</w:t>
            </w:r>
          </w:p>
        </w:tc>
      </w:tr>
      <w:tr w:rsidR="006C011D" w:rsidRPr="005A284F" w14:paraId="6C08FB1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43107A"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72DBE51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660,320,000.00</w:t>
            </w:r>
          </w:p>
        </w:tc>
        <w:tc>
          <w:tcPr>
            <w:tcW w:w="3213" w:type="dxa"/>
            <w:tcBorders>
              <w:top w:val="single" w:sz="2" w:space="0" w:color="auto"/>
              <w:left w:val="single" w:sz="2" w:space="0" w:color="auto"/>
              <w:bottom w:val="single" w:sz="2" w:space="0" w:color="auto"/>
              <w:right w:val="single" w:sz="2" w:space="0" w:color="auto"/>
            </w:tcBorders>
            <w:vAlign w:val="center"/>
          </w:tcPr>
          <w:p w14:paraId="78F1B71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580,230,000.00</w:t>
            </w:r>
          </w:p>
        </w:tc>
      </w:tr>
      <w:tr w:rsidR="006C011D" w:rsidRPr="005A284F" w14:paraId="5CD41D7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957B3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14A3FEE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800,310,000.00</w:t>
            </w:r>
          </w:p>
        </w:tc>
        <w:tc>
          <w:tcPr>
            <w:tcW w:w="3213" w:type="dxa"/>
            <w:tcBorders>
              <w:top w:val="single" w:sz="2" w:space="0" w:color="auto"/>
              <w:left w:val="single" w:sz="2" w:space="0" w:color="auto"/>
              <w:bottom w:val="single" w:sz="2" w:space="0" w:color="auto"/>
              <w:right w:val="single" w:sz="2" w:space="0" w:color="auto"/>
            </w:tcBorders>
            <w:vAlign w:val="center"/>
          </w:tcPr>
          <w:p w14:paraId="7277110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646,790,000.00</w:t>
            </w:r>
          </w:p>
        </w:tc>
      </w:tr>
      <w:tr w:rsidR="006C011D" w:rsidRPr="005A284F" w14:paraId="7B98C6D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7B50CC"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25D7718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66,661,100.00</w:t>
            </w:r>
          </w:p>
        </w:tc>
        <w:tc>
          <w:tcPr>
            <w:tcW w:w="3213" w:type="dxa"/>
            <w:tcBorders>
              <w:top w:val="single" w:sz="2" w:space="0" w:color="auto"/>
              <w:left w:val="single" w:sz="2" w:space="0" w:color="auto"/>
              <w:bottom w:val="single" w:sz="2" w:space="0" w:color="auto"/>
              <w:right w:val="single" w:sz="2" w:space="0" w:color="auto"/>
            </w:tcBorders>
            <w:vAlign w:val="center"/>
          </w:tcPr>
          <w:p w14:paraId="552B5CE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370,710,000.00</w:t>
            </w:r>
          </w:p>
        </w:tc>
      </w:tr>
      <w:tr w:rsidR="006C011D" w:rsidRPr="005A284F" w14:paraId="15D4A76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11F32A"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5EAA54D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8,847,467.74</w:t>
            </w:r>
          </w:p>
        </w:tc>
        <w:tc>
          <w:tcPr>
            <w:tcW w:w="3213" w:type="dxa"/>
            <w:tcBorders>
              <w:top w:val="single" w:sz="2" w:space="0" w:color="auto"/>
              <w:left w:val="single" w:sz="2" w:space="0" w:color="auto"/>
              <w:bottom w:val="single" w:sz="2" w:space="0" w:color="auto"/>
              <w:right w:val="single" w:sz="2" w:space="0" w:color="auto"/>
            </w:tcBorders>
            <w:vAlign w:val="center"/>
          </w:tcPr>
          <w:p w14:paraId="4786B4D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13,983,040.07</w:t>
            </w:r>
          </w:p>
        </w:tc>
      </w:tr>
      <w:tr w:rsidR="006C011D" w:rsidRPr="005A284F" w14:paraId="6C2836C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26C13C"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5BCFD1B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592,785,092.41</w:t>
            </w:r>
          </w:p>
        </w:tc>
        <w:tc>
          <w:tcPr>
            <w:tcW w:w="3213" w:type="dxa"/>
            <w:tcBorders>
              <w:top w:val="single" w:sz="2" w:space="0" w:color="auto"/>
              <w:left w:val="single" w:sz="2" w:space="0" w:color="auto"/>
              <w:bottom w:val="single" w:sz="2" w:space="0" w:color="auto"/>
              <w:right w:val="single" w:sz="2" w:space="0" w:color="auto"/>
            </w:tcBorders>
            <w:vAlign w:val="center"/>
          </w:tcPr>
          <w:p w14:paraId="4EAD5F2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619,530,012.08</w:t>
            </w:r>
          </w:p>
        </w:tc>
      </w:tr>
      <w:tr w:rsidR="006C011D" w:rsidRPr="005A284F" w14:paraId="675C67F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CB5C4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5DA092F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668,293,660.15</w:t>
            </w:r>
          </w:p>
        </w:tc>
        <w:tc>
          <w:tcPr>
            <w:tcW w:w="3213" w:type="dxa"/>
            <w:tcBorders>
              <w:top w:val="single" w:sz="2" w:space="0" w:color="auto"/>
              <w:left w:val="single" w:sz="2" w:space="0" w:color="auto"/>
              <w:bottom w:val="single" w:sz="2" w:space="0" w:color="auto"/>
              <w:right w:val="single" w:sz="2" w:space="0" w:color="auto"/>
            </w:tcBorders>
            <w:vAlign w:val="center"/>
          </w:tcPr>
          <w:p w14:paraId="7433193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1,004,223,052.15</w:t>
            </w:r>
          </w:p>
        </w:tc>
      </w:tr>
      <w:tr w:rsidR="006C011D" w:rsidRPr="005A284F" w14:paraId="4DEB265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0D661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201267C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132,016,339.85</w:t>
            </w:r>
          </w:p>
        </w:tc>
        <w:tc>
          <w:tcPr>
            <w:tcW w:w="3213" w:type="dxa"/>
            <w:tcBorders>
              <w:top w:val="single" w:sz="2" w:space="0" w:color="auto"/>
              <w:left w:val="single" w:sz="2" w:space="0" w:color="auto"/>
              <w:bottom w:val="single" w:sz="2" w:space="0" w:color="auto"/>
              <w:right w:val="single" w:sz="2" w:space="0" w:color="auto"/>
            </w:tcBorders>
            <w:vAlign w:val="center"/>
          </w:tcPr>
          <w:p w14:paraId="7D234A6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-357,433,052.15</w:t>
            </w:r>
          </w:p>
        </w:tc>
      </w:tr>
      <w:tr w:rsidR="006C011D" w:rsidRPr="005A284F" w14:paraId="7724F39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2AC36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14:paraId="7098150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-0.01</w:t>
            </w:r>
          </w:p>
        </w:tc>
        <w:tc>
          <w:tcPr>
            <w:tcW w:w="3213" w:type="dxa"/>
            <w:tcBorders>
              <w:top w:val="single" w:sz="2" w:space="0" w:color="auto"/>
              <w:left w:val="single" w:sz="2" w:space="0" w:color="auto"/>
              <w:bottom w:val="single" w:sz="2" w:space="0" w:color="auto"/>
              <w:right w:val="single" w:sz="2" w:space="0" w:color="auto"/>
            </w:tcBorders>
            <w:vAlign w:val="center"/>
          </w:tcPr>
          <w:p w14:paraId="156C4F2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r>
      <w:tr w:rsidR="006C011D" w:rsidRPr="005A284F" w14:paraId="0F85DEA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A0D33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37D316F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104,509,369.20</w:t>
            </w:r>
          </w:p>
        </w:tc>
        <w:tc>
          <w:tcPr>
            <w:tcW w:w="3213" w:type="dxa"/>
            <w:tcBorders>
              <w:top w:val="single" w:sz="2" w:space="0" w:color="auto"/>
              <w:left w:val="single" w:sz="2" w:space="0" w:color="auto"/>
              <w:bottom w:val="single" w:sz="2" w:space="0" w:color="auto"/>
              <w:right w:val="single" w:sz="2" w:space="0" w:color="auto"/>
            </w:tcBorders>
            <w:vAlign w:val="center"/>
          </w:tcPr>
          <w:p w14:paraId="382571A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-140,350,920.13</w:t>
            </w:r>
          </w:p>
        </w:tc>
      </w:tr>
      <w:tr w:rsidR="006C011D" w:rsidRPr="005A284F" w14:paraId="3013F0C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BC3F82" w14:textId="77777777" w:rsidR="006C011D" w:rsidRPr="005A284F" w:rsidRDefault="00000000">
            <w:pPr>
              <w:spacing w:after="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14:paraId="59DD1B9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392,471,687.35</w:t>
            </w:r>
          </w:p>
        </w:tc>
        <w:tc>
          <w:tcPr>
            <w:tcW w:w="3213" w:type="dxa"/>
            <w:tcBorders>
              <w:top w:val="single" w:sz="2" w:space="0" w:color="auto"/>
              <w:left w:val="single" w:sz="2" w:space="0" w:color="auto"/>
              <w:bottom w:val="single" w:sz="2" w:space="0" w:color="auto"/>
              <w:right w:val="single" w:sz="2" w:space="0" w:color="auto"/>
            </w:tcBorders>
            <w:vAlign w:val="center"/>
          </w:tcPr>
          <w:p w14:paraId="127866F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672,111,840.03</w:t>
            </w:r>
          </w:p>
        </w:tc>
      </w:tr>
      <w:tr w:rsidR="006C011D" w:rsidRPr="005A284F" w14:paraId="2A03173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088EE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14:paraId="4B5E3B5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496,981,056.55</w:t>
            </w:r>
          </w:p>
        </w:tc>
        <w:tc>
          <w:tcPr>
            <w:tcW w:w="3213" w:type="dxa"/>
            <w:tcBorders>
              <w:top w:val="single" w:sz="2" w:space="0" w:color="auto"/>
              <w:left w:val="single" w:sz="2" w:space="0" w:color="auto"/>
              <w:bottom w:val="single" w:sz="2" w:space="0" w:color="auto"/>
              <w:right w:val="single" w:sz="2" w:space="0" w:color="auto"/>
            </w:tcBorders>
            <w:vAlign w:val="center"/>
          </w:tcPr>
          <w:p w14:paraId="7918084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531,760,919.90</w:t>
            </w:r>
          </w:p>
        </w:tc>
      </w:tr>
    </w:tbl>
    <w:p w14:paraId="1B22C799" w14:textId="77777777" w:rsidR="00634AA8" w:rsidRDefault="00634AA8">
      <w:pPr>
        <w:pStyle w:val="3"/>
        <w:spacing w:line="280" w:lineRule="exact"/>
        <w:jc w:val="left"/>
        <w:rPr>
          <w:rFonts w:ascii="Times New Roman" w:hAnsi="Times New Roman" w:cs="Times New Roman"/>
          <w:b/>
          <w:bCs/>
        </w:rPr>
        <w:sectPr w:rsidR="00634AA8">
          <w:headerReference w:type="default" r:id="rId8"/>
          <w:footerReference w:type="default" r:id="rId9"/>
          <w:pgSz w:w="11905" w:h="16840"/>
          <w:pgMar w:top="1440" w:right="1134" w:bottom="1440" w:left="1134" w:header="850" w:footer="992" w:gutter="0"/>
          <w:cols w:space="720"/>
          <w:docGrid w:type="linesAndChars" w:linePitch="312"/>
        </w:sectPr>
      </w:pPr>
      <w:bookmarkStart w:id="108" w:name="_Toc988997"/>
    </w:p>
    <w:p w14:paraId="539E5718" w14:textId="77777777" w:rsidR="006C011D" w:rsidRPr="005A284F" w:rsidRDefault="00000000">
      <w:pPr>
        <w:pStyle w:val="3"/>
        <w:spacing w:line="280" w:lineRule="exact"/>
        <w:jc w:val="left"/>
        <w:rPr>
          <w:rFonts w:ascii="Times New Roman" w:hAnsi="Times New Roman" w:cs="Times New Roman"/>
          <w:b/>
          <w:bCs/>
        </w:rPr>
      </w:pPr>
      <w:r w:rsidRPr="005A284F">
        <w:rPr>
          <w:rFonts w:ascii="Times New Roman" w:hAnsi="Times New Roman" w:cs="Times New Roman"/>
          <w:b/>
          <w:bCs/>
        </w:rPr>
        <w:lastRenderedPageBreak/>
        <w:t>7</w:t>
      </w:r>
      <w:r w:rsidRPr="005A284F">
        <w:rPr>
          <w:rFonts w:ascii="Times New Roman" w:hAnsi="Times New Roman" w:cs="Times New Roman"/>
          <w:b/>
          <w:bCs/>
        </w:rPr>
        <w:t>、合并所有者权益变动表</w:t>
      </w:r>
      <w:bookmarkEnd w:id="108"/>
    </w:p>
    <w:p w14:paraId="7C8023CF"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本期金额</w:t>
      </w:r>
    </w:p>
    <w:p w14:paraId="5AEAB236" w14:textId="77777777" w:rsidR="006C011D" w:rsidRPr="005A284F" w:rsidRDefault="00000000">
      <w:pPr>
        <w:spacing w:before="120" w:after="12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1601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0" w:type="dxa"/>
          <w:right w:w="0" w:type="dxa"/>
        </w:tblCellMar>
        <w:tblLook w:val="04A0" w:firstRow="1" w:lastRow="0" w:firstColumn="1" w:lastColumn="0" w:noHBand="0" w:noVBand="1"/>
      </w:tblPr>
      <w:tblGrid>
        <w:gridCol w:w="1135"/>
        <w:gridCol w:w="1276"/>
        <w:gridCol w:w="850"/>
        <w:gridCol w:w="709"/>
        <w:gridCol w:w="1276"/>
        <w:gridCol w:w="1134"/>
        <w:gridCol w:w="1134"/>
        <w:gridCol w:w="1134"/>
        <w:gridCol w:w="425"/>
        <w:gridCol w:w="1134"/>
        <w:gridCol w:w="425"/>
        <w:gridCol w:w="1264"/>
        <w:gridCol w:w="437"/>
        <w:gridCol w:w="1276"/>
        <w:gridCol w:w="1134"/>
        <w:gridCol w:w="1276"/>
      </w:tblGrid>
      <w:tr w:rsidR="006C011D" w:rsidRPr="005A284F" w14:paraId="4A943013" w14:textId="77777777" w:rsidTr="00050CA3">
        <w:trPr>
          <w:trHeight w:val="237"/>
          <w:jc w:val="center"/>
        </w:trPr>
        <w:tc>
          <w:tcPr>
            <w:tcW w:w="113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8C39EC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14884"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14:paraId="03AE237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年半年度</w:t>
            </w:r>
          </w:p>
        </w:tc>
      </w:tr>
      <w:tr w:rsidR="006C011D" w:rsidRPr="005A284F" w14:paraId="0DF34770" w14:textId="77777777" w:rsidTr="00050CA3">
        <w:trPr>
          <w:trHeight w:val="237"/>
          <w:jc w:val="center"/>
        </w:trPr>
        <w:tc>
          <w:tcPr>
            <w:tcW w:w="113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205358D" w14:textId="77777777" w:rsidR="006C011D" w:rsidRPr="005A284F" w:rsidRDefault="006C011D">
            <w:pPr>
              <w:rPr>
                <w:rFonts w:ascii="Times New Roman" w:eastAsia="宋体" w:hAnsi="Times New Roman" w:cs="Times New Roman"/>
              </w:rPr>
            </w:pPr>
          </w:p>
        </w:tc>
        <w:tc>
          <w:tcPr>
            <w:tcW w:w="12474"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14:paraId="0CE4243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归属于母公司所有者权益</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74EEC9D" w14:textId="77777777" w:rsidR="006C011D" w:rsidRPr="005A284F" w:rsidRDefault="00000000">
            <w:pPr>
              <w:spacing w:before="40" w:after="40" w:line="0" w:lineRule="atLeas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少数股东权益</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19D7FC3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所有者权益合计</w:t>
            </w:r>
          </w:p>
        </w:tc>
      </w:tr>
      <w:tr w:rsidR="00050CA3" w:rsidRPr="005A284F" w14:paraId="294B5044" w14:textId="77777777" w:rsidTr="00050CA3">
        <w:trPr>
          <w:trHeight w:val="237"/>
          <w:jc w:val="center"/>
        </w:trPr>
        <w:tc>
          <w:tcPr>
            <w:tcW w:w="113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908406B" w14:textId="77777777" w:rsidR="006C011D" w:rsidRPr="005A284F" w:rsidRDefault="006C011D">
            <w:pPr>
              <w:rPr>
                <w:rFonts w:ascii="Times New Roman" w:eastAsia="宋体" w:hAnsi="Times New Roman" w:cs="Times New Roman"/>
              </w:rPr>
            </w:pPr>
          </w:p>
        </w:tc>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C9C339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股本</w:t>
            </w:r>
          </w:p>
        </w:tc>
        <w:tc>
          <w:tcPr>
            <w:tcW w:w="2835"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6F7334B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其他权益工具</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1B93D2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资本公积</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A6C96E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减：库存股</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2E6E90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其他综合收益</w:t>
            </w:r>
          </w:p>
        </w:tc>
        <w:tc>
          <w:tcPr>
            <w:tcW w:w="42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F87613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专项储备</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7A9CF2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盈余公积</w:t>
            </w:r>
          </w:p>
        </w:tc>
        <w:tc>
          <w:tcPr>
            <w:tcW w:w="42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87DDAC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一般风险准备</w:t>
            </w:r>
          </w:p>
        </w:tc>
        <w:tc>
          <w:tcPr>
            <w:tcW w:w="126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F3EA73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未分配利润</w:t>
            </w:r>
          </w:p>
        </w:tc>
        <w:tc>
          <w:tcPr>
            <w:tcW w:w="43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1A18ED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DF0DDC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小计</w:t>
            </w: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C795D82" w14:textId="77777777" w:rsidR="006C011D" w:rsidRPr="005A284F" w:rsidRDefault="006C011D">
            <w:pPr>
              <w:rPr>
                <w:rFonts w:ascii="Times New Roman" w:eastAsia="宋体" w:hAnsi="Times New Roman" w:cs="Times New Roman"/>
              </w:rPr>
            </w:pPr>
          </w:p>
        </w:tc>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70516DF" w14:textId="77777777" w:rsidR="006C011D" w:rsidRPr="005A284F" w:rsidRDefault="006C011D">
            <w:pPr>
              <w:rPr>
                <w:rFonts w:ascii="Times New Roman" w:eastAsia="宋体" w:hAnsi="Times New Roman" w:cs="Times New Roman"/>
              </w:rPr>
            </w:pPr>
          </w:p>
        </w:tc>
      </w:tr>
      <w:tr w:rsidR="00050CA3" w:rsidRPr="005A284F" w14:paraId="21F60B9E" w14:textId="77777777" w:rsidTr="00050CA3">
        <w:trPr>
          <w:trHeight w:val="237"/>
          <w:jc w:val="center"/>
        </w:trPr>
        <w:tc>
          <w:tcPr>
            <w:tcW w:w="113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952FFB8" w14:textId="77777777" w:rsidR="006C011D" w:rsidRPr="005A284F" w:rsidRDefault="006C011D">
            <w:pPr>
              <w:rPr>
                <w:rFonts w:ascii="Times New Roman" w:eastAsia="宋体" w:hAnsi="Times New Roman" w:cs="Times New Roman"/>
              </w:rPr>
            </w:pPr>
          </w:p>
        </w:tc>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0290678" w14:textId="77777777" w:rsidR="006C011D" w:rsidRPr="005A284F" w:rsidRDefault="006C011D">
            <w:pPr>
              <w:rPr>
                <w:rFonts w:ascii="Times New Roman" w:eastAsia="宋体" w:hAnsi="Times New Roman" w:cs="Times New Roman"/>
              </w:rPr>
            </w:pP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10E9EE2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优先股</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79622FB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永续债</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46CDB91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D420B42" w14:textId="77777777" w:rsidR="006C011D" w:rsidRPr="005A284F" w:rsidRDefault="006C011D">
            <w:pPr>
              <w:rPr>
                <w:rFonts w:ascii="Times New Roman" w:eastAsia="宋体" w:hAnsi="Times New Roman" w:cs="Times New Roman"/>
              </w:rPr>
            </w:pP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9B6B865" w14:textId="77777777" w:rsidR="006C011D" w:rsidRPr="005A284F" w:rsidRDefault="006C011D">
            <w:pPr>
              <w:rPr>
                <w:rFonts w:ascii="Times New Roman" w:eastAsia="宋体" w:hAnsi="Times New Roman" w:cs="Times New Roman"/>
              </w:rPr>
            </w:pP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1CCD73B" w14:textId="77777777" w:rsidR="006C011D" w:rsidRPr="005A284F" w:rsidRDefault="006C011D">
            <w:pPr>
              <w:rPr>
                <w:rFonts w:ascii="Times New Roman" w:eastAsia="宋体" w:hAnsi="Times New Roman" w:cs="Times New Roman"/>
              </w:rPr>
            </w:pPr>
          </w:p>
        </w:tc>
        <w:tc>
          <w:tcPr>
            <w:tcW w:w="425" w:type="dxa"/>
            <w:vMerge/>
            <w:tcBorders>
              <w:top w:val="single" w:sz="2" w:space="0" w:color="auto"/>
              <w:left w:val="single" w:sz="2" w:space="0" w:color="auto"/>
              <w:bottom w:val="single" w:sz="2" w:space="0" w:color="auto"/>
              <w:right w:val="single" w:sz="2" w:space="0" w:color="auto"/>
            </w:tcBorders>
            <w:vAlign w:val="center"/>
          </w:tcPr>
          <w:p w14:paraId="2A69B26D" w14:textId="77777777" w:rsidR="006C011D" w:rsidRPr="005A284F" w:rsidRDefault="006C011D">
            <w:pPr>
              <w:rPr>
                <w:rFonts w:ascii="Times New Roman" w:eastAsia="宋体" w:hAnsi="Times New Roman" w:cs="Times New Roman"/>
              </w:rPr>
            </w:pP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3EEB7B9" w14:textId="77777777" w:rsidR="006C011D" w:rsidRPr="005A284F" w:rsidRDefault="006C011D">
            <w:pPr>
              <w:rPr>
                <w:rFonts w:ascii="Times New Roman" w:eastAsia="宋体" w:hAnsi="Times New Roman" w:cs="Times New Roman"/>
              </w:rPr>
            </w:pPr>
          </w:p>
        </w:tc>
        <w:tc>
          <w:tcPr>
            <w:tcW w:w="42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80B008F" w14:textId="77777777" w:rsidR="006C011D" w:rsidRPr="005A284F" w:rsidRDefault="006C011D">
            <w:pPr>
              <w:rPr>
                <w:rFonts w:ascii="Times New Roman" w:eastAsia="宋体" w:hAnsi="Times New Roman" w:cs="Times New Roman"/>
              </w:rPr>
            </w:pPr>
          </w:p>
        </w:tc>
        <w:tc>
          <w:tcPr>
            <w:tcW w:w="126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9214B50" w14:textId="77777777" w:rsidR="006C011D" w:rsidRPr="005A284F" w:rsidRDefault="006C011D">
            <w:pPr>
              <w:rPr>
                <w:rFonts w:ascii="Times New Roman" w:eastAsia="宋体" w:hAnsi="Times New Roman" w:cs="Times New Roman"/>
              </w:rPr>
            </w:pPr>
          </w:p>
        </w:tc>
        <w:tc>
          <w:tcPr>
            <w:tcW w:w="43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D52FBFA" w14:textId="77777777" w:rsidR="006C011D" w:rsidRPr="005A284F" w:rsidRDefault="006C011D">
            <w:pPr>
              <w:rPr>
                <w:rFonts w:ascii="Times New Roman" w:eastAsia="宋体" w:hAnsi="Times New Roman" w:cs="Times New Roman"/>
              </w:rPr>
            </w:pPr>
          </w:p>
        </w:tc>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3997D56" w14:textId="77777777" w:rsidR="006C011D" w:rsidRPr="005A284F" w:rsidRDefault="006C011D">
            <w:pPr>
              <w:rPr>
                <w:rFonts w:ascii="Times New Roman" w:eastAsia="宋体" w:hAnsi="Times New Roman" w:cs="Times New Roman"/>
              </w:rPr>
            </w:pP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26A2C13" w14:textId="77777777" w:rsidR="006C011D" w:rsidRPr="005A284F" w:rsidRDefault="006C011D">
            <w:pPr>
              <w:rPr>
                <w:rFonts w:ascii="Times New Roman" w:eastAsia="宋体" w:hAnsi="Times New Roman" w:cs="Times New Roman"/>
              </w:rPr>
            </w:pPr>
          </w:p>
        </w:tc>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E29BAF4" w14:textId="77777777" w:rsidR="006C011D" w:rsidRPr="005A284F" w:rsidRDefault="006C011D">
            <w:pPr>
              <w:rPr>
                <w:rFonts w:ascii="Times New Roman" w:eastAsia="宋体" w:hAnsi="Times New Roman" w:cs="Times New Roman"/>
              </w:rPr>
            </w:pPr>
          </w:p>
        </w:tc>
      </w:tr>
      <w:tr w:rsidR="00050CA3" w:rsidRPr="005A284F" w14:paraId="1BF3388E" w14:textId="77777777" w:rsidTr="00050CA3">
        <w:trPr>
          <w:trHeight w:val="237"/>
          <w:jc w:val="center"/>
        </w:trPr>
        <w:tc>
          <w:tcPr>
            <w:tcW w:w="1135" w:type="dxa"/>
            <w:tcBorders>
              <w:top w:val="single" w:sz="2" w:space="0" w:color="auto"/>
              <w:left w:val="single" w:sz="2" w:space="0" w:color="auto"/>
              <w:bottom w:val="single" w:sz="2" w:space="0" w:color="auto"/>
              <w:right w:val="single" w:sz="2" w:space="0" w:color="auto"/>
            </w:tcBorders>
            <w:shd w:val="clear" w:color="auto" w:fill="D3D3D3"/>
            <w:vAlign w:val="center"/>
          </w:tcPr>
          <w:p w14:paraId="7728724E"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一、上年期末余额</w:t>
            </w:r>
          </w:p>
        </w:tc>
        <w:tc>
          <w:tcPr>
            <w:tcW w:w="1276" w:type="dxa"/>
            <w:tcBorders>
              <w:top w:val="single" w:sz="2" w:space="0" w:color="auto"/>
              <w:left w:val="single" w:sz="2" w:space="0" w:color="auto"/>
              <w:bottom w:val="single" w:sz="2" w:space="0" w:color="auto"/>
              <w:right w:val="single" w:sz="2" w:space="0" w:color="auto"/>
            </w:tcBorders>
            <w:vAlign w:val="center"/>
          </w:tcPr>
          <w:p w14:paraId="65B6063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1,079,160,261.00</w:t>
            </w:r>
          </w:p>
        </w:tc>
        <w:tc>
          <w:tcPr>
            <w:tcW w:w="850" w:type="dxa"/>
            <w:tcBorders>
              <w:top w:val="single" w:sz="2" w:space="0" w:color="auto"/>
              <w:left w:val="single" w:sz="2" w:space="0" w:color="auto"/>
              <w:bottom w:val="single" w:sz="2" w:space="0" w:color="auto"/>
              <w:right w:val="single" w:sz="2" w:space="0" w:color="auto"/>
            </w:tcBorders>
            <w:vAlign w:val="center"/>
          </w:tcPr>
          <w:p w14:paraId="1319F4D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709" w:type="dxa"/>
            <w:tcBorders>
              <w:top w:val="single" w:sz="2" w:space="0" w:color="auto"/>
              <w:left w:val="single" w:sz="2" w:space="0" w:color="auto"/>
              <w:bottom w:val="single" w:sz="2" w:space="0" w:color="auto"/>
              <w:right w:val="single" w:sz="2" w:space="0" w:color="auto"/>
            </w:tcBorders>
            <w:vAlign w:val="center"/>
          </w:tcPr>
          <w:p w14:paraId="65D32CD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vAlign w:val="center"/>
          </w:tcPr>
          <w:p w14:paraId="716CA95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171,570,156.57</w:t>
            </w:r>
          </w:p>
        </w:tc>
        <w:tc>
          <w:tcPr>
            <w:tcW w:w="1134" w:type="dxa"/>
            <w:tcBorders>
              <w:top w:val="single" w:sz="2" w:space="0" w:color="auto"/>
              <w:left w:val="single" w:sz="2" w:space="0" w:color="auto"/>
              <w:bottom w:val="single" w:sz="2" w:space="0" w:color="auto"/>
              <w:right w:val="single" w:sz="2" w:space="0" w:color="auto"/>
            </w:tcBorders>
            <w:vAlign w:val="center"/>
          </w:tcPr>
          <w:p w14:paraId="70A9825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824,642,732.28</w:t>
            </w:r>
          </w:p>
        </w:tc>
        <w:tc>
          <w:tcPr>
            <w:tcW w:w="1134" w:type="dxa"/>
            <w:tcBorders>
              <w:top w:val="single" w:sz="2" w:space="0" w:color="auto"/>
              <w:left w:val="single" w:sz="2" w:space="0" w:color="auto"/>
              <w:bottom w:val="single" w:sz="2" w:space="0" w:color="auto"/>
              <w:right w:val="single" w:sz="2" w:space="0" w:color="auto"/>
            </w:tcBorders>
            <w:vAlign w:val="center"/>
          </w:tcPr>
          <w:p w14:paraId="31FB0B1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330,025,083.29</w:t>
            </w:r>
          </w:p>
        </w:tc>
        <w:tc>
          <w:tcPr>
            <w:tcW w:w="1134" w:type="dxa"/>
            <w:tcBorders>
              <w:top w:val="single" w:sz="2" w:space="0" w:color="auto"/>
              <w:left w:val="single" w:sz="2" w:space="0" w:color="auto"/>
              <w:bottom w:val="single" w:sz="2" w:space="0" w:color="auto"/>
              <w:right w:val="single" w:sz="2" w:space="0" w:color="auto"/>
            </w:tcBorders>
            <w:vAlign w:val="center"/>
          </w:tcPr>
          <w:p w14:paraId="06E655F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-12,100,000.00</w:t>
            </w:r>
          </w:p>
        </w:tc>
        <w:tc>
          <w:tcPr>
            <w:tcW w:w="425" w:type="dxa"/>
            <w:tcBorders>
              <w:top w:val="single" w:sz="2" w:space="0" w:color="auto"/>
              <w:left w:val="single" w:sz="2" w:space="0" w:color="auto"/>
              <w:bottom w:val="single" w:sz="2" w:space="0" w:color="auto"/>
              <w:right w:val="single" w:sz="2" w:space="0" w:color="auto"/>
            </w:tcBorders>
            <w:vAlign w:val="center"/>
          </w:tcPr>
          <w:p w14:paraId="4D7BC26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1FDF0BE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263,717,929.16</w:t>
            </w:r>
          </w:p>
        </w:tc>
        <w:tc>
          <w:tcPr>
            <w:tcW w:w="425" w:type="dxa"/>
            <w:tcBorders>
              <w:top w:val="single" w:sz="2" w:space="0" w:color="auto"/>
              <w:left w:val="single" w:sz="2" w:space="0" w:color="auto"/>
              <w:bottom w:val="single" w:sz="2" w:space="0" w:color="auto"/>
              <w:right w:val="single" w:sz="2" w:space="0" w:color="auto"/>
            </w:tcBorders>
            <w:vAlign w:val="center"/>
          </w:tcPr>
          <w:p w14:paraId="4AD8156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5EBACA2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-493,681,729.40</w:t>
            </w:r>
          </w:p>
        </w:tc>
        <w:tc>
          <w:tcPr>
            <w:tcW w:w="437" w:type="dxa"/>
            <w:tcBorders>
              <w:top w:val="single" w:sz="2" w:space="0" w:color="auto"/>
              <w:left w:val="single" w:sz="2" w:space="0" w:color="auto"/>
              <w:bottom w:val="single" w:sz="2" w:space="0" w:color="auto"/>
              <w:right w:val="single" w:sz="2" w:space="0" w:color="auto"/>
            </w:tcBorders>
            <w:vAlign w:val="center"/>
          </w:tcPr>
          <w:p w14:paraId="3EE9B53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vAlign w:val="center"/>
          </w:tcPr>
          <w:p w14:paraId="26DA25F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1,503,284,266.32</w:t>
            </w:r>
          </w:p>
        </w:tc>
        <w:tc>
          <w:tcPr>
            <w:tcW w:w="1134" w:type="dxa"/>
            <w:tcBorders>
              <w:top w:val="single" w:sz="2" w:space="0" w:color="auto"/>
              <w:left w:val="single" w:sz="2" w:space="0" w:color="auto"/>
              <w:bottom w:val="single" w:sz="2" w:space="0" w:color="auto"/>
              <w:right w:val="single" w:sz="2" w:space="0" w:color="auto"/>
            </w:tcBorders>
            <w:vAlign w:val="center"/>
          </w:tcPr>
          <w:p w14:paraId="19F07CC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157,986,651.74</w:t>
            </w:r>
          </w:p>
        </w:tc>
        <w:tc>
          <w:tcPr>
            <w:tcW w:w="1276" w:type="dxa"/>
            <w:tcBorders>
              <w:top w:val="single" w:sz="2" w:space="0" w:color="auto"/>
              <w:left w:val="single" w:sz="2" w:space="0" w:color="auto"/>
              <w:bottom w:val="single" w:sz="2" w:space="0" w:color="auto"/>
              <w:right w:val="single" w:sz="2" w:space="0" w:color="auto"/>
            </w:tcBorders>
            <w:vAlign w:val="center"/>
          </w:tcPr>
          <w:p w14:paraId="39EEDF2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1,661,270,918.06</w:t>
            </w:r>
          </w:p>
        </w:tc>
      </w:tr>
      <w:tr w:rsidR="00050CA3" w:rsidRPr="005A284F" w14:paraId="1EF12152" w14:textId="77777777" w:rsidTr="00050CA3">
        <w:trPr>
          <w:trHeight w:val="237"/>
          <w:jc w:val="center"/>
        </w:trPr>
        <w:tc>
          <w:tcPr>
            <w:tcW w:w="1135" w:type="dxa"/>
            <w:tcBorders>
              <w:top w:val="single" w:sz="2" w:space="0" w:color="auto"/>
              <w:left w:val="single" w:sz="2" w:space="0" w:color="auto"/>
              <w:bottom w:val="single" w:sz="2" w:space="0" w:color="auto"/>
              <w:right w:val="single" w:sz="2" w:space="0" w:color="auto"/>
            </w:tcBorders>
            <w:shd w:val="clear" w:color="auto" w:fill="D3D3D3"/>
            <w:vAlign w:val="center"/>
          </w:tcPr>
          <w:p w14:paraId="5CCD5635" w14:textId="77777777" w:rsidR="006C011D" w:rsidRPr="005A284F" w:rsidRDefault="00000000" w:rsidP="00634AA8">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加：会计政策变更</w:t>
            </w:r>
          </w:p>
        </w:tc>
        <w:tc>
          <w:tcPr>
            <w:tcW w:w="1276" w:type="dxa"/>
            <w:tcBorders>
              <w:top w:val="single" w:sz="2" w:space="0" w:color="auto"/>
              <w:left w:val="single" w:sz="2" w:space="0" w:color="auto"/>
              <w:bottom w:val="single" w:sz="2" w:space="0" w:color="auto"/>
              <w:right w:val="single" w:sz="2" w:space="0" w:color="auto"/>
            </w:tcBorders>
            <w:vAlign w:val="center"/>
          </w:tcPr>
          <w:p w14:paraId="4C71190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29DAF3D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FC9836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0C3E44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61894E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814AB4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BFC581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ACCC0F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C130C8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1D3B61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31FD425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37" w:type="dxa"/>
            <w:tcBorders>
              <w:top w:val="single" w:sz="2" w:space="0" w:color="auto"/>
              <w:left w:val="single" w:sz="2" w:space="0" w:color="auto"/>
              <w:bottom w:val="single" w:sz="2" w:space="0" w:color="auto"/>
              <w:right w:val="single" w:sz="2" w:space="0" w:color="auto"/>
            </w:tcBorders>
            <w:vAlign w:val="center"/>
          </w:tcPr>
          <w:p w14:paraId="5BE696A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82DE14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3292B0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D638BA5"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4B2FF477" w14:textId="77777777" w:rsidTr="00050CA3">
        <w:trPr>
          <w:trHeight w:val="237"/>
          <w:jc w:val="center"/>
        </w:trPr>
        <w:tc>
          <w:tcPr>
            <w:tcW w:w="1135" w:type="dxa"/>
            <w:tcBorders>
              <w:top w:val="single" w:sz="2" w:space="0" w:color="auto"/>
              <w:left w:val="single" w:sz="2" w:space="0" w:color="auto"/>
              <w:bottom w:val="single" w:sz="2" w:space="0" w:color="auto"/>
              <w:right w:val="single" w:sz="2" w:space="0" w:color="auto"/>
            </w:tcBorders>
            <w:shd w:val="clear" w:color="auto" w:fill="D3D3D3"/>
            <w:vAlign w:val="center"/>
          </w:tcPr>
          <w:p w14:paraId="2397FB51" w14:textId="77777777" w:rsidR="006C011D" w:rsidRPr="005A284F" w:rsidRDefault="00000000" w:rsidP="00634AA8">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前期差错更正</w:t>
            </w:r>
          </w:p>
        </w:tc>
        <w:tc>
          <w:tcPr>
            <w:tcW w:w="1276" w:type="dxa"/>
            <w:tcBorders>
              <w:top w:val="single" w:sz="2" w:space="0" w:color="auto"/>
              <w:left w:val="single" w:sz="2" w:space="0" w:color="auto"/>
              <w:bottom w:val="single" w:sz="2" w:space="0" w:color="auto"/>
              <w:right w:val="single" w:sz="2" w:space="0" w:color="auto"/>
            </w:tcBorders>
            <w:vAlign w:val="center"/>
          </w:tcPr>
          <w:p w14:paraId="1891129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10820AB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7E2A1C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C64C36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0A83EA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1783B0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C7E25E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E811A5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9DD168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1B65AD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1BC6BDA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37" w:type="dxa"/>
            <w:tcBorders>
              <w:top w:val="single" w:sz="2" w:space="0" w:color="auto"/>
              <w:left w:val="single" w:sz="2" w:space="0" w:color="auto"/>
              <w:bottom w:val="single" w:sz="2" w:space="0" w:color="auto"/>
              <w:right w:val="single" w:sz="2" w:space="0" w:color="auto"/>
            </w:tcBorders>
            <w:vAlign w:val="center"/>
          </w:tcPr>
          <w:p w14:paraId="3265515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3EEECA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FFA497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FE04E7E"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57A476C4" w14:textId="77777777" w:rsidTr="00050CA3">
        <w:trPr>
          <w:trHeight w:val="237"/>
          <w:jc w:val="center"/>
        </w:trPr>
        <w:tc>
          <w:tcPr>
            <w:tcW w:w="1135" w:type="dxa"/>
            <w:tcBorders>
              <w:top w:val="single" w:sz="2" w:space="0" w:color="auto"/>
              <w:left w:val="single" w:sz="2" w:space="0" w:color="auto"/>
              <w:bottom w:val="single" w:sz="2" w:space="0" w:color="auto"/>
              <w:right w:val="single" w:sz="2" w:space="0" w:color="auto"/>
            </w:tcBorders>
            <w:shd w:val="clear" w:color="auto" w:fill="D3D3D3"/>
            <w:vAlign w:val="center"/>
          </w:tcPr>
          <w:p w14:paraId="09C25805" w14:textId="77777777" w:rsidR="006C011D" w:rsidRPr="005A284F" w:rsidRDefault="00000000">
            <w:pPr>
              <w:spacing w:before="40" w:after="40" w:line="240" w:lineRule="exact"/>
              <w:ind w:firstLineChars="400" w:firstLine="720"/>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c>
          <w:tcPr>
            <w:tcW w:w="1276" w:type="dxa"/>
            <w:tcBorders>
              <w:top w:val="single" w:sz="2" w:space="0" w:color="auto"/>
              <w:left w:val="single" w:sz="2" w:space="0" w:color="auto"/>
              <w:bottom w:val="single" w:sz="2" w:space="0" w:color="auto"/>
              <w:right w:val="single" w:sz="2" w:space="0" w:color="auto"/>
            </w:tcBorders>
            <w:vAlign w:val="center"/>
          </w:tcPr>
          <w:p w14:paraId="7FB762A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39515CC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0161986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820C49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C23BE6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24BAAE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BE8344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462AC29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177EE3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0FBED7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7BD1840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37" w:type="dxa"/>
            <w:tcBorders>
              <w:top w:val="single" w:sz="2" w:space="0" w:color="auto"/>
              <w:left w:val="single" w:sz="2" w:space="0" w:color="auto"/>
              <w:bottom w:val="single" w:sz="2" w:space="0" w:color="auto"/>
              <w:right w:val="single" w:sz="2" w:space="0" w:color="auto"/>
            </w:tcBorders>
            <w:vAlign w:val="center"/>
          </w:tcPr>
          <w:p w14:paraId="2FC321A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BEE586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1C37B9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368D447"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62652A09" w14:textId="77777777" w:rsidTr="00050CA3">
        <w:trPr>
          <w:trHeight w:val="237"/>
          <w:jc w:val="center"/>
        </w:trPr>
        <w:tc>
          <w:tcPr>
            <w:tcW w:w="1135" w:type="dxa"/>
            <w:tcBorders>
              <w:top w:val="single" w:sz="2" w:space="0" w:color="auto"/>
              <w:left w:val="single" w:sz="2" w:space="0" w:color="auto"/>
              <w:bottom w:val="single" w:sz="2" w:space="0" w:color="auto"/>
              <w:right w:val="single" w:sz="2" w:space="0" w:color="auto"/>
            </w:tcBorders>
            <w:shd w:val="clear" w:color="auto" w:fill="D3D3D3"/>
            <w:vAlign w:val="center"/>
          </w:tcPr>
          <w:p w14:paraId="5B6D2846"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二、本年期初余额</w:t>
            </w:r>
          </w:p>
        </w:tc>
        <w:tc>
          <w:tcPr>
            <w:tcW w:w="1276" w:type="dxa"/>
            <w:tcBorders>
              <w:top w:val="single" w:sz="2" w:space="0" w:color="auto"/>
              <w:left w:val="single" w:sz="2" w:space="0" w:color="auto"/>
              <w:bottom w:val="single" w:sz="2" w:space="0" w:color="auto"/>
              <w:right w:val="single" w:sz="2" w:space="0" w:color="auto"/>
            </w:tcBorders>
            <w:vAlign w:val="center"/>
          </w:tcPr>
          <w:p w14:paraId="05AEF4E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1,079,160,261.00</w:t>
            </w:r>
          </w:p>
        </w:tc>
        <w:tc>
          <w:tcPr>
            <w:tcW w:w="850" w:type="dxa"/>
            <w:tcBorders>
              <w:top w:val="single" w:sz="2" w:space="0" w:color="auto"/>
              <w:left w:val="single" w:sz="2" w:space="0" w:color="auto"/>
              <w:bottom w:val="single" w:sz="2" w:space="0" w:color="auto"/>
              <w:right w:val="single" w:sz="2" w:space="0" w:color="auto"/>
            </w:tcBorders>
            <w:vAlign w:val="center"/>
          </w:tcPr>
          <w:p w14:paraId="23F6E65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709" w:type="dxa"/>
            <w:tcBorders>
              <w:top w:val="single" w:sz="2" w:space="0" w:color="auto"/>
              <w:left w:val="single" w:sz="2" w:space="0" w:color="auto"/>
              <w:bottom w:val="single" w:sz="2" w:space="0" w:color="auto"/>
              <w:right w:val="single" w:sz="2" w:space="0" w:color="auto"/>
            </w:tcBorders>
            <w:vAlign w:val="center"/>
          </w:tcPr>
          <w:p w14:paraId="51F0557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vAlign w:val="center"/>
          </w:tcPr>
          <w:p w14:paraId="0C0B0A8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171,570,156.57</w:t>
            </w:r>
          </w:p>
        </w:tc>
        <w:tc>
          <w:tcPr>
            <w:tcW w:w="1134" w:type="dxa"/>
            <w:tcBorders>
              <w:top w:val="single" w:sz="2" w:space="0" w:color="auto"/>
              <w:left w:val="single" w:sz="2" w:space="0" w:color="auto"/>
              <w:bottom w:val="single" w:sz="2" w:space="0" w:color="auto"/>
              <w:right w:val="single" w:sz="2" w:space="0" w:color="auto"/>
            </w:tcBorders>
            <w:vAlign w:val="center"/>
          </w:tcPr>
          <w:p w14:paraId="1EA07AA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824,642,732.28</w:t>
            </w:r>
          </w:p>
        </w:tc>
        <w:tc>
          <w:tcPr>
            <w:tcW w:w="1134" w:type="dxa"/>
            <w:tcBorders>
              <w:top w:val="single" w:sz="2" w:space="0" w:color="auto"/>
              <w:left w:val="single" w:sz="2" w:space="0" w:color="auto"/>
              <w:bottom w:val="single" w:sz="2" w:space="0" w:color="auto"/>
              <w:right w:val="single" w:sz="2" w:space="0" w:color="auto"/>
            </w:tcBorders>
            <w:vAlign w:val="center"/>
          </w:tcPr>
          <w:p w14:paraId="0D8EDBD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330,025,083.29</w:t>
            </w:r>
          </w:p>
        </w:tc>
        <w:tc>
          <w:tcPr>
            <w:tcW w:w="1134" w:type="dxa"/>
            <w:tcBorders>
              <w:top w:val="single" w:sz="2" w:space="0" w:color="auto"/>
              <w:left w:val="single" w:sz="2" w:space="0" w:color="auto"/>
              <w:bottom w:val="single" w:sz="2" w:space="0" w:color="auto"/>
              <w:right w:val="single" w:sz="2" w:space="0" w:color="auto"/>
            </w:tcBorders>
            <w:vAlign w:val="center"/>
          </w:tcPr>
          <w:p w14:paraId="3C94D29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-12,100,000.00</w:t>
            </w:r>
          </w:p>
        </w:tc>
        <w:tc>
          <w:tcPr>
            <w:tcW w:w="425" w:type="dxa"/>
            <w:tcBorders>
              <w:top w:val="single" w:sz="2" w:space="0" w:color="auto"/>
              <w:left w:val="single" w:sz="2" w:space="0" w:color="auto"/>
              <w:bottom w:val="single" w:sz="2" w:space="0" w:color="auto"/>
              <w:right w:val="single" w:sz="2" w:space="0" w:color="auto"/>
            </w:tcBorders>
            <w:vAlign w:val="center"/>
          </w:tcPr>
          <w:p w14:paraId="3460FFD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0843D26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263,717,929.16</w:t>
            </w:r>
          </w:p>
        </w:tc>
        <w:tc>
          <w:tcPr>
            <w:tcW w:w="425" w:type="dxa"/>
            <w:tcBorders>
              <w:top w:val="single" w:sz="2" w:space="0" w:color="auto"/>
              <w:left w:val="single" w:sz="2" w:space="0" w:color="auto"/>
              <w:bottom w:val="single" w:sz="2" w:space="0" w:color="auto"/>
              <w:right w:val="single" w:sz="2" w:space="0" w:color="auto"/>
            </w:tcBorders>
            <w:vAlign w:val="center"/>
          </w:tcPr>
          <w:p w14:paraId="2CEB26C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264" w:type="dxa"/>
            <w:tcBorders>
              <w:top w:val="single" w:sz="2" w:space="0" w:color="auto"/>
              <w:left w:val="single" w:sz="2" w:space="0" w:color="auto"/>
              <w:bottom w:val="single" w:sz="2" w:space="0" w:color="auto"/>
              <w:right w:val="single" w:sz="2" w:space="0" w:color="auto"/>
            </w:tcBorders>
            <w:vAlign w:val="center"/>
          </w:tcPr>
          <w:p w14:paraId="543AD7E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-493,681,729.40</w:t>
            </w:r>
          </w:p>
        </w:tc>
        <w:tc>
          <w:tcPr>
            <w:tcW w:w="437" w:type="dxa"/>
            <w:tcBorders>
              <w:top w:val="single" w:sz="2" w:space="0" w:color="auto"/>
              <w:left w:val="single" w:sz="2" w:space="0" w:color="auto"/>
              <w:bottom w:val="single" w:sz="2" w:space="0" w:color="auto"/>
              <w:right w:val="single" w:sz="2" w:space="0" w:color="auto"/>
            </w:tcBorders>
            <w:vAlign w:val="center"/>
          </w:tcPr>
          <w:p w14:paraId="7079F40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193064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1,503,284,266.32</w:t>
            </w:r>
          </w:p>
        </w:tc>
        <w:tc>
          <w:tcPr>
            <w:tcW w:w="1134" w:type="dxa"/>
            <w:tcBorders>
              <w:top w:val="single" w:sz="2" w:space="0" w:color="auto"/>
              <w:left w:val="single" w:sz="2" w:space="0" w:color="auto"/>
              <w:bottom w:val="single" w:sz="2" w:space="0" w:color="auto"/>
              <w:right w:val="single" w:sz="2" w:space="0" w:color="auto"/>
            </w:tcBorders>
            <w:vAlign w:val="center"/>
          </w:tcPr>
          <w:p w14:paraId="5064E74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157,986,651.74</w:t>
            </w:r>
          </w:p>
        </w:tc>
        <w:tc>
          <w:tcPr>
            <w:tcW w:w="1276" w:type="dxa"/>
            <w:tcBorders>
              <w:top w:val="single" w:sz="2" w:space="0" w:color="auto"/>
              <w:left w:val="single" w:sz="2" w:space="0" w:color="auto"/>
              <w:bottom w:val="single" w:sz="2" w:space="0" w:color="auto"/>
              <w:right w:val="single" w:sz="2" w:space="0" w:color="auto"/>
            </w:tcBorders>
            <w:vAlign w:val="center"/>
          </w:tcPr>
          <w:p w14:paraId="4A09509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1,661,270,918.06</w:t>
            </w:r>
          </w:p>
        </w:tc>
      </w:tr>
      <w:tr w:rsidR="00050CA3" w:rsidRPr="005A284F" w14:paraId="232C07D7" w14:textId="77777777" w:rsidTr="00050CA3">
        <w:trPr>
          <w:trHeight w:val="237"/>
          <w:jc w:val="center"/>
        </w:trPr>
        <w:tc>
          <w:tcPr>
            <w:tcW w:w="1135" w:type="dxa"/>
            <w:tcBorders>
              <w:top w:val="single" w:sz="2" w:space="0" w:color="auto"/>
              <w:left w:val="single" w:sz="2" w:space="0" w:color="auto"/>
              <w:bottom w:val="single" w:sz="2" w:space="0" w:color="auto"/>
              <w:right w:val="single" w:sz="2" w:space="0" w:color="auto"/>
            </w:tcBorders>
            <w:shd w:val="clear" w:color="auto" w:fill="D3D3D3"/>
            <w:vAlign w:val="center"/>
          </w:tcPr>
          <w:p w14:paraId="5E0A872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三、本期增减变动金额（减少以</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号填列）</w:t>
            </w:r>
          </w:p>
        </w:tc>
        <w:tc>
          <w:tcPr>
            <w:tcW w:w="1276" w:type="dxa"/>
            <w:tcBorders>
              <w:top w:val="single" w:sz="2" w:space="0" w:color="auto"/>
              <w:left w:val="single" w:sz="2" w:space="0" w:color="auto"/>
              <w:bottom w:val="single" w:sz="2" w:space="0" w:color="auto"/>
              <w:right w:val="single" w:sz="2" w:space="0" w:color="auto"/>
            </w:tcBorders>
            <w:vAlign w:val="center"/>
          </w:tcPr>
          <w:p w14:paraId="54F045A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428.00</w:t>
            </w:r>
          </w:p>
        </w:tc>
        <w:tc>
          <w:tcPr>
            <w:tcW w:w="850" w:type="dxa"/>
            <w:tcBorders>
              <w:top w:val="single" w:sz="2" w:space="0" w:color="auto"/>
              <w:left w:val="single" w:sz="2" w:space="0" w:color="auto"/>
              <w:bottom w:val="single" w:sz="2" w:space="0" w:color="auto"/>
              <w:right w:val="single" w:sz="2" w:space="0" w:color="auto"/>
            </w:tcBorders>
            <w:vAlign w:val="center"/>
          </w:tcPr>
          <w:p w14:paraId="20ADDB8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709" w:type="dxa"/>
            <w:tcBorders>
              <w:top w:val="single" w:sz="2" w:space="0" w:color="auto"/>
              <w:left w:val="single" w:sz="2" w:space="0" w:color="auto"/>
              <w:bottom w:val="single" w:sz="2" w:space="0" w:color="auto"/>
              <w:right w:val="single" w:sz="2" w:space="0" w:color="auto"/>
            </w:tcBorders>
            <w:vAlign w:val="center"/>
          </w:tcPr>
          <w:p w14:paraId="48CAE60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vAlign w:val="center"/>
          </w:tcPr>
          <w:p w14:paraId="2AE6EE7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-924.90</w:t>
            </w:r>
          </w:p>
        </w:tc>
        <w:tc>
          <w:tcPr>
            <w:tcW w:w="1134" w:type="dxa"/>
            <w:tcBorders>
              <w:top w:val="single" w:sz="2" w:space="0" w:color="auto"/>
              <w:left w:val="single" w:sz="2" w:space="0" w:color="auto"/>
              <w:bottom w:val="single" w:sz="2" w:space="0" w:color="auto"/>
              <w:right w:val="single" w:sz="2" w:space="0" w:color="auto"/>
            </w:tcBorders>
            <w:vAlign w:val="center"/>
          </w:tcPr>
          <w:p w14:paraId="7857EC6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4,296.68</w:t>
            </w:r>
          </w:p>
        </w:tc>
        <w:tc>
          <w:tcPr>
            <w:tcW w:w="1134" w:type="dxa"/>
            <w:tcBorders>
              <w:top w:val="single" w:sz="2" w:space="0" w:color="auto"/>
              <w:left w:val="single" w:sz="2" w:space="0" w:color="auto"/>
              <w:bottom w:val="single" w:sz="2" w:space="0" w:color="auto"/>
              <w:right w:val="single" w:sz="2" w:space="0" w:color="auto"/>
            </w:tcBorders>
            <w:vAlign w:val="center"/>
          </w:tcPr>
          <w:p w14:paraId="60141D3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7EB1375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425" w:type="dxa"/>
            <w:tcBorders>
              <w:top w:val="single" w:sz="2" w:space="0" w:color="auto"/>
              <w:left w:val="single" w:sz="2" w:space="0" w:color="auto"/>
              <w:bottom w:val="single" w:sz="2" w:space="0" w:color="auto"/>
              <w:right w:val="single" w:sz="2" w:space="0" w:color="auto"/>
            </w:tcBorders>
            <w:vAlign w:val="center"/>
          </w:tcPr>
          <w:p w14:paraId="6FA4200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066E75D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425" w:type="dxa"/>
            <w:tcBorders>
              <w:top w:val="single" w:sz="2" w:space="0" w:color="auto"/>
              <w:left w:val="single" w:sz="2" w:space="0" w:color="auto"/>
              <w:bottom w:val="single" w:sz="2" w:space="0" w:color="auto"/>
              <w:right w:val="single" w:sz="2" w:space="0" w:color="auto"/>
            </w:tcBorders>
            <w:vAlign w:val="center"/>
          </w:tcPr>
          <w:p w14:paraId="56AC120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264" w:type="dxa"/>
            <w:tcBorders>
              <w:top w:val="single" w:sz="2" w:space="0" w:color="auto"/>
              <w:left w:val="single" w:sz="2" w:space="0" w:color="auto"/>
              <w:bottom w:val="single" w:sz="2" w:space="0" w:color="auto"/>
              <w:right w:val="single" w:sz="2" w:space="0" w:color="auto"/>
            </w:tcBorders>
            <w:vAlign w:val="center"/>
          </w:tcPr>
          <w:p w14:paraId="223C444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35,168,667.03</w:t>
            </w:r>
          </w:p>
        </w:tc>
        <w:tc>
          <w:tcPr>
            <w:tcW w:w="437" w:type="dxa"/>
            <w:tcBorders>
              <w:top w:val="single" w:sz="2" w:space="0" w:color="auto"/>
              <w:left w:val="single" w:sz="2" w:space="0" w:color="auto"/>
              <w:bottom w:val="single" w:sz="2" w:space="0" w:color="auto"/>
              <w:right w:val="single" w:sz="2" w:space="0" w:color="auto"/>
            </w:tcBorders>
            <w:vAlign w:val="center"/>
          </w:tcPr>
          <w:p w14:paraId="7D131D7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15D823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35,172,466.81</w:t>
            </w:r>
          </w:p>
        </w:tc>
        <w:tc>
          <w:tcPr>
            <w:tcW w:w="1134" w:type="dxa"/>
            <w:tcBorders>
              <w:top w:val="single" w:sz="2" w:space="0" w:color="auto"/>
              <w:left w:val="single" w:sz="2" w:space="0" w:color="auto"/>
              <w:bottom w:val="single" w:sz="2" w:space="0" w:color="auto"/>
              <w:right w:val="single" w:sz="2" w:space="0" w:color="auto"/>
            </w:tcBorders>
            <w:vAlign w:val="center"/>
          </w:tcPr>
          <w:p w14:paraId="5B59761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-6,662,102.72</w:t>
            </w:r>
          </w:p>
        </w:tc>
        <w:tc>
          <w:tcPr>
            <w:tcW w:w="1276" w:type="dxa"/>
            <w:tcBorders>
              <w:top w:val="single" w:sz="2" w:space="0" w:color="auto"/>
              <w:left w:val="single" w:sz="2" w:space="0" w:color="auto"/>
              <w:bottom w:val="single" w:sz="2" w:space="0" w:color="auto"/>
              <w:right w:val="single" w:sz="2" w:space="0" w:color="auto"/>
            </w:tcBorders>
            <w:vAlign w:val="center"/>
          </w:tcPr>
          <w:p w14:paraId="1213F85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28,510,364.09</w:t>
            </w:r>
          </w:p>
        </w:tc>
      </w:tr>
      <w:tr w:rsidR="00050CA3" w:rsidRPr="005A284F" w14:paraId="1AC14463" w14:textId="77777777" w:rsidTr="00050CA3">
        <w:trPr>
          <w:trHeight w:val="237"/>
          <w:jc w:val="center"/>
        </w:trPr>
        <w:tc>
          <w:tcPr>
            <w:tcW w:w="1135" w:type="dxa"/>
            <w:tcBorders>
              <w:top w:val="single" w:sz="2" w:space="0" w:color="auto"/>
              <w:left w:val="single" w:sz="2" w:space="0" w:color="auto"/>
              <w:bottom w:val="single" w:sz="2" w:space="0" w:color="auto"/>
              <w:right w:val="single" w:sz="2" w:space="0" w:color="auto"/>
            </w:tcBorders>
            <w:shd w:val="clear" w:color="auto" w:fill="D3D3D3"/>
            <w:vAlign w:val="center"/>
          </w:tcPr>
          <w:p w14:paraId="6B3586D7"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（一）综合收益总额</w:t>
            </w:r>
          </w:p>
        </w:tc>
        <w:tc>
          <w:tcPr>
            <w:tcW w:w="1276" w:type="dxa"/>
            <w:tcBorders>
              <w:top w:val="single" w:sz="2" w:space="0" w:color="auto"/>
              <w:left w:val="single" w:sz="2" w:space="0" w:color="auto"/>
              <w:bottom w:val="single" w:sz="2" w:space="0" w:color="auto"/>
              <w:right w:val="single" w:sz="2" w:space="0" w:color="auto"/>
            </w:tcBorders>
            <w:vAlign w:val="center"/>
          </w:tcPr>
          <w:p w14:paraId="7F82C7B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57356B3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75ED07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B6FEA2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F7799B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A51B5E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BBB913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5BEDD5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63D73A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E8B620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643B960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35,168,667.03</w:t>
            </w:r>
          </w:p>
        </w:tc>
        <w:tc>
          <w:tcPr>
            <w:tcW w:w="437" w:type="dxa"/>
            <w:tcBorders>
              <w:top w:val="single" w:sz="2" w:space="0" w:color="auto"/>
              <w:left w:val="single" w:sz="2" w:space="0" w:color="auto"/>
              <w:bottom w:val="single" w:sz="2" w:space="0" w:color="auto"/>
              <w:right w:val="single" w:sz="2" w:space="0" w:color="auto"/>
            </w:tcBorders>
            <w:vAlign w:val="center"/>
          </w:tcPr>
          <w:p w14:paraId="5CF695C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ADDD9D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35,168,667.03</w:t>
            </w:r>
          </w:p>
        </w:tc>
        <w:tc>
          <w:tcPr>
            <w:tcW w:w="1134" w:type="dxa"/>
            <w:tcBorders>
              <w:top w:val="single" w:sz="2" w:space="0" w:color="auto"/>
              <w:left w:val="single" w:sz="2" w:space="0" w:color="auto"/>
              <w:bottom w:val="single" w:sz="2" w:space="0" w:color="auto"/>
              <w:right w:val="single" w:sz="2" w:space="0" w:color="auto"/>
            </w:tcBorders>
            <w:vAlign w:val="center"/>
          </w:tcPr>
          <w:p w14:paraId="2BFA534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-4,432,438.05</w:t>
            </w:r>
          </w:p>
        </w:tc>
        <w:tc>
          <w:tcPr>
            <w:tcW w:w="1276" w:type="dxa"/>
            <w:tcBorders>
              <w:top w:val="single" w:sz="2" w:space="0" w:color="auto"/>
              <w:left w:val="single" w:sz="2" w:space="0" w:color="auto"/>
              <w:bottom w:val="single" w:sz="2" w:space="0" w:color="auto"/>
              <w:right w:val="single" w:sz="2" w:space="0" w:color="auto"/>
            </w:tcBorders>
            <w:vAlign w:val="center"/>
          </w:tcPr>
          <w:p w14:paraId="3D59027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30,736,228.98</w:t>
            </w:r>
          </w:p>
        </w:tc>
      </w:tr>
      <w:tr w:rsidR="00050CA3" w:rsidRPr="005A284F" w14:paraId="06BE267F" w14:textId="77777777" w:rsidTr="00050CA3">
        <w:trPr>
          <w:trHeight w:val="237"/>
          <w:jc w:val="center"/>
        </w:trPr>
        <w:tc>
          <w:tcPr>
            <w:tcW w:w="1135" w:type="dxa"/>
            <w:tcBorders>
              <w:top w:val="single" w:sz="2" w:space="0" w:color="auto"/>
              <w:left w:val="single" w:sz="2" w:space="0" w:color="auto"/>
              <w:bottom w:val="single" w:sz="2" w:space="0" w:color="auto"/>
              <w:right w:val="single" w:sz="2" w:space="0" w:color="auto"/>
            </w:tcBorders>
            <w:shd w:val="clear" w:color="auto" w:fill="D3D3D3"/>
            <w:vAlign w:val="center"/>
          </w:tcPr>
          <w:p w14:paraId="03694EAE"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（二）所有者投入和减少资本</w:t>
            </w:r>
          </w:p>
        </w:tc>
        <w:tc>
          <w:tcPr>
            <w:tcW w:w="1276" w:type="dxa"/>
            <w:tcBorders>
              <w:top w:val="single" w:sz="2" w:space="0" w:color="auto"/>
              <w:left w:val="single" w:sz="2" w:space="0" w:color="auto"/>
              <w:bottom w:val="single" w:sz="2" w:space="0" w:color="auto"/>
              <w:right w:val="single" w:sz="2" w:space="0" w:color="auto"/>
            </w:tcBorders>
            <w:vAlign w:val="center"/>
          </w:tcPr>
          <w:p w14:paraId="79FC0BF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428.00</w:t>
            </w:r>
          </w:p>
        </w:tc>
        <w:tc>
          <w:tcPr>
            <w:tcW w:w="850" w:type="dxa"/>
            <w:tcBorders>
              <w:top w:val="single" w:sz="2" w:space="0" w:color="auto"/>
              <w:left w:val="single" w:sz="2" w:space="0" w:color="auto"/>
              <w:bottom w:val="single" w:sz="2" w:space="0" w:color="auto"/>
              <w:right w:val="single" w:sz="2" w:space="0" w:color="auto"/>
            </w:tcBorders>
            <w:vAlign w:val="center"/>
          </w:tcPr>
          <w:p w14:paraId="55645A7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709" w:type="dxa"/>
            <w:tcBorders>
              <w:top w:val="single" w:sz="2" w:space="0" w:color="auto"/>
              <w:left w:val="single" w:sz="2" w:space="0" w:color="auto"/>
              <w:bottom w:val="single" w:sz="2" w:space="0" w:color="auto"/>
              <w:right w:val="single" w:sz="2" w:space="0" w:color="auto"/>
            </w:tcBorders>
            <w:vAlign w:val="center"/>
          </w:tcPr>
          <w:p w14:paraId="05EEC58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vAlign w:val="center"/>
          </w:tcPr>
          <w:p w14:paraId="341C4DB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-924.90</w:t>
            </w:r>
          </w:p>
        </w:tc>
        <w:tc>
          <w:tcPr>
            <w:tcW w:w="1134" w:type="dxa"/>
            <w:tcBorders>
              <w:top w:val="single" w:sz="2" w:space="0" w:color="auto"/>
              <w:left w:val="single" w:sz="2" w:space="0" w:color="auto"/>
              <w:bottom w:val="single" w:sz="2" w:space="0" w:color="auto"/>
              <w:right w:val="single" w:sz="2" w:space="0" w:color="auto"/>
            </w:tcBorders>
            <w:vAlign w:val="center"/>
          </w:tcPr>
          <w:p w14:paraId="3CDD58F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4,296.68</w:t>
            </w:r>
          </w:p>
        </w:tc>
        <w:tc>
          <w:tcPr>
            <w:tcW w:w="1134" w:type="dxa"/>
            <w:tcBorders>
              <w:top w:val="single" w:sz="2" w:space="0" w:color="auto"/>
              <w:left w:val="single" w:sz="2" w:space="0" w:color="auto"/>
              <w:bottom w:val="single" w:sz="2" w:space="0" w:color="auto"/>
              <w:right w:val="single" w:sz="2" w:space="0" w:color="auto"/>
            </w:tcBorders>
            <w:vAlign w:val="center"/>
          </w:tcPr>
          <w:p w14:paraId="12ABCC0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63BE4A5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425" w:type="dxa"/>
            <w:tcBorders>
              <w:top w:val="single" w:sz="2" w:space="0" w:color="auto"/>
              <w:left w:val="single" w:sz="2" w:space="0" w:color="auto"/>
              <w:bottom w:val="single" w:sz="2" w:space="0" w:color="auto"/>
              <w:right w:val="single" w:sz="2" w:space="0" w:color="auto"/>
            </w:tcBorders>
            <w:vAlign w:val="center"/>
          </w:tcPr>
          <w:p w14:paraId="163778E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6925E25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425" w:type="dxa"/>
            <w:tcBorders>
              <w:top w:val="single" w:sz="2" w:space="0" w:color="auto"/>
              <w:left w:val="single" w:sz="2" w:space="0" w:color="auto"/>
              <w:bottom w:val="single" w:sz="2" w:space="0" w:color="auto"/>
              <w:right w:val="single" w:sz="2" w:space="0" w:color="auto"/>
            </w:tcBorders>
            <w:vAlign w:val="center"/>
          </w:tcPr>
          <w:p w14:paraId="6D69658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264" w:type="dxa"/>
            <w:tcBorders>
              <w:top w:val="single" w:sz="2" w:space="0" w:color="auto"/>
              <w:left w:val="single" w:sz="2" w:space="0" w:color="auto"/>
              <w:bottom w:val="single" w:sz="2" w:space="0" w:color="auto"/>
              <w:right w:val="single" w:sz="2" w:space="0" w:color="auto"/>
            </w:tcBorders>
            <w:vAlign w:val="center"/>
          </w:tcPr>
          <w:p w14:paraId="7F687C7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437" w:type="dxa"/>
            <w:tcBorders>
              <w:top w:val="single" w:sz="2" w:space="0" w:color="auto"/>
              <w:left w:val="single" w:sz="2" w:space="0" w:color="auto"/>
              <w:bottom w:val="single" w:sz="2" w:space="0" w:color="auto"/>
              <w:right w:val="single" w:sz="2" w:space="0" w:color="auto"/>
            </w:tcBorders>
            <w:vAlign w:val="center"/>
          </w:tcPr>
          <w:p w14:paraId="667B3F9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143486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3,799.78</w:t>
            </w:r>
          </w:p>
        </w:tc>
        <w:tc>
          <w:tcPr>
            <w:tcW w:w="1134" w:type="dxa"/>
            <w:tcBorders>
              <w:top w:val="single" w:sz="2" w:space="0" w:color="auto"/>
              <w:left w:val="single" w:sz="2" w:space="0" w:color="auto"/>
              <w:bottom w:val="single" w:sz="2" w:space="0" w:color="auto"/>
              <w:right w:val="single" w:sz="2" w:space="0" w:color="auto"/>
            </w:tcBorders>
            <w:vAlign w:val="center"/>
          </w:tcPr>
          <w:p w14:paraId="2D3DEC1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-2,229,664.67</w:t>
            </w:r>
          </w:p>
        </w:tc>
        <w:tc>
          <w:tcPr>
            <w:tcW w:w="1276" w:type="dxa"/>
            <w:tcBorders>
              <w:top w:val="single" w:sz="2" w:space="0" w:color="auto"/>
              <w:left w:val="single" w:sz="2" w:space="0" w:color="auto"/>
              <w:bottom w:val="single" w:sz="2" w:space="0" w:color="auto"/>
              <w:right w:val="single" w:sz="2" w:space="0" w:color="auto"/>
            </w:tcBorders>
            <w:vAlign w:val="center"/>
          </w:tcPr>
          <w:p w14:paraId="3B960EA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-2,225,864.89</w:t>
            </w:r>
          </w:p>
        </w:tc>
      </w:tr>
      <w:tr w:rsidR="00050CA3" w:rsidRPr="005A284F" w14:paraId="034358BB" w14:textId="77777777" w:rsidTr="00050CA3">
        <w:trPr>
          <w:trHeight w:val="237"/>
          <w:jc w:val="center"/>
        </w:trPr>
        <w:tc>
          <w:tcPr>
            <w:tcW w:w="1135" w:type="dxa"/>
            <w:tcBorders>
              <w:top w:val="single" w:sz="2" w:space="0" w:color="auto"/>
              <w:left w:val="single" w:sz="2" w:space="0" w:color="auto"/>
              <w:bottom w:val="single" w:sz="2" w:space="0" w:color="auto"/>
              <w:right w:val="single" w:sz="2" w:space="0" w:color="auto"/>
            </w:tcBorders>
            <w:shd w:val="clear" w:color="auto" w:fill="D3D3D3"/>
            <w:vAlign w:val="center"/>
          </w:tcPr>
          <w:p w14:paraId="47D77E39"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．所有者投入的普通股</w:t>
            </w:r>
          </w:p>
        </w:tc>
        <w:tc>
          <w:tcPr>
            <w:tcW w:w="1276" w:type="dxa"/>
            <w:tcBorders>
              <w:top w:val="single" w:sz="2" w:space="0" w:color="auto"/>
              <w:left w:val="single" w:sz="2" w:space="0" w:color="auto"/>
              <w:bottom w:val="single" w:sz="2" w:space="0" w:color="auto"/>
              <w:right w:val="single" w:sz="2" w:space="0" w:color="auto"/>
            </w:tcBorders>
            <w:vAlign w:val="center"/>
          </w:tcPr>
          <w:p w14:paraId="3112315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428.00</w:t>
            </w:r>
          </w:p>
        </w:tc>
        <w:tc>
          <w:tcPr>
            <w:tcW w:w="850" w:type="dxa"/>
            <w:tcBorders>
              <w:top w:val="single" w:sz="2" w:space="0" w:color="auto"/>
              <w:left w:val="single" w:sz="2" w:space="0" w:color="auto"/>
              <w:bottom w:val="single" w:sz="2" w:space="0" w:color="auto"/>
              <w:right w:val="single" w:sz="2" w:space="0" w:color="auto"/>
            </w:tcBorders>
            <w:vAlign w:val="center"/>
          </w:tcPr>
          <w:p w14:paraId="21FCA2C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3FCF4D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A49F2C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1F3EDA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4,296.68</w:t>
            </w:r>
          </w:p>
        </w:tc>
        <w:tc>
          <w:tcPr>
            <w:tcW w:w="1134" w:type="dxa"/>
            <w:tcBorders>
              <w:top w:val="single" w:sz="2" w:space="0" w:color="auto"/>
              <w:left w:val="single" w:sz="2" w:space="0" w:color="auto"/>
              <w:bottom w:val="single" w:sz="2" w:space="0" w:color="auto"/>
              <w:right w:val="single" w:sz="2" w:space="0" w:color="auto"/>
            </w:tcBorders>
            <w:vAlign w:val="center"/>
          </w:tcPr>
          <w:p w14:paraId="55F0D0F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28DA7D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F6DA71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CB02D7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DCC2D3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7CEF05F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37" w:type="dxa"/>
            <w:tcBorders>
              <w:top w:val="single" w:sz="2" w:space="0" w:color="auto"/>
              <w:left w:val="single" w:sz="2" w:space="0" w:color="auto"/>
              <w:bottom w:val="single" w:sz="2" w:space="0" w:color="auto"/>
              <w:right w:val="single" w:sz="2" w:space="0" w:color="auto"/>
            </w:tcBorders>
            <w:vAlign w:val="center"/>
          </w:tcPr>
          <w:p w14:paraId="78C4F26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69353A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4,724.68</w:t>
            </w:r>
          </w:p>
        </w:tc>
        <w:tc>
          <w:tcPr>
            <w:tcW w:w="1134" w:type="dxa"/>
            <w:tcBorders>
              <w:top w:val="single" w:sz="2" w:space="0" w:color="auto"/>
              <w:left w:val="single" w:sz="2" w:space="0" w:color="auto"/>
              <w:bottom w:val="single" w:sz="2" w:space="0" w:color="auto"/>
              <w:right w:val="single" w:sz="2" w:space="0" w:color="auto"/>
            </w:tcBorders>
            <w:vAlign w:val="center"/>
          </w:tcPr>
          <w:p w14:paraId="4CFDBEA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D871BD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4,724.68</w:t>
            </w:r>
          </w:p>
        </w:tc>
      </w:tr>
      <w:tr w:rsidR="00050CA3" w:rsidRPr="005A284F" w14:paraId="5B0D485B" w14:textId="77777777" w:rsidTr="00050CA3">
        <w:trPr>
          <w:trHeight w:val="237"/>
          <w:jc w:val="center"/>
        </w:trPr>
        <w:tc>
          <w:tcPr>
            <w:tcW w:w="1135" w:type="dxa"/>
            <w:tcBorders>
              <w:top w:val="single" w:sz="2" w:space="0" w:color="auto"/>
              <w:left w:val="single" w:sz="2" w:space="0" w:color="auto"/>
              <w:bottom w:val="single" w:sz="2" w:space="0" w:color="auto"/>
              <w:right w:val="single" w:sz="2" w:space="0" w:color="auto"/>
            </w:tcBorders>
            <w:shd w:val="clear" w:color="auto" w:fill="D3D3D3"/>
            <w:vAlign w:val="center"/>
          </w:tcPr>
          <w:p w14:paraId="49AFA0B3"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．其他权益工具持有者投入资本</w:t>
            </w:r>
          </w:p>
        </w:tc>
        <w:tc>
          <w:tcPr>
            <w:tcW w:w="1276" w:type="dxa"/>
            <w:tcBorders>
              <w:top w:val="single" w:sz="2" w:space="0" w:color="auto"/>
              <w:left w:val="single" w:sz="2" w:space="0" w:color="auto"/>
              <w:bottom w:val="single" w:sz="2" w:space="0" w:color="auto"/>
              <w:right w:val="single" w:sz="2" w:space="0" w:color="auto"/>
            </w:tcBorders>
            <w:vAlign w:val="center"/>
          </w:tcPr>
          <w:p w14:paraId="71B4D7A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41C236B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52B955C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B1DA57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B609F3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4C8DF8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93493D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11774D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BEB4E7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D2E726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19E7388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37" w:type="dxa"/>
            <w:tcBorders>
              <w:top w:val="single" w:sz="2" w:space="0" w:color="auto"/>
              <w:left w:val="single" w:sz="2" w:space="0" w:color="auto"/>
              <w:bottom w:val="single" w:sz="2" w:space="0" w:color="auto"/>
              <w:right w:val="single" w:sz="2" w:space="0" w:color="auto"/>
            </w:tcBorders>
            <w:vAlign w:val="center"/>
          </w:tcPr>
          <w:p w14:paraId="5670507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DCC7CC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8DC1FC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FBB2F2A"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76FB2667" w14:textId="77777777" w:rsidTr="00050CA3">
        <w:trPr>
          <w:trHeight w:val="237"/>
          <w:jc w:val="center"/>
        </w:trPr>
        <w:tc>
          <w:tcPr>
            <w:tcW w:w="1135" w:type="dxa"/>
            <w:tcBorders>
              <w:top w:val="single" w:sz="2" w:space="0" w:color="auto"/>
              <w:left w:val="single" w:sz="2" w:space="0" w:color="auto"/>
              <w:bottom w:val="single" w:sz="2" w:space="0" w:color="auto"/>
              <w:right w:val="single" w:sz="2" w:space="0" w:color="auto"/>
            </w:tcBorders>
            <w:shd w:val="clear" w:color="auto" w:fill="D3D3D3"/>
            <w:vAlign w:val="center"/>
          </w:tcPr>
          <w:p w14:paraId="279DACB1"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．股份支付</w:t>
            </w:r>
            <w:r w:rsidRPr="005A284F">
              <w:rPr>
                <w:rFonts w:ascii="Times New Roman" w:eastAsia="宋体" w:hAnsi="Times New Roman" w:cs="Times New Roman"/>
                <w:sz w:val="18"/>
                <w:szCs w:val="18"/>
              </w:rPr>
              <w:lastRenderedPageBreak/>
              <w:t>计入所有者权益的金额</w:t>
            </w:r>
          </w:p>
        </w:tc>
        <w:tc>
          <w:tcPr>
            <w:tcW w:w="1276" w:type="dxa"/>
            <w:tcBorders>
              <w:top w:val="single" w:sz="2" w:space="0" w:color="auto"/>
              <w:left w:val="single" w:sz="2" w:space="0" w:color="auto"/>
              <w:bottom w:val="single" w:sz="2" w:space="0" w:color="auto"/>
              <w:right w:val="single" w:sz="2" w:space="0" w:color="auto"/>
            </w:tcBorders>
            <w:vAlign w:val="center"/>
          </w:tcPr>
          <w:p w14:paraId="66F6CFC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258DD81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DA7B92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677F6D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345B43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41F12C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71FEE4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6F04E40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9AD7A6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F3E67F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1827235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37" w:type="dxa"/>
            <w:tcBorders>
              <w:top w:val="single" w:sz="2" w:space="0" w:color="auto"/>
              <w:left w:val="single" w:sz="2" w:space="0" w:color="auto"/>
              <w:bottom w:val="single" w:sz="2" w:space="0" w:color="auto"/>
              <w:right w:val="single" w:sz="2" w:space="0" w:color="auto"/>
            </w:tcBorders>
            <w:vAlign w:val="center"/>
          </w:tcPr>
          <w:p w14:paraId="30833B2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5807D9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D5ED57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A2FCDE8"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1CA72F6C" w14:textId="77777777" w:rsidTr="00050CA3">
        <w:trPr>
          <w:trHeight w:val="237"/>
          <w:jc w:val="center"/>
        </w:trPr>
        <w:tc>
          <w:tcPr>
            <w:tcW w:w="1135" w:type="dxa"/>
            <w:tcBorders>
              <w:top w:val="single" w:sz="2" w:space="0" w:color="auto"/>
              <w:left w:val="single" w:sz="2" w:space="0" w:color="auto"/>
              <w:bottom w:val="single" w:sz="2" w:space="0" w:color="auto"/>
              <w:right w:val="single" w:sz="2" w:space="0" w:color="auto"/>
            </w:tcBorders>
            <w:shd w:val="clear" w:color="auto" w:fill="D3D3D3"/>
            <w:vAlign w:val="center"/>
          </w:tcPr>
          <w:p w14:paraId="1BFD378E"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．其他</w:t>
            </w:r>
          </w:p>
        </w:tc>
        <w:tc>
          <w:tcPr>
            <w:tcW w:w="1276" w:type="dxa"/>
            <w:tcBorders>
              <w:top w:val="single" w:sz="2" w:space="0" w:color="auto"/>
              <w:left w:val="single" w:sz="2" w:space="0" w:color="auto"/>
              <w:bottom w:val="single" w:sz="2" w:space="0" w:color="auto"/>
              <w:right w:val="single" w:sz="2" w:space="0" w:color="auto"/>
            </w:tcBorders>
            <w:vAlign w:val="center"/>
          </w:tcPr>
          <w:p w14:paraId="5C48F90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7687904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9B81B1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6F3121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-924.90</w:t>
            </w:r>
          </w:p>
        </w:tc>
        <w:tc>
          <w:tcPr>
            <w:tcW w:w="1134" w:type="dxa"/>
            <w:tcBorders>
              <w:top w:val="single" w:sz="2" w:space="0" w:color="auto"/>
              <w:left w:val="single" w:sz="2" w:space="0" w:color="auto"/>
              <w:bottom w:val="single" w:sz="2" w:space="0" w:color="auto"/>
              <w:right w:val="single" w:sz="2" w:space="0" w:color="auto"/>
            </w:tcBorders>
            <w:vAlign w:val="center"/>
          </w:tcPr>
          <w:p w14:paraId="260A286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EBC5FF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BBA663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48EF292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A0AEF0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081817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734F9CF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37" w:type="dxa"/>
            <w:tcBorders>
              <w:top w:val="single" w:sz="2" w:space="0" w:color="auto"/>
              <w:left w:val="single" w:sz="2" w:space="0" w:color="auto"/>
              <w:bottom w:val="single" w:sz="2" w:space="0" w:color="auto"/>
              <w:right w:val="single" w:sz="2" w:space="0" w:color="auto"/>
            </w:tcBorders>
            <w:vAlign w:val="center"/>
          </w:tcPr>
          <w:p w14:paraId="5045DCE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337E7F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-924.90</w:t>
            </w:r>
          </w:p>
        </w:tc>
        <w:tc>
          <w:tcPr>
            <w:tcW w:w="1134" w:type="dxa"/>
            <w:tcBorders>
              <w:top w:val="single" w:sz="2" w:space="0" w:color="auto"/>
              <w:left w:val="single" w:sz="2" w:space="0" w:color="auto"/>
              <w:bottom w:val="single" w:sz="2" w:space="0" w:color="auto"/>
              <w:right w:val="single" w:sz="2" w:space="0" w:color="auto"/>
            </w:tcBorders>
            <w:vAlign w:val="center"/>
          </w:tcPr>
          <w:p w14:paraId="32CB30C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-2,229,664.67</w:t>
            </w:r>
          </w:p>
        </w:tc>
        <w:tc>
          <w:tcPr>
            <w:tcW w:w="1276" w:type="dxa"/>
            <w:tcBorders>
              <w:top w:val="single" w:sz="2" w:space="0" w:color="auto"/>
              <w:left w:val="single" w:sz="2" w:space="0" w:color="auto"/>
              <w:bottom w:val="single" w:sz="2" w:space="0" w:color="auto"/>
              <w:right w:val="single" w:sz="2" w:space="0" w:color="auto"/>
            </w:tcBorders>
            <w:vAlign w:val="center"/>
          </w:tcPr>
          <w:p w14:paraId="381BC6D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-2,230,589.57</w:t>
            </w:r>
          </w:p>
        </w:tc>
      </w:tr>
      <w:tr w:rsidR="00050CA3" w:rsidRPr="005A284F" w14:paraId="2A6BD67B" w14:textId="77777777" w:rsidTr="00050CA3">
        <w:trPr>
          <w:trHeight w:val="237"/>
          <w:jc w:val="center"/>
        </w:trPr>
        <w:tc>
          <w:tcPr>
            <w:tcW w:w="1135" w:type="dxa"/>
            <w:tcBorders>
              <w:top w:val="single" w:sz="2" w:space="0" w:color="auto"/>
              <w:left w:val="single" w:sz="2" w:space="0" w:color="auto"/>
              <w:bottom w:val="single" w:sz="2" w:space="0" w:color="auto"/>
              <w:right w:val="single" w:sz="2" w:space="0" w:color="auto"/>
            </w:tcBorders>
            <w:shd w:val="clear" w:color="auto" w:fill="D3D3D3"/>
            <w:vAlign w:val="center"/>
          </w:tcPr>
          <w:p w14:paraId="54D30080"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（三）利润分配</w:t>
            </w:r>
          </w:p>
        </w:tc>
        <w:tc>
          <w:tcPr>
            <w:tcW w:w="1276" w:type="dxa"/>
            <w:tcBorders>
              <w:top w:val="single" w:sz="2" w:space="0" w:color="auto"/>
              <w:left w:val="single" w:sz="2" w:space="0" w:color="auto"/>
              <w:bottom w:val="single" w:sz="2" w:space="0" w:color="auto"/>
              <w:right w:val="single" w:sz="2" w:space="0" w:color="auto"/>
            </w:tcBorders>
            <w:vAlign w:val="center"/>
          </w:tcPr>
          <w:p w14:paraId="3DC7062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1744670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631555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DA4476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254B90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74AFD4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2E2C44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0901EC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3F9630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157E58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540CF61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37" w:type="dxa"/>
            <w:tcBorders>
              <w:top w:val="single" w:sz="2" w:space="0" w:color="auto"/>
              <w:left w:val="single" w:sz="2" w:space="0" w:color="auto"/>
              <w:bottom w:val="single" w:sz="2" w:space="0" w:color="auto"/>
              <w:right w:val="single" w:sz="2" w:space="0" w:color="auto"/>
            </w:tcBorders>
            <w:vAlign w:val="center"/>
          </w:tcPr>
          <w:p w14:paraId="10496AA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B8D7F8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E6154D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700F2B4"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7280C9F7" w14:textId="77777777" w:rsidTr="00050CA3">
        <w:trPr>
          <w:trHeight w:val="237"/>
          <w:jc w:val="center"/>
        </w:trPr>
        <w:tc>
          <w:tcPr>
            <w:tcW w:w="1135" w:type="dxa"/>
            <w:tcBorders>
              <w:top w:val="single" w:sz="2" w:space="0" w:color="auto"/>
              <w:left w:val="single" w:sz="2" w:space="0" w:color="auto"/>
              <w:bottom w:val="single" w:sz="2" w:space="0" w:color="auto"/>
              <w:right w:val="single" w:sz="2" w:space="0" w:color="auto"/>
            </w:tcBorders>
            <w:shd w:val="clear" w:color="auto" w:fill="D3D3D3"/>
            <w:vAlign w:val="center"/>
          </w:tcPr>
          <w:p w14:paraId="06100687"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．提取盈余公积</w:t>
            </w:r>
          </w:p>
        </w:tc>
        <w:tc>
          <w:tcPr>
            <w:tcW w:w="1276" w:type="dxa"/>
            <w:tcBorders>
              <w:top w:val="single" w:sz="2" w:space="0" w:color="auto"/>
              <w:left w:val="single" w:sz="2" w:space="0" w:color="auto"/>
              <w:bottom w:val="single" w:sz="2" w:space="0" w:color="auto"/>
              <w:right w:val="single" w:sz="2" w:space="0" w:color="auto"/>
            </w:tcBorders>
            <w:vAlign w:val="center"/>
          </w:tcPr>
          <w:p w14:paraId="2FD7145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9349A1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22080C3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9C98C1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410670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44E8B5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444106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4235EEB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A13141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8F729C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7D0B56B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37" w:type="dxa"/>
            <w:tcBorders>
              <w:top w:val="single" w:sz="2" w:space="0" w:color="auto"/>
              <w:left w:val="single" w:sz="2" w:space="0" w:color="auto"/>
              <w:bottom w:val="single" w:sz="2" w:space="0" w:color="auto"/>
              <w:right w:val="single" w:sz="2" w:space="0" w:color="auto"/>
            </w:tcBorders>
            <w:vAlign w:val="center"/>
          </w:tcPr>
          <w:p w14:paraId="370AA1F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DF55C5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8E3A7D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0AA5B64"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63C0B80D" w14:textId="77777777" w:rsidTr="00050CA3">
        <w:trPr>
          <w:trHeight w:val="237"/>
          <w:jc w:val="center"/>
        </w:trPr>
        <w:tc>
          <w:tcPr>
            <w:tcW w:w="1135" w:type="dxa"/>
            <w:tcBorders>
              <w:top w:val="single" w:sz="2" w:space="0" w:color="auto"/>
              <w:left w:val="single" w:sz="2" w:space="0" w:color="auto"/>
              <w:bottom w:val="single" w:sz="2" w:space="0" w:color="auto"/>
              <w:right w:val="single" w:sz="2" w:space="0" w:color="auto"/>
            </w:tcBorders>
            <w:shd w:val="clear" w:color="auto" w:fill="D3D3D3"/>
            <w:vAlign w:val="center"/>
          </w:tcPr>
          <w:p w14:paraId="51D1033D"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．提取一般风险准备</w:t>
            </w:r>
          </w:p>
        </w:tc>
        <w:tc>
          <w:tcPr>
            <w:tcW w:w="1276" w:type="dxa"/>
            <w:tcBorders>
              <w:top w:val="single" w:sz="2" w:space="0" w:color="auto"/>
              <w:left w:val="single" w:sz="2" w:space="0" w:color="auto"/>
              <w:bottom w:val="single" w:sz="2" w:space="0" w:color="auto"/>
              <w:right w:val="single" w:sz="2" w:space="0" w:color="auto"/>
            </w:tcBorders>
            <w:vAlign w:val="center"/>
          </w:tcPr>
          <w:p w14:paraId="5A76146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7EF973B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2D8BAC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F81230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82A989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52DB8A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611643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643E566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6850DF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974F20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1675CCB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37" w:type="dxa"/>
            <w:tcBorders>
              <w:top w:val="single" w:sz="2" w:space="0" w:color="auto"/>
              <w:left w:val="single" w:sz="2" w:space="0" w:color="auto"/>
              <w:bottom w:val="single" w:sz="2" w:space="0" w:color="auto"/>
              <w:right w:val="single" w:sz="2" w:space="0" w:color="auto"/>
            </w:tcBorders>
            <w:vAlign w:val="center"/>
          </w:tcPr>
          <w:p w14:paraId="403B37C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AD6FEE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4FE575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C6A4409"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466246D6" w14:textId="77777777" w:rsidTr="00050CA3">
        <w:trPr>
          <w:trHeight w:val="237"/>
          <w:jc w:val="center"/>
        </w:trPr>
        <w:tc>
          <w:tcPr>
            <w:tcW w:w="1135" w:type="dxa"/>
            <w:tcBorders>
              <w:top w:val="single" w:sz="2" w:space="0" w:color="auto"/>
              <w:left w:val="single" w:sz="2" w:space="0" w:color="auto"/>
              <w:bottom w:val="single" w:sz="2" w:space="0" w:color="auto"/>
              <w:right w:val="single" w:sz="2" w:space="0" w:color="auto"/>
            </w:tcBorders>
            <w:shd w:val="clear" w:color="auto" w:fill="D3D3D3"/>
            <w:vAlign w:val="center"/>
          </w:tcPr>
          <w:p w14:paraId="7361C00F"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．对所有者（或股东）的分配</w:t>
            </w:r>
          </w:p>
        </w:tc>
        <w:tc>
          <w:tcPr>
            <w:tcW w:w="1276" w:type="dxa"/>
            <w:tcBorders>
              <w:top w:val="single" w:sz="2" w:space="0" w:color="auto"/>
              <w:left w:val="single" w:sz="2" w:space="0" w:color="auto"/>
              <w:bottom w:val="single" w:sz="2" w:space="0" w:color="auto"/>
              <w:right w:val="single" w:sz="2" w:space="0" w:color="auto"/>
            </w:tcBorders>
            <w:vAlign w:val="center"/>
          </w:tcPr>
          <w:p w14:paraId="0811EA8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325EDFE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CBFCCB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51CC29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B61494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E444A3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CE0B0C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2EB433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67EB5A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60AA5C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61857C6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37" w:type="dxa"/>
            <w:tcBorders>
              <w:top w:val="single" w:sz="2" w:space="0" w:color="auto"/>
              <w:left w:val="single" w:sz="2" w:space="0" w:color="auto"/>
              <w:bottom w:val="single" w:sz="2" w:space="0" w:color="auto"/>
              <w:right w:val="single" w:sz="2" w:space="0" w:color="auto"/>
            </w:tcBorders>
            <w:vAlign w:val="center"/>
          </w:tcPr>
          <w:p w14:paraId="5903855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71E49D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003C00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AE9CCCB"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67CB8814" w14:textId="77777777" w:rsidTr="00050CA3">
        <w:trPr>
          <w:trHeight w:val="237"/>
          <w:jc w:val="center"/>
        </w:trPr>
        <w:tc>
          <w:tcPr>
            <w:tcW w:w="1135" w:type="dxa"/>
            <w:tcBorders>
              <w:top w:val="single" w:sz="2" w:space="0" w:color="auto"/>
              <w:left w:val="single" w:sz="2" w:space="0" w:color="auto"/>
              <w:bottom w:val="single" w:sz="2" w:space="0" w:color="auto"/>
              <w:right w:val="single" w:sz="2" w:space="0" w:color="auto"/>
            </w:tcBorders>
            <w:shd w:val="clear" w:color="auto" w:fill="D3D3D3"/>
            <w:vAlign w:val="center"/>
          </w:tcPr>
          <w:p w14:paraId="43445755"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．其他</w:t>
            </w:r>
          </w:p>
        </w:tc>
        <w:tc>
          <w:tcPr>
            <w:tcW w:w="1276" w:type="dxa"/>
            <w:tcBorders>
              <w:top w:val="single" w:sz="2" w:space="0" w:color="auto"/>
              <w:left w:val="single" w:sz="2" w:space="0" w:color="auto"/>
              <w:bottom w:val="single" w:sz="2" w:space="0" w:color="auto"/>
              <w:right w:val="single" w:sz="2" w:space="0" w:color="auto"/>
            </w:tcBorders>
            <w:vAlign w:val="center"/>
          </w:tcPr>
          <w:p w14:paraId="2FD73EA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F8C7B2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B5CFD6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973276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1BC389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CD306D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6B9483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4D14E43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583D13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CFE36E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5F8BE79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37" w:type="dxa"/>
            <w:tcBorders>
              <w:top w:val="single" w:sz="2" w:space="0" w:color="auto"/>
              <w:left w:val="single" w:sz="2" w:space="0" w:color="auto"/>
              <w:bottom w:val="single" w:sz="2" w:space="0" w:color="auto"/>
              <w:right w:val="single" w:sz="2" w:space="0" w:color="auto"/>
            </w:tcBorders>
            <w:vAlign w:val="center"/>
          </w:tcPr>
          <w:p w14:paraId="153FAEB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71EAB2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E98B6A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3A338EC"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4E58672A" w14:textId="77777777" w:rsidTr="00050CA3">
        <w:trPr>
          <w:trHeight w:val="237"/>
          <w:jc w:val="center"/>
        </w:trPr>
        <w:tc>
          <w:tcPr>
            <w:tcW w:w="1135" w:type="dxa"/>
            <w:tcBorders>
              <w:top w:val="single" w:sz="2" w:space="0" w:color="auto"/>
              <w:left w:val="single" w:sz="2" w:space="0" w:color="auto"/>
              <w:bottom w:val="single" w:sz="2" w:space="0" w:color="auto"/>
              <w:right w:val="single" w:sz="2" w:space="0" w:color="auto"/>
            </w:tcBorders>
            <w:shd w:val="clear" w:color="auto" w:fill="D3D3D3"/>
            <w:vAlign w:val="center"/>
          </w:tcPr>
          <w:p w14:paraId="06305903"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（四）所有者权益内部结转</w:t>
            </w:r>
          </w:p>
        </w:tc>
        <w:tc>
          <w:tcPr>
            <w:tcW w:w="1276" w:type="dxa"/>
            <w:tcBorders>
              <w:top w:val="single" w:sz="2" w:space="0" w:color="auto"/>
              <w:left w:val="single" w:sz="2" w:space="0" w:color="auto"/>
              <w:bottom w:val="single" w:sz="2" w:space="0" w:color="auto"/>
              <w:right w:val="single" w:sz="2" w:space="0" w:color="auto"/>
            </w:tcBorders>
            <w:vAlign w:val="center"/>
          </w:tcPr>
          <w:p w14:paraId="07D3713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55AB8D3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15489D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337B17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A9F6E2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151C52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905541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4C77D7E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CA2F28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23E88E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3415A17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37" w:type="dxa"/>
            <w:tcBorders>
              <w:top w:val="single" w:sz="2" w:space="0" w:color="auto"/>
              <w:left w:val="single" w:sz="2" w:space="0" w:color="auto"/>
              <w:bottom w:val="single" w:sz="2" w:space="0" w:color="auto"/>
              <w:right w:val="single" w:sz="2" w:space="0" w:color="auto"/>
            </w:tcBorders>
            <w:vAlign w:val="center"/>
          </w:tcPr>
          <w:p w14:paraId="3CE00C8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A4D6DA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774C55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5C33F19"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48DEDD18" w14:textId="77777777" w:rsidTr="00050CA3">
        <w:trPr>
          <w:trHeight w:val="237"/>
          <w:jc w:val="center"/>
        </w:trPr>
        <w:tc>
          <w:tcPr>
            <w:tcW w:w="1135" w:type="dxa"/>
            <w:tcBorders>
              <w:top w:val="single" w:sz="2" w:space="0" w:color="auto"/>
              <w:left w:val="single" w:sz="2" w:space="0" w:color="auto"/>
              <w:bottom w:val="single" w:sz="2" w:space="0" w:color="auto"/>
              <w:right w:val="single" w:sz="2" w:space="0" w:color="auto"/>
            </w:tcBorders>
            <w:shd w:val="clear" w:color="auto" w:fill="D3D3D3"/>
            <w:vAlign w:val="center"/>
          </w:tcPr>
          <w:p w14:paraId="307AA23B"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．资本公积转增资本（或股本）</w:t>
            </w:r>
          </w:p>
        </w:tc>
        <w:tc>
          <w:tcPr>
            <w:tcW w:w="1276" w:type="dxa"/>
            <w:tcBorders>
              <w:top w:val="single" w:sz="2" w:space="0" w:color="auto"/>
              <w:left w:val="single" w:sz="2" w:space="0" w:color="auto"/>
              <w:bottom w:val="single" w:sz="2" w:space="0" w:color="auto"/>
              <w:right w:val="single" w:sz="2" w:space="0" w:color="auto"/>
            </w:tcBorders>
            <w:vAlign w:val="center"/>
          </w:tcPr>
          <w:p w14:paraId="6BAE817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20A93F0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17E4653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00C794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995616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2C6604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F68053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449CFA2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534941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D21F08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7A14368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37" w:type="dxa"/>
            <w:tcBorders>
              <w:top w:val="single" w:sz="2" w:space="0" w:color="auto"/>
              <w:left w:val="single" w:sz="2" w:space="0" w:color="auto"/>
              <w:bottom w:val="single" w:sz="2" w:space="0" w:color="auto"/>
              <w:right w:val="single" w:sz="2" w:space="0" w:color="auto"/>
            </w:tcBorders>
            <w:vAlign w:val="center"/>
          </w:tcPr>
          <w:p w14:paraId="747D366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29C16F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929884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95CD187"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4CA83ED0" w14:textId="77777777" w:rsidTr="00050CA3">
        <w:trPr>
          <w:trHeight w:val="237"/>
          <w:jc w:val="center"/>
        </w:trPr>
        <w:tc>
          <w:tcPr>
            <w:tcW w:w="1135" w:type="dxa"/>
            <w:tcBorders>
              <w:top w:val="single" w:sz="2" w:space="0" w:color="auto"/>
              <w:left w:val="single" w:sz="2" w:space="0" w:color="auto"/>
              <w:bottom w:val="single" w:sz="2" w:space="0" w:color="auto"/>
              <w:right w:val="single" w:sz="2" w:space="0" w:color="auto"/>
            </w:tcBorders>
            <w:shd w:val="clear" w:color="auto" w:fill="D3D3D3"/>
            <w:vAlign w:val="center"/>
          </w:tcPr>
          <w:p w14:paraId="28D4AC46"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．盈余公积转增资本（或股本）</w:t>
            </w:r>
          </w:p>
        </w:tc>
        <w:tc>
          <w:tcPr>
            <w:tcW w:w="1276" w:type="dxa"/>
            <w:tcBorders>
              <w:top w:val="single" w:sz="2" w:space="0" w:color="auto"/>
              <w:left w:val="single" w:sz="2" w:space="0" w:color="auto"/>
              <w:bottom w:val="single" w:sz="2" w:space="0" w:color="auto"/>
              <w:right w:val="single" w:sz="2" w:space="0" w:color="auto"/>
            </w:tcBorders>
            <w:vAlign w:val="center"/>
          </w:tcPr>
          <w:p w14:paraId="01E1C90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4DE9017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EE9B40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6AC6F2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031C3E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03625E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857E6D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F4037A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DA3FAB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6D6CE0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19AA79D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37" w:type="dxa"/>
            <w:tcBorders>
              <w:top w:val="single" w:sz="2" w:space="0" w:color="auto"/>
              <w:left w:val="single" w:sz="2" w:space="0" w:color="auto"/>
              <w:bottom w:val="single" w:sz="2" w:space="0" w:color="auto"/>
              <w:right w:val="single" w:sz="2" w:space="0" w:color="auto"/>
            </w:tcBorders>
            <w:vAlign w:val="center"/>
          </w:tcPr>
          <w:p w14:paraId="3C11401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CD580E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5BF457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5D8790A"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19884719" w14:textId="77777777" w:rsidTr="00050CA3">
        <w:trPr>
          <w:trHeight w:val="237"/>
          <w:jc w:val="center"/>
        </w:trPr>
        <w:tc>
          <w:tcPr>
            <w:tcW w:w="1135" w:type="dxa"/>
            <w:tcBorders>
              <w:top w:val="single" w:sz="2" w:space="0" w:color="auto"/>
              <w:left w:val="single" w:sz="2" w:space="0" w:color="auto"/>
              <w:bottom w:val="single" w:sz="2" w:space="0" w:color="auto"/>
              <w:right w:val="single" w:sz="2" w:space="0" w:color="auto"/>
            </w:tcBorders>
            <w:shd w:val="clear" w:color="auto" w:fill="D3D3D3"/>
            <w:vAlign w:val="center"/>
          </w:tcPr>
          <w:p w14:paraId="6D7E84A8"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．盈余公积弥补亏损</w:t>
            </w:r>
          </w:p>
        </w:tc>
        <w:tc>
          <w:tcPr>
            <w:tcW w:w="1276" w:type="dxa"/>
            <w:tcBorders>
              <w:top w:val="single" w:sz="2" w:space="0" w:color="auto"/>
              <w:left w:val="single" w:sz="2" w:space="0" w:color="auto"/>
              <w:bottom w:val="single" w:sz="2" w:space="0" w:color="auto"/>
              <w:right w:val="single" w:sz="2" w:space="0" w:color="auto"/>
            </w:tcBorders>
            <w:vAlign w:val="center"/>
          </w:tcPr>
          <w:p w14:paraId="29B40BB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7B32D19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79F3A5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28ED7B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CF6E18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6369B2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7EC3B2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CA73D2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6E130F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82172F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3645314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37" w:type="dxa"/>
            <w:tcBorders>
              <w:top w:val="single" w:sz="2" w:space="0" w:color="auto"/>
              <w:left w:val="single" w:sz="2" w:space="0" w:color="auto"/>
              <w:bottom w:val="single" w:sz="2" w:space="0" w:color="auto"/>
              <w:right w:val="single" w:sz="2" w:space="0" w:color="auto"/>
            </w:tcBorders>
            <w:vAlign w:val="center"/>
          </w:tcPr>
          <w:p w14:paraId="17800A7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61F693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E14ADA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A571333"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0ADA3391" w14:textId="77777777" w:rsidTr="00050CA3">
        <w:trPr>
          <w:trHeight w:val="237"/>
          <w:jc w:val="center"/>
        </w:trPr>
        <w:tc>
          <w:tcPr>
            <w:tcW w:w="1135" w:type="dxa"/>
            <w:tcBorders>
              <w:top w:val="single" w:sz="2" w:space="0" w:color="auto"/>
              <w:left w:val="single" w:sz="2" w:space="0" w:color="auto"/>
              <w:bottom w:val="single" w:sz="2" w:space="0" w:color="auto"/>
              <w:right w:val="single" w:sz="2" w:space="0" w:color="auto"/>
            </w:tcBorders>
            <w:shd w:val="clear" w:color="auto" w:fill="D3D3D3"/>
            <w:vAlign w:val="center"/>
          </w:tcPr>
          <w:p w14:paraId="1C1C4D12"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．设定受益计划变动额结转留存收益</w:t>
            </w:r>
          </w:p>
        </w:tc>
        <w:tc>
          <w:tcPr>
            <w:tcW w:w="1276" w:type="dxa"/>
            <w:tcBorders>
              <w:top w:val="single" w:sz="2" w:space="0" w:color="auto"/>
              <w:left w:val="single" w:sz="2" w:space="0" w:color="auto"/>
              <w:bottom w:val="single" w:sz="2" w:space="0" w:color="auto"/>
              <w:right w:val="single" w:sz="2" w:space="0" w:color="auto"/>
            </w:tcBorders>
            <w:vAlign w:val="center"/>
          </w:tcPr>
          <w:p w14:paraId="04C56DD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2514148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0E64015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D953ED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198100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1AB9B2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F6D2E3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A92F38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294A1E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B143FC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42DEE6B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37" w:type="dxa"/>
            <w:tcBorders>
              <w:top w:val="single" w:sz="2" w:space="0" w:color="auto"/>
              <w:left w:val="single" w:sz="2" w:space="0" w:color="auto"/>
              <w:bottom w:val="single" w:sz="2" w:space="0" w:color="auto"/>
              <w:right w:val="single" w:sz="2" w:space="0" w:color="auto"/>
            </w:tcBorders>
            <w:vAlign w:val="center"/>
          </w:tcPr>
          <w:p w14:paraId="7C44FFB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E142E5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7434F8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C4E81E7"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5863B6B3" w14:textId="77777777" w:rsidTr="00050CA3">
        <w:trPr>
          <w:trHeight w:val="237"/>
          <w:jc w:val="center"/>
        </w:trPr>
        <w:tc>
          <w:tcPr>
            <w:tcW w:w="1135" w:type="dxa"/>
            <w:tcBorders>
              <w:top w:val="single" w:sz="2" w:space="0" w:color="auto"/>
              <w:left w:val="single" w:sz="2" w:space="0" w:color="auto"/>
              <w:bottom w:val="single" w:sz="2" w:space="0" w:color="auto"/>
              <w:right w:val="single" w:sz="2" w:space="0" w:color="auto"/>
            </w:tcBorders>
            <w:shd w:val="clear" w:color="auto" w:fill="D3D3D3"/>
            <w:vAlign w:val="center"/>
          </w:tcPr>
          <w:p w14:paraId="6FF90170"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5</w:t>
            </w:r>
            <w:r w:rsidRPr="005A284F">
              <w:rPr>
                <w:rFonts w:ascii="Times New Roman" w:eastAsia="宋体" w:hAnsi="Times New Roman" w:cs="Times New Roman"/>
                <w:sz w:val="18"/>
                <w:szCs w:val="18"/>
              </w:rPr>
              <w:t>．其他综合收益结转留存收益</w:t>
            </w:r>
          </w:p>
        </w:tc>
        <w:tc>
          <w:tcPr>
            <w:tcW w:w="1276" w:type="dxa"/>
            <w:tcBorders>
              <w:top w:val="single" w:sz="2" w:space="0" w:color="auto"/>
              <w:left w:val="single" w:sz="2" w:space="0" w:color="auto"/>
              <w:bottom w:val="single" w:sz="2" w:space="0" w:color="auto"/>
              <w:right w:val="single" w:sz="2" w:space="0" w:color="auto"/>
            </w:tcBorders>
            <w:vAlign w:val="center"/>
          </w:tcPr>
          <w:p w14:paraId="3EB915A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5D7FA9B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059E9E5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12DF0D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A7D0B2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A22712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65A9FC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6DB1911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018888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83AAD6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5E1C67F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37" w:type="dxa"/>
            <w:tcBorders>
              <w:top w:val="single" w:sz="2" w:space="0" w:color="auto"/>
              <w:left w:val="single" w:sz="2" w:space="0" w:color="auto"/>
              <w:bottom w:val="single" w:sz="2" w:space="0" w:color="auto"/>
              <w:right w:val="single" w:sz="2" w:space="0" w:color="auto"/>
            </w:tcBorders>
            <w:vAlign w:val="center"/>
          </w:tcPr>
          <w:p w14:paraId="02CD7D7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0533F6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4B4585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5ACFC9D"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3D1BFCAB" w14:textId="77777777" w:rsidTr="00050CA3">
        <w:trPr>
          <w:trHeight w:val="237"/>
          <w:jc w:val="center"/>
        </w:trPr>
        <w:tc>
          <w:tcPr>
            <w:tcW w:w="1135" w:type="dxa"/>
            <w:tcBorders>
              <w:top w:val="single" w:sz="2" w:space="0" w:color="auto"/>
              <w:left w:val="single" w:sz="2" w:space="0" w:color="auto"/>
              <w:bottom w:val="single" w:sz="2" w:space="0" w:color="auto"/>
              <w:right w:val="single" w:sz="2" w:space="0" w:color="auto"/>
            </w:tcBorders>
            <w:shd w:val="clear" w:color="auto" w:fill="D3D3D3"/>
            <w:vAlign w:val="center"/>
          </w:tcPr>
          <w:p w14:paraId="0464DC8E"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6</w:t>
            </w:r>
            <w:r w:rsidRPr="005A284F">
              <w:rPr>
                <w:rFonts w:ascii="Times New Roman" w:eastAsia="宋体" w:hAnsi="Times New Roman" w:cs="Times New Roman"/>
                <w:sz w:val="18"/>
                <w:szCs w:val="18"/>
              </w:rPr>
              <w:t>．其他</w:t>
            </w:r>
          </w:p>
        </w:tc>
        <w:tc>
          <w:tcPr>
            <w:tcW w:w="1276" w:type="dxa"/>
            <w:tcBorders>
              <w:top w:val="single" w:sz="2" w:space="0" w:color="auto"/>
              <w:left w:val="single" w:sz="2" w:space="0" w:color="auto"/>
              <w:bottom w:val="single" w:sz="2" w:space="0" w:color="auto"/>
              <w:right w:val="single" w:sz="2" w:space="0" w:color="auto"/>
            </w:tcBorders>
            <w:vAlign w:val="center"/>
          </w:tcPr>
          <w:p w14:paraId="2C6DD9C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0D49596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51F691C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B43CB0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2D07A7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2F65C8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0487D4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7FB35F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B52BD9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03F54B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08A2DA9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37" w:type="dxa"/>
            <w:tcBorders>
              <w:top w:val="single" w:sz="2" w:space="0" w:color="auto"/>
              <w:left w:val="single" w:sz="2" w:space="0" w:color="auto"/>
              <w:bottom w:val="single" w:sz="2" w:space="0" w:color="auto"/>
              <w:right w:val="single" w:sz="2" w:space="0" w:color="auto"/>
            </w:tcBorders>
            <w:vAlign w:val="center"/>
          </w:tcPr>
          <w:p w14:paraId="6AA9677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FF417E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246C00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F42B4B8"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1B47B27F" w14:textId="77777777" w:rsidTr="00050CA3">
        <w:trPr>
          <w:trHeight w:val="237"/>
          <w:jc w:val="center"/>
        </w:trPr>
        <w:tc>
          <w:tcPr>
            <w:tcW w:w="1135" w:type="dxa"/>
            <w:tcBorders>
              <w:top w:val="single" w:sz="2" w:space="0" w:color="auto"/>
              <w:left w:val="single" w:sz="2" w:space="0" w:color="auto"/>
              <w:bottom w:val="single" w:sz="2" w:space="0" w:color="auto"/>
              <w:right w:val="single" w:sz="2" w:space="0" w:color="auto"/>
            </w:tcBorders>
            <w:shd w:val="clear" w:color="auto" w:fill="D3D3D3"/>
            <w:vAlign w:val="center"/>
          </w:tcPr>
          <w:p w14:paraId="75B8EF7B"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（五）专项储备</w:t>
            </w:r>
          </w:p>
        </w:tc>
        <w:tc>
          <w:tcPr>
            <w:tcW w:w="1276" w:type="dxa"/>
            <w:tcBorders>
              <w:top w:val="single" w:sz="2" w:space="0" w:color="auto"/>
              <w:left w:val="single" w:sz="2" w:space="0" w:color="auto"/>
              <w:bottom w:val="single" w:sz="2" w:space="0" w:color="auto"/>
              <w:right w:val="single" w:sz="2" w:space="0" w:color="auto"/>
            </w:tcBorders>
            <w:vAlign w:val="center"/>
          </w:tcPr>
          <w:p w14:paraId="52C826D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386C1F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3CC4C5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F98979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BFD5A3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17AFDA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662758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A44290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3E752C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C5F769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5555073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37" w:type="dxa"/>
            <w:tcBorders>
              <w:top w:val="single" w:sz="2" w:space="0" w:color="auto"/>
              <w:left w:val="single" w:sz="2" w:space="0" w:color="auto"/>
              <w:bottom w:val="single" w:sz="2" w:space="0" w:color="auto"/>
              <w:right w:val="single" w:sz="2" w:space="0" w:color="auto"/>
            </w:tcBorders>
            <w:vAlign w:val="center"/>
          </w:tcPr>
          <w:p w14:paraId="3A03E2E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224FB7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FD07AA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BFEDBEC"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7601EFE1" w14:textId="77777777" w:rsidTr="00050CA3">
        <w:trPr>
          <w:trHeight w:val="237"/>
          <w:jc w:val="center"/>
        </w:trPr>
        <w:tc>
          <w:tcPr>
            <w:tcW w:w="1135" w:type="dxa"/>
            <w:tcBorders>
              <w:top w:val="single" w:sz="2" w:space="0" w:color="auto"/>
              <w:left w:val="single" w:sz="2" w:space="0" w:color="auto"/>
              <w:bottom w:val="single" w:sz="2" w:space="0" w:color="auto"/>
              <w:right w:val="single" w:sz="2" w:space="0" w:color="auto"/>
            </w:tcBorders>
            <w:shd w:val="clear" w:color="auto" w:fill="D3D3D3"/>
            <w:vAlign w:val="center"/>
          </w:tcPr>
          <w:p w14:paraId="289769BC"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1</w:t>
            </w:r>
            <w:r w:rsidRPr="005A284F">
              <w:rPr>
                <w:rFonts w:ascii="Times New Roman" w:eastAsia="宋体" w:hAnsi="Times New Roman" w:cs="Times New Roman"/>
                <w:sz w:val="18"/>
                <w:szCs w:val="18"/>
              </w:rPr>
              <w:t>．本期提取</w:t>
            </w:r>
          </w:p>
        </w:tc>
        <w:tc>
          <w:tcPr>
            <w:tcW w:w="1276" w:type="dxa"/>
            <w:tcBorders>
              <w:top w:val="single" w:sz="2" w:space="0" w:color="auto"/>
              <w:left w:val="single" w:sz="2" w:space="0" w:color="auto"/>
              <w:bottom w:val="single" w:sz="2" w:space="0" w:color="auto"/>
              <w:right w:val="single" w:sz="2" w:space="0" w:color="auto"/>
            </w:tcBorders>
            <w:vAlign w:val="center"/>
          </w:tcPr>
          <w:p w14:paraId="53C0229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0CFBFE2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A511AD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47EB42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BD2B33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D31CD1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A951D0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4588831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11AF86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2B9685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3DE44C9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37" w:type="dxa"/>
            <w:tcBorders>
              <w:top w:val="single" w:sz="2" w:space="0" w:color="auto"/>
              <w:left w:val="single" w:sz="2" w:space="0" w:color="auto"/>
              <w:bottom w:val="single" w:sz="2" w:space="0" w:color="auto"/>
              <w:right w:val="single" w:sz="2" w:space="0" w:color="auto"/>
            </w:tcBorders>
            <w:vAlign w:val="center"/>
          </w:tcPr>
          <w:p w14:paraId="7A5AE9C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CC8A9C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927043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8D8F37E"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41E82E96" w14:textId="77777777" w:rsidTr="00050CA3">
        <w:trPr>
          <w:trHeight w:val="237"/>
          <w:jc w:val="center"/>
        </w:trPr>
        <w:tc>
          <w:tcPr>
            <w:tcW w:w="1135" w:type="dxa"/>
            <w:tcBorders>
              <w:top w:val="single" w:sz="2" w:space="0" w:color="auto"/>
              <w:left w:val="single" w:sz="2" w:space="0" w:color="auto"/>
              <w:bottom w:val="single" w:sz="2" w:space="0" w:color="auto"/>
              <w:right w:val="single" w:sz="2" w:space="0" w:color="auto"/>
            </w:tcBorders>
            <w:shd w:val="clear" w:color="auto" w:fill="D3D3D3"/>
            <w:vAlign w:val="center"/>
          </w:tcPr>
          <w:p w14:paraId="435C730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．本期使用</w:t>
            </w:r>
          </w:p>
        </w:tc>
        <w:tc>
          <w:tcPr>
            <w:tcW w:w="1276" w:type="dxa"/>
            <w:tcBorders>
              <w:top w:val="single" w:sz="2" w:space="0" w:color="auto"/>
              <w:left w:val="single" w:sz="2" w:space="0" w:color="auto"/>
              <w:bottom w:val="single" w:sz="2" w:space="0" w:color="auto"/>
              <w:right w:val="single" w:sz="2" w:space="0" w:color="auto"/>
            </w:tcBorders>
            <w:vAlign w:val="center"/>
          </w:tcPr>
          <w:p w14:paraId="4CB61A7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01229DF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281349A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6FC55B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9723E7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ED334A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797F5E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BC23BA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5770BC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630B74C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498D06C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37" w:type="dxa"/>
            <w:tcBorders>
              <w:top w:val="single" w:sz="2" w:space="0" w:color="auto"/>
              <w:left w:val="single" w:sz="2" w:space="0" w:color="auto"/>
              <w:bottom w:val="single" w:sz="2" w:space="0" w:color="auto"/>
              <w:right w:val="single" w:sz="2" w:space="0" w:color="auto"/>
            </w:tcBorders>
            <w:vAlign w:val="center"/>
          </w:tcPr>
          <w:p w14:paraId="424A21D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101004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E73C4F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A56E051"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24BD0075" w14:textId="77777777" w:rsidTr="00050CA3">
        <w:trPr>
          <w:trHeight w:val="237"/>
          <w:jc w:val="center"/>
        </w:trPr>
        <w:tc>
          <w:tcPr>
            <w:tcW w:w="1135" w:type="dxa"/>
            <w:tcBorders>
              <w:top w:val="single" w:sz="2" w:space="0" w:color="auto"/>
              <w:left w:val="single" w:sz="2" w:space="0" w:color="auto"/>
              <w:bottom w:val="single" w:sz="2" w:space="0" w:color="auto"/>
              <w:right w:val="single" w:sz="2" w:space="0" w:color="auto"/>
            </w:tcBorders>
            <w:shd w:val="clear" w:color="auto" w:fill="D3D3D3"/>
            <w:vAlign w:val="center"/>
          </w:tcPr>
          <w:p w14:paraId="034FFBF3"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（六）其他</w:t>
            </w:r>
          </w:p>
        </w:tc>
        <w:tc>
          <w:tcPr>
            <w:tcW w:w="1276" w:type="dxa"/>
            <w:tcBorders>
              <w:top w:val="single" w:sz="2" w:space="0" w:color="auto"/>
              <w:left w:val="single" w:sz="2" w:space="0" w:color="auto"/>
              <w:bottom w:val="single" w:sz="2" w:space="0" w:color="auto"/>
              <w:right w:val="single" w:sz="2" w:space="0" w:color="auto"/>
            </w:tcBorders>
            <w:vAlign w:val="center"/>
          </w:tcPr>
          <w:p w14:paraId="2E81496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30E8FF9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5A2C75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0C5E28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290C03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62BEAE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DDEB5A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3EC4B9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B1CE45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E7049C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74CA1F6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37" w:type="dxa"/>
            <w:tcBorders>
              <w:top w:val="single" w:sz="2" w:space="0" w:color="auto"/>
              <w:left w:val="single" w:sz="2" w:space="0" w:color="auto"/>
              <w:bottom w:val="single" w:sz="2" w:space="0" w:color="auto"/>
              <w:right w:val="single" w:sz="2" w:space="0" w:color="auto"/>
            </w:tcBorders>
            <w:vAlign w:val="center"/>
          </w:tcPr>
          <w:p w14:paraId="09242F7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C3D380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39C2C6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9614C67"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5378B58B" w14:textId="77777777" w:rsidTr="00050CA3">
        <w:trPr>
          <w:trHeight w:val="237"/>
          <w:jc w:val="center"/>
        </w:trPr>
        <w:tc>
          <w:tcPr>
            <w:tcW w:w="1135" w:type="dxa"/>
            <w:tcBorders>
              <w:top w:val="single" w:sz="2" w:space="0" w:color="auto"/>
              <w:left w:val="single" w:sz="2" w:space="0" w:color="auto"/>
              <w:bottom w:val="single" w:sz="2" w:space="0" w:color="auto"/>
              <w:right w:val="single" w:sz="2" w:space="0" w:color="auto"/>
            </w:tcBorders>
            <w:shd w:val="clear" w:color="auto" w:fill="D3D3D3"/>
            <w:vAlign w:val="center"/>
          </w:tcPr>
          <w:p w14:paraId="01C757DB"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四、本期期末余额</w:t>
            </w:r>
          </w:p>
        </w:tc>
        <w:tc>
          <w:tcPr>
            <w:tcW w:w="1276" w:type="dxa"/>
            <w:tcBorders>
              <w:top w:val="single" w:sz="2" w:space="0" w:color="auto"/>
              <w:left w:val="single" w:sz="2" w:space="0" w:color="auto"/>
              <w:bottom w:val="single" w:sz="2" w:space="0" w:color="auto"/>
              <w:right w:val="single" w:sz="2" w:space="0" w:color="auto"/>
            </w:tcBorders>
            <w:vAlign w:val="center"/>
          </w:tcPr>
          <w:p w14:paraId="57822DB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1,079,160,689.00</w:t>
            </w:r>
          </w:p>
        </w:tc>
        <w:tc>
          <w:tcPr>
            <w:tcW w:w="850" w:type="dxa"/>
            <w:tcBorders>
              <w:top w:val="single" w:sz="2" w:space="0" w:color="auto"/>
              <w:left w:val="single" w:sz="2" w:space="0" w:color="auto"/>
              <w:bottom w:val="single" w:sz="2" w:space="0" w:color="auto"/>
              <w:right w:val="single" w:sz="2" w:space="0" w:color="auto"/>
            </w:tcBorders>
            <w:vAlign w:val="center"/>
          </w:tcPr>
          <w:p w14:paraId="3821D34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709" w:type="dxa"/>
            <w:tcBorders>
              <w:top w:val="single" w:sz="2" w:space="0" w:color="auto"/>
              <w:left w:val="single" w:sz="2" w:space="0" w:color="auto"/>
              <w:bottom w:val="single" w:sz="2" w:space="0" w:color="auto"/>
              <w:right w:val="single" w:sz="2" w:space="0" w:color="auto"/>
            </w:tcBorders>
            <w:vAlign w:val="center"/>
          </w:tcPr>
          <w:p w14:paraId="04B321F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vAlign w:val="center"/>
          </w:tcPr>
          <w:p w14:paraId="6729B12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171,569,231.67</w:t>
            </w:r>
          </w:p>
        </w:tc>
        <w:tc>
          <w:tcPr>
            <w:tcW w:w="1134" w:type="dxa"/>
            <w:tcBorders>
              <w:top w:val="single" w:sz="2" w:space="0" w:color="auto"/>
              <w:left w:val="single" w:sz="2" w:space="0" w:color="auto"/>
              <w:bottom w:val="single" w:sz="2" w:space="0" w:color="auto"/>
              <w:right w:val="single" w:sz="2" w:space="0" w:color="auto"/>
            </w:tcBorders>
            <w:vAlign w:val="center"/>
          </w:tcPr>
          <w:p w14:paraId="457F060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824,647,028.96</w:t>
            </w:r>
          </w:p>
        </w:tc>
        <w:tc>
          <w:tcPr>
            <w:tcW w:w="1134" w:type="dxa"/>
            <w:tcBorders>
              <w:top w:val="single" w:sz="2" w:space="0" w:color="auto"/>
              <w:left w:val="single" w:sz="2" w:space="0" w:color="auto"/>
              <w:bottom w:val="single" w:sz="2" w:space="0" w:color="auto"/>
              <w:right w:val="single" w:sz="2" w:space="0" w:color="auto"/>
            </w:tcBorders>
            <w:vAlign w:val="center"/>
          </w:tcPr>
          <w:p w14:paraId="35163B7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330,025,083.29</w:t>
            </w:r>
          </w:p>
        </w:tc>
        <w:tc>
          <w:tcPr>
            <w:tcW w:w="1134" w:type="dxa"/>
            <w:tcBorders>
              <w:top w:val="single" w:sz="2" w:space="0" w:color="auto"/>
              <w:left w:val="single" w:sz="2" w:space="0" w:color="auto"/>
              <w:bottom w:val="single" w:sz="2" w:space="0" w:color="auto"/>
              <w:right w:val="single" w:sz="2" w:space="0" w:color="auto"/>
            </w:tcBorders>
            <w:vAlign w:val="center"/>
          </w:tcPr>
          <w:p w14:paraId="30F41BA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-12,100,000.00</w:t>
            </w:r>
          </w:p>
        </w:tc>
        <w:tc>
          <w:tcPr>
            <w:tcW w:w="425" w:type="dxa"/>
            <w:tcBorders>
              <w:top w:val="single" w:sz="2" w:space="0" w:color="auto"/>
              <w:left w:val="single" w:sz="2" w:space="0" w:color="auto"/>
              <w:bottom w:val="single" w:sz="2" w:space="0" w:color="auto"/>
              <w:right w:val="single" w:sz="2" w:space="0" w:color="auto"/>
            </w:tcBorders>
            <w:vAlign w:val="center"/>
          </w:tcPr>
          <w:p w14:paraId="1FD66E5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0054368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263,717,929.16</w:t>
            </w:r>
          </w:p>
        </w:tc>
        <w:tc>
          <w:tcPr>
            <w:tcW w:w="425" w:type="dxa"/>
            <w:tcBorders>
              <w:top w:val="single" w:sz="2" w:space="0" w:color="auto"/>
              <w:left w:val="single" w:sz="2" w:space="0" w:color="auto"/>
              <w:bottom w:val="single" w:sz="2" w:space="0" w:color="auto"/>
              <w:right w:val="single" w:sz="2" w:space="0" w:color="auto"/>
            </w:tcBorders>
            <w:vAlign w:val="center"/>
          </w:tcPr>
          <w:p w14:paraId="39BBDB7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264" w:type="dxa"/>
            <w:tcBorders>
              <w:top w:val="single" w:sz="2" w:space="0" w:color="auto"/>
              <w:left w:val="single" w:sz="2" w:space="0" w:color="auto"/>
              <w:bottom w:val="single" w:sz="2" w:space="0" w:color="auto"/>
              <w:right w:val="single" w:sz="2" w:space="0" w:color="auto"/>
            </w:tcBorders>
            <w:vAlign w:val="center"/>
          </w:tcPr>
          <w:p w14:paraId="76DF2D9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-458,513,062.37</w:t>
            </w:r>
          </w:p>
        </w:tc>
        <w:tc>
          <w:tcPr>
            <w:tcW w:w="437" w:type="dxa"/>
            <w:tcBorders>
              <w:top w:val="single" w:sz="2" w:space="0" w:color="auto"/>
              <w:left w:val="single" w:sz="2" w:space="0" w:color="auto"/>
              <w:bottom w:val="single" w:sz="2" w:space="0" w:color="auto"/>
              <w:right w:val="single" w:sz="2" w:space="0" w:color="auto"/>
            </w:tcBorders>
            <w:vAlign w:val="center"/>
          </w:tcPr>
          <w:p w14:paraId="6AE4B50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3027A6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1,538,456,733.13</w:t>
            </w:r>
          </w:p>
        </w:tc>
        <w:tc>
          <w:tcPr>
            <w:tcW w:w="1134" w:type="dxa"/>
            <w:tcBorders>
              <w:top w:val="single" w:sz="2" w:space="0" w:color="auto"/>
              <w:left w:val="single" w:sz="2" w:space="0" w:color="auto"/>
              <w:bottom w:val="single" w:sz="2" w:space="0" w:color="auto"/>
              <w:right w:val="single" w:sz="2" w:space="0" w:color="auto"/>
            </w:tcBorders>
            <w:vAlign w:val="center"/>
          </w:tcPr>
          <w:p w14:paraId="711DC02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151,324,549.02</w:t>
            </w:r>
          </w:p>
        </w:tc>
        <w:tc>
          <w:tcPr>
            <w:tcW w:w="1276" w:type="dxa"/>
            <w:tcBorders>
              <w:top w:val="single" w:sz="2" w:space="0" w:color="auto"/>
              <w:left w:val="single" w:sz="2" w:space="0" w:color="auto"/>
              <w:bottom w:val="single" w:sz="2" w:space="0" w:color="auto"/>
              <w:right w:val="single" w:sz="2" w:space="0" w:color="auto"/>
            </w:tcBorders>
            <w:vAlign w:val="center"/>
          </w:tcPr>
          <w:p w14:paraId="1D61FEC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1,689,781,282.15</w:t>
            </w:r>
          </w:p>
        </w:tc>
      </w:tr>
    </w:tbl>
    <w:p w14:paraId="58D982BE"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上年金额</w:t>
      </w:r>
    </w:p>
    <w:p w14:paraId="2B79866C" w14:textId="77777777" w:rsidR="006C011D" w:rsidRPr="005A284F" w:rsidRDefault="00000000">
      <w:pPr>
        <w:spacing w:before="120" w:after="12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15961"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0" w:type="dxa"/>
          <w:right w:w="0" w:type="dxa"/>
        </w:tblCellMar>
        <w:tblLook w:val="04A0" w:firstRow="1" w:lastRow="0" w:firstColumn="1" w:lastColumn="0" w:noHBand="0" w:noVBand="1"/>
      </w:tblPr>
      <w:tblGrid>
        <w:gridCol w:w="1077"/>
        <w:gridCol w:w="1276"/>
        <w:gridCol w:w="709"/>
        <w:gridCol w:w="708"/>
        <w:gridCol w:w="1134"/>
        <w:gridCol w:w="1134"/>
        <w:gridCol w:w="1134"/>
        <w:gridCol w:w="1134"/>
        <w:gridCol w:w="426"/>
        <w:gridCol w:w="1134"/>
        <w:gridCol w:w="425"/>
        <w:gridCol w:w="1276"/>
        <w:gridCol w:w="425"/>
        <w:gridCol w:w="1276"/>
        <w:gridCol w:w="1275"/>
        <w:gridCol w:w="1418"/>
      </w:tblGrid>
      <w:tr w:rsidR="006C011D" w:rsidRPr="005A284F" w14:paraId="001DB28F" w14:textId="77777777" w:rsidTr="00050CA3">
        <w:trPr>
          <w:trHeight w:val="239"/>
          <w:jc w:val="center"/>
        </w:trPr>
        <w:tc>
          <w:tcPr>
            <w:tcW w:w="10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026971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14884"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14:paraId="137EBCC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年半年度</w:t>
            </w:r>
          </w:p>
        </w:tc>
      </w:tr>
      <w:tr w:rsidR="006C011D" w:rsidRPr="005A284F" w14:paraId="429B6C35" w14:textId="77777777" w:rsidTr="00050CA3">
        <w:trPr>
          <w:trHeight w:val="239"/>
          <w:jc w:val="center"/>
        </w:trPr>
        <w:tc>
          <w:tcPr>
            <w:tcW w:w="10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E57C044" w14:textId="77777777" w:rsidR="006C011D" w:rsidRPr="005A284F" w:rsidRDefault="006C011D">
            <w:pPr>
              <w:rPr>
                <w:rFonts w:ascii="Times New Roman" w:eastAsia="宋体" w:hAnsi="Times New Roman" w:cs="Times New Roman"/>
              </w:rPr>
            </w:pPr>
          </w:p>
        </w:tc>
        <w:tc>
          <w:tcPr>
            <w:tcW w:w="12191"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14:paraId="5777998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归属于母公司所有者权益</w:t>
            </w: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14:paraId="224A2B1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少数股东权益</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1264DDB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所有者权益合计</w:t>
            </w:r>
          </w:p>
        </w:tc>
      </w:tr>
      <w:tr w:rsidR="00050CA3" w:rsidRPr="005A284F" w14:paraId="58F217E7" w14:textId="77777777" w:rsidTr="00050CA3">
        <w:trPr>
          <w:trHeight w:val="239"/>
          <w:jc w:val="center"/>
        </w:trPr>
        <w:tc>
          <w:tcPr>
            <w:tcW w:w="10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F931135" w14:textId="77777777" w:rsidR="006C011D" w:rsidRPr="005A284F" w:rsidRDefault="006C011D">
            <w:pPr>
              <w:rPr>
                <w:rFonts w:ascii="Times New Roman" w:eastAsia="宋体" w:hAnsi="Times New Roman" w:cs="Times New Roman"/>
              </w:rPr>
            </w:pPr>
          </w:p>
        </w:tc>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80803E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股本</w:t>
            </w:r>
          </w:p>
        </w:tc>
        <w:tc>
          <w:tcPr>
            <w:tcW w:w="255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568BADF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其他权益工具</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79D6A7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资本公积</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D09541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减：库存股</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9EC6E9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其他综合收益</w:t>
            </w:r>
          </w:p>
        </w:tc>
        <w:tc>
          <w:tcPr>
            <w:tcW w:w="42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E5B8E84"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专项储备</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9773AD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盈余公积</w:t>
            </w:r>
          </w:p>
        </w:tc>
        <w:tc>
          <w:tcPr>
            <w:tcW w:w="42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E1A131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一般风险准备</w:t>
            </w:r>
          </w:p>
        </w:tc>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95C2FC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未分配利润</w:t>
            </w:r>
          </w:p>
        </w:tc>
        <w:tc>
          <w:tcPr>
            <w:tcW w:w="42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0A1C2E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8BE068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小计</w:t>
            </w:r>
          </w:p>
        </w:tc>
        <w:tc>
          <w:tcPr>
            <w:tcW w:w="127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D0E671A" w14:textId="77777777" w:rsidR="006C011D" w:rsidRPr="005A284F" w:rsidRDefault="006C011D">
            <w:pPr>
              <w:rPr>
                <w:rFonts w:ascii="Times New Roman" w:eastAsia="宋体" w:hAnsi="Times New Roman" w:cs="Times New Roman"/>
              </w:rPr>
            </w:pPr>
          </w:p>
        </w:tc>
        <w:tc>
          <w:tcPr>
            <w:tcW w:w="141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C963166" w14:textId="77777777" w:rsidR="006C011D" w:rsidRPr="005A284F" w:rsidRDefault="006C011D">
            <w:pPr>
              <w:rPr>
                <w:rFonts w:ascii="Times New Roman" w:eastAsia="宋体" w:hAnsi="Times New Roman" w:cs="Times New Roman"/>
              </w:rPr>
            </w:pPr>
          </w:p>
        </w:tc>
      </w:tr>
      <w:tr w:rsidR="00050CA3" w:rsidRPr="005A284F" w14:paraId="38BE87E2" w14:textId="77777777" w:rsidTr="00050CA3">
        <w:trPr>
          <w:trHeight w:val="239"/>
          <w:jc w:val="center"/>
        </w:trPr>
        <w:tc>
          <w:tcPr>
            <w:tcW w:w="10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A8BF0E0" w14:textId="77777777" w:rsidR="006C011D" w:rsidRPr="005A284F" w:rsidRDefault="006C011D">
            <w:pPr>
              <w:rPr>
                <w:rFonts w:ascii="Times New Roman" w:eastAsia="宋体" w:hAnsi="Times New Roman" w:cs="Times New Roman"/>
              </w:rPr>
            </w:pPr>
          </w:p>
        </w:tc>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5A4BA29" w14:textId="77777777" w:rsidR="006C011D" w:rsidRPr="005A284F" w:rsidRDefault="006C011D">
            <w:pPr>
              <w:rPr>
                <w:rFonts w:ascii="Times New Roman" w:eastAsia="宋体" w:hAnsi="Times New Roman" w:cs="Times New Roman"/>
              </w:rPr>
            </w:pP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5B86893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优先股</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14:paraId="534BDAE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永续债</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20199F6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2059B00" w14:textId="77777777" w:rsidR="006C011D" w:rsidRPr="005A284F" w:rsidRDefault="006C011D">
            <w:pPr>
              <w:rPr>
                <w:rFonts w:ascii="Times New Roman" w:eastAsia="宋体" w:hAnsi="Times New Roman" w:cs="Times New Roman"/>
              </w:rPr>
            </w:pP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C17FB47" w14:textId="77777777" w:rsidR="006C011D" w:rsidRPr="005A284F" w:rsidRDefault="006C011D">
            <w:pPr>
              <w:rPr>
                <w:rFonts w:ascii="Times New Roman" w:eastAsia="宋体" w:hAnsi="Times New Roman" w:cs="Times New Roman"/>
              </w:rPr>
            </w:pP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F0FE068" w14:textId="77777777" w:rsidR="006C011D" w:rsidRPr="005A284F" w:rsidRDefault="006C011D">
            <w:pPr>
              <w:rPr>
                <w:rFonts w:ascii="Times New Roman" w:eastAsia="宋体" w:hAnsi="Times New Roman" w:cs="Times New Roman"/>
              </w:rPr>
            </w:pPr>
          </w:p>
        </w:tc>
        <w:tc>
          <w:tcPr>
            <w:tcW w:w="426" w:type="dxa"/>
            <w:vMerge/>
            <w:tcBorders>
              <w:top w:val="single" w:sz="2" w:space="0" w:color="auto"/>
              <w:left w:val="single" w:sz="2" w:space="0" w:color="auto"/>
              <w:bottom w:val="single" w:sz="2" w:space="0" w:color="auto"/>
              <w:right w:val="single" w:sz="2" w:space="0" w:color="auto"/>
            </w:tcBorders>
            <w:vAlign w:val="center"/>
          </w:tcPr>
          <w:p w14:paraId="5F20DB4F" w14:textId="77777777" w:rsidR="006C011D" w:rsidRPr="005A284F" w:rsidRDefault="006C011D">
            <w:pPr>
              <w:rPr>
                <w:rFonts w:ascii="Times New Roman" w:eastAsia="宋体" w:hAnsi="Times New Roman" w:cs="Times New Roman"/>
              </w:rPr>
            </w:pP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A8A4443" w14:textId="77777777" w:rsidR="006C011D" w:rsidRPr="005A284F" w:rsidRDefault="006C011D">
            <w:pPr>
              <w:rPr>
                <w:rFonts w:ascii="Times New Roman" w:eastAsia="宋体" w:hAnsi="Times New Roman" w:cs="Times New Roman"/>
              </w:rPr>
            </w:pPr>
          </w:p>
        </w:tc>
        <w:tc>
          <w:tcPr>
            <w:tcW w:w="42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5697AA7" w14:textId="77777777" w:rsidR="006C011D" w:rsidRPr="005A284F" w:rsidRDefault="006C011D">
            <w:pPr>
              <w:rPr>
                <w:rFonts w:ascii="Times New Roman" w:eastAsia="宋体" w:hAnsi="Times New Roman" w:cs="Times New Roman"/>
              </w:rPr>
            </w:pPr>
          </w:p>
        </w:tc>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A936156" w14:textId="77777777" w:rsidR="006C011D" w:rsidRPr="005A284F" w:rsidRDefault="006C011D">
            <w:pPr>
              <w:rPr>
                <w:rFonts w:ascii="Times New Roman" w:eastAsia="宋体" w:hAnsi="Times New Roman" w:cs="Times New Roman"/>
              </w:rPr>
            </w:pPr>
          </w:p>
        </w:tc>
        <w:tc>
          <w:tcPr>
            <w:tcW w:w="425" w:type="dxa"/>
            <w:vMerge/>
            <w:tcBorders>
              <w:top w:val="single" w:sz="2" w:space="0" w:color="auto"/>
              <w:left w:val="single" w:sz="2" w:space="0" w:color="auto"/>
              <w:bottom w:val="single" w:sz="2" w:space="0" w:color="auto"/>
              <w:right w:val="single" w:sz="2" w:space="0" w:color="auto"/>
            </w:tcBorders>
            <w:vAlign w:val="center"/>
          </w:tcPr>
          <w:p w14:paraId="330A0612" w14:textId="77777777" w:rsidR="006C011D" w:rsidRPr="005A284F" w:rsidRDefault="006C011D">
            <w:pPr>
              <w:rPr>
                <w:rFonts w:ascii="Times New Roman" w:eastAsia="宋体" w:hAnsi="Times New Roman" w:cs="Times New Roman"/>
              </w:rPr>
            </w:pPr>
          </w:p>
        </w:tc>
        <w:tc>
          <w:tcPr>
            <w:tcW w:w="1276" w:type="dxa"/>
            <w:vMerge/>
            <w:tcBorders>
              <w:top w:val="single" w:sz="2" w:space="0" w:color="auto"/>
              <w:left w:val="single" w:sz="2" w:space="0" w:color="auto"/>
              <w:bottom w:val="single" w:sz="2" w:space="0" w:color="auto"/>
              <w:right w:val="single" w:sz="2" w:space="0" w:color="auto"/>
            </w:tcBorders>
            <w:vAlign w:val="center"/>
          </w:tcPr>
          <w:p w14:paraId="2297B49C" w14:textId="77777777" w:rsidR="006C011D" w:rsidRPr="005A284F" w:rsidRDefault="006C011D">
            <w:pPr>
              <w:rPr>
                <w:rFonts w:ascii="Times New Roman" w:eastAsia="宋体" w:hAnsi="Times New Roman" w:cs="Times New Roman"/>
              </w:rPr>
            </w:pPr>
          </w:p>
        </w:tc>
        <w:tc>
          <w:tcPr>
            <w:tcW w:w="127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0F896DF" w14:textId="77777777" w:rsidR="006C011D" w:rsidRPr="005A284F" w:rsidRDefault="006C011D">
            <w:pPr>
              <w:rPr>
                <w:rFonts w:ascii="Times New Roman" w:eastAsia="宋体" w:hAnsi="Times New Roman" w:cs="Times New Roman"/>
              </w:rPr>
            </w:pPr>
          </w:p>
        </w:tc>
        <w:tc>
          <w:tcPr>
            <w:tcW w:w="141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BC0A674" w14:textId="77777777" w:rsidR="006C011D" w:rsidRPr="005A284F" w:rsidRDefault="006C011D">
            <w:pPr>
              <w:rPr>
                <w:rFonts w:ascii="Times New Roman" w:eastAsia="宋体" w:hAnsi="Times New Roman" w:cs="Times New Roman"/>
              </w:rPr>
            </w:pPr>
          </w:p>
        </w:tc>
      </w:tr>
      <w:tr w:rsidR="00050CA3" w:rsidRPr="005A284F" w14:paraId="134CC9B4" w14:textId="77777777" w:rsidTr="00050CA3">
        <w:trPr>
          <w:trHeight w:val="239"/>
          <w:jc w:val="center"/>
        </w:trPr>
        <w:tc>
          <w:tcPr>
            <w:tcW w:w="1077" w:type="dxa"/>
            <w:tcBorders>
              <w:top w:val="single" w:sz="2" w:space="0" w:color="auto"/>
              <w:left w:val="single" w:sz="2" w:space="0" w:color="auto"/>
              <w:bottom w:val="single" w:sz="2" w:space="0" w:color="auto"/>
              <w:right w:val="single" w:sz="2" w:space="0" w:color="auto"/>
            </w:tcBorders>
            <w:shd w:val="clear" w:color="auto" w:fill="D3D3D3"/>
            <w:vAlign w:val="center"/>
          </w:tcPr>
          <w:p w14:paraId="006FB77B"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一、上年期末余额</w:t>
            </w:r>
          </w:p>
        </w:tc>
        <w:tc>
          <w:tcPr>
            <w:tcW w:w="1276" w:type="dxa"/>
            <w:tcBorders>
              <w:top w:val="single" w:sz="2" w:space="0" w:color="auto"/>
              <w:left w:val="single" w:sz="2" w:space="0" w:color="auto"/>
              <w:bottom w:val="single" w:sz="2" w:space="0" w:color="auto"/>
              <w:right w:val="single" w:sz="2" w:space="0" w:color="auto"/>
            </w:tcBorders>
            <w:vAlign w:val="center"/>
          </w:tcPr>
          <w:p w14:paraId="58DE9D0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1,079,159,832.00</w:t>
            </w:r>
          </w:p>
        </w:tc>
        <w:tc>
          <w:tcPr>
            <w:tcW w:w="709" w:type="dxa"/>
            <w:tcBorders>
              <w:top w:val="single" w:sz="2" w:space="0" w:color="auto"/>
              <w:left w:val="single" w:sz="2" w:space="0" w:color="auto"/>
              <w:bottom w:val="single" w:sz="2" w:space="0" w:color="auto"/>
              <w:right w:val="single" w:sz="2" w:space="0" w:color="auto"/>
            </w:tcBorders>
            <w:vAlign w:val="center"/>
          </w:tcPr>
          <w:p w14:paraId="6F3A3FD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708" w:type="dxa"/>
            <w:tcBorders>
              <w:top w:val="single" w:sz="2" w:space="0" w:color="auto"/>
              <w:left w:val="single" w:sz="2" w:space="0" w:color="auto"/>
              <w:bottom w:val="single" w:sz="2" w:space="0" w:color="auto"/>
              <w:right w:val="single" w:sz="2" w:space="0" w:color="auto"/>
            </w:tcBorders>
            <w:vAlign w:val="center"/>
          </w:tcPr>
          <w:p w14:paraId="28AF6EC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6D38813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171,570,881.98</w:t>
            </w:r>
          </w:p>
        </w:tc>
        <w:tc>
          <w:tcPr>
            <w:tcW w:w="1134" w:type="dxa"/>
            <w:tcBorders>
              <w:top w:val="single" w:sz="2" w:space="0" w:color="auto"/>
              <w:left w:val="single" w:sz="2" w:space="0" w:color="auto"/>
              <w:bottom w:val="single" w:sz="2" w:space="0" w:color="auto"/>
              <w:right w:val="single" w:sz="2" w:space="0" w:color="auto"/>
            </w:tcBorders>
            <w:vAlign w:val="center"/>
          </w:tcPr>
          <w:p w14:paraId="2BC1B6B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824,957,421.64</w:t>
            </w:r>
          </w:p>
        </w:tc>
        <w:tc>
          <w:tcPr>
            <w:tcW w:w="1134" w:type="dxa"/>
            <w:tcBorders>
              <w:top w:val="single" w:sz="2" w:space="0" w:color="auto"/>
              <w:left w:val="single" w:sz="2" w:space="0" w:color="auto"/>
              <w:bottom w:val="single" w:sz="2" w:space="0" w:color="auto"/>
              <w:right w:val="single" w:sz="2" w:space="0" w:color="auto"/>
            </w:tcBorders>
            <w:vAlign w:val="center"/>
          </w:tcPr>
          <w:p w14:paraId="418AF95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330,025,083.29</w:t>
            </w:r>
          </w:p>
        </w:tc>
        <w:tc>
          <w:tcPr>
            <w:tcW w:w="1134" w:type="dxa"/>
            <w:tcBorders>
              <w:top w:val="single" w:sz="2" w:space="0" w:color="auto"/>
              <w:left w:val="single" w:sz="2" w:space="0" w:color="auto"/>
              <w:bottom w:val="single" w:sz="2" w:space="0" w:color="auto"/>
              <w:right w:val="single" w:sz="2" w:space="0" w:color="auto"/>
            </w:tcBorders>
            <w:vAlign w:val="center"/>
          </w:tcPr>
          <w:p w14:paraId="0B8BA82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-12,100,000.00</w:t>
            </w:r>
          </w:p>
        </w:tc>
        <w:tc>
          <w:tcPr>
            <w:tcW w:w="426" w:type="dxa"/>
            <w:tcBorders>
              <w:top w:val="single" w:sz="2" w:space="0" w:color="auto"/>
              <w:left w:val="single" w:sz="2" w:space="0" w:color="auto"/>
              <w:bottom w:val="single" w:sz="2" w:space="0" w:color="auto"/>
              <w:right w:val="single" w:sz="2" w:space="0" w:color="auto"/>
            </w:tcBorders>
            <w:vAlign w:val="center"/>
          </w:tcPr>
          <w:p w14:paraId="07BE2F6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262CDFA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263,717,929.16</w:t>
            </w:r>
          </w:p>
        </w:tc>
        <w:tc>
          <w:tcPr>
            <w:tcW w:w="425" w:type="dxa"/>
            <w:tcBorders>
              <w:top w:val="single" w:sz="2" w:space="0" w:color="auto"/>
              <w:left w:val="single" w:sz="2" w:space="0" w:color="auto"/>
              <w:bottom w:val="single" w:sz="2" w:space="0" w:color="auto"/>
              <w:right w:val="single" w:sz="2" w:space="0" w:color="auto"/>
            </w:tcBorders>
            <w:vAlign w:val="center"/>
          </w:tcPr>
          <w:p w14:paraId="228CD8B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vAlign w:val="center"/>
          </w:tcPr>
          <w:p w14:paraId="1062D68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-515,299,374.16</w:t>
            </w:r>
          </w:p>
        </w:tc>
        <w:tc>
          <w:tcPr>
            <w:tcW w:w="425" w:type="dxa"/>
            <w:tcBorders>
              <w:top w:val="single" w:sz="2" w:space="0" w:color="auto"/>
              <w:left w:val="single" w:sz="2" w:space="0" w:color="auto"/>
              <w:bottom w:val="single" w:sz="2" w:space="0" w:color="auto"/>
              <w:right w:val="single" w:sz="2" w:space="0" w:color="auto"/>
            </w:tcBorders>
            <w:vAlign w:val="center"/>
          </w:tcPr>
          <w:p w14:paraId="3ACC97B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vAlign w:val="center"/>
          </w:tcPr>
          <w:p w14:paraId="55E41FF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1,481,981,607.33</w:t>
            </w:r>
          </w:p>
        </w:tc>
        <w:tc>
          <w:tcPr>
            <w:tcW w:w="1275" w:type="dxa"/>
            <w:tcBorders>
              <w:top w:val="single" w:sz="2" w:space="0" w:color="auto"/>
              <w:left w:val="single" w:sz="2" w:space="0" w:color="auto"/>
              <w:bottom w:val="single" w:sz="2" w:space="0" w:color="auto"/>
              <w:right w:val="single" w:sz="2" w:space="0" w:color="auto"/>
            </w:tcBorders>
            <w:vAlign w:val="center"/>
          </w:tcPr>
          <w:p w14:paraId="2BAA34B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174,979,208.11</w:t>
            </w:r>
          </w:p>
        </w:tc>
        <w:tc>
          <w:tcPr>
            <w:tcW w:w="1418" w:type="dxa"/>
            <w:tcBorders>
              <w:top w:val="single" w:sz="2" w:space="0" w:color="auto"/>
              <w:left w:val="single" w:sz="2" w:space="0" w:color="auto"/>
              <w:bottom w:val="single" w:sz="2" w:space="0" w:color="auto"/>
              <w:right w:val="single" w:sz="2" w:space="0" w:color="auto"/>
            </w:tcBorders>
            <w:vAlign w:val="center"/>
          </w:tcPr>
          <w:p w14:paraId="3BB469D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1,656,960,815.44</w:t>
            </w:r>
          </w:p>
        </w:tc>
      </w:tr>
      <w:tr w:rsidR="00050CA3" w:rsidRPr="005A284F" w14:paraId="5B267C7F" w14:textId="77777777" w:rsidTr="00050CA3">
        <w:trPr>
          <w:trHeight w:val="239"/>
          <w:jc w:val="center"/>
        </w:trPr>
        <w:tc>
          <w:tcPr>
            <w:tcW w:w="1077" w:type="dxa"/>
            <w:tcBorders>
              <w:top w:val="single" w:sz="2" w:space="0" w:color="auto"/>
              <w:left w:val="single" w:sz="2" w:space="0" w:color="auto"/>
              <w:bottom w:val="single" w:sz="2" w:space="0" w:color="auto"/>
              <w:right w:val="single" w:sz="2" w:space="0" w:color="auto"/>
            </w:tcBorders>
            <w:shd w:val="clear" w:color="auto" w:fill="D3D3D3"/>
            <w:vAlign w:val="center"/>
          </w:tcPr>
          <w:p w14:paraId="03E2B026" w14:textId="77777777" w:rsidR="006C011D" w:rsidRPr="005A284F" w:rsidRDefault="00000000" w:rsidP="00050CA3">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加：会计政策变更</w:t>
            </w:r>
          </w:p>
        </w:tc>
        <w:tc>
          <w:tcPr>
            <w:tcW w:w="1276" w:type="dxa"/>
            <w:tcBorders>
              <w:top w:val="single" w:sz="2" w:space="0" w:color="auto"/>
              <w:left w:val="single" w:sz="2" w:space="0" w:color="auto"/>
              <w:bottom w:val="single" w:sz="2" w:space="0" w:color="auto"/>
              <w:right w:val="single" w:sz="2" w:space="0" w:color="auto"/>
            </w:tcBorders>
            <w:vAlign w:val="center"/>
          </w:tcPr>
          <w:p w14:paraId="2A8C464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27196B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3AAEF04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4447D7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28DA4A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EF3835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F03BD6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2D854BC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DB87F0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9ED63A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314646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405D2E8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1CF63E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1C37E0B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6B3CF5A"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2ADA3DEE" w14:textId="77777777" w:rsidTr="00050CA3">
        <w:trPr>
          <w:trHeight w:val="239"/>
          <w:jc w:val="center"/>
        </w:trPr>
        <w:tc>
          <w:tcPr>
            <w:tcW w:w="1077" w:type="dxa"/>
            <w:tcBorders>
              <w:top w:val="single" w:sz="2" w:space="0" w:color="auto"/>
              <w:left w:val="single" w:sz="2" w:space="0" w:color="auto"/>
              <w:bottom w:val="single" w:sz="2" w:space="0" w:color="auto"/>
              <w:right w:val="single" w:sz="2" w:space="0" w:color="auto"/>
            </w:tcBorders>
            <w:shd w:val="clear" w:color="auto" w:fill="D3D3D3"/>
            <w:vAlign w:val="center"/>
          </w:tcPr>
          <w:p w14:paraId="6E82F4F1" w14:textId="77777777" w:rsidR="006C011D" w:rsidRPr="005A284F" w:rsidRDefault="00000000" w:rsidP="00050CA3">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前期差错更正</w:t>
            </w:r>
          </w:p>
        </w:tc>
        <w:tc>
          <w:tcPr>
            <w:tcW w:w="1276" w:type="dxa"/>
            <w:tcBorders>
              <w:top w:val="single" w:sz="2" w:space="0" w:color="auto"/>
              <w:left w:val="single" w:sz="2" w:space="0" w:color="auto"/>
              <w:bottom w:val="single" w:sz="2" w:space="0" w:color="auto"/>
              <w:right w:val="single" w:sz="2" w:space="0" w:color="auto"/>
            </w:tcBorders>
            <w:vAlign w:val="center"/>
          </w:tcPr>
          <w:p w14:paraId="30FBB57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36D701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5871343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9ECD50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DB47BF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0040B6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635EDA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3DEB9A2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285ACA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D3C438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BF75DD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BD906F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FECC1D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28D530F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5C46819"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40B23CB1" w14:textId="77777777" w:rsidTr="00050CA3">
        <w:trPr>
          <w:trHeight w:val="239"/>
          <w:jc w:val="center"/>
        </w:trPr>
        <w:tc>
          <w:tcPr>
            <w:tcW w:w="1077" w:type="dxa"/>
            <w:tcBorders>
              <w:top w:val="single" w:sz="2" w:space="0" w:color="auto"/>
              <w:left w:val="single" w:sz="2" w:space="0" w:color="auto"/>
              <w:bottom w:val="single" w:sz="2" w:space="0" w:color="auto"/>
              <w:right w:val="single" w:sz="2" w:space="0" w:color="auto"/>
            </w:tcBorders>
            <w:shd w:val="clear" w:color="auto" w:fill="D3D3D3"/>
            <w:vAlign w:val="center"/>
          </w:tcPr>
          <w:p w14:paraId="1186ABCE" w14:textId="77777777" w:rsidR="006C011D" w:rsidRPr="005A284F" w:rsidRDefault="00000000" w:rsidP="00050CA3">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c>
          <w:tcPr>
            <w:tcW w:w="1276" w:type="dxa"/>
            <w:tcBorders>
              <w:top w:val="single" w:sz="2" w:space="0" w:color="auto"/>
              <w:left w:val="single" w:sz="2" w:space="0" w:color="auto"/>
              <w:bottom w:val="single" w:sz="2" w:space="0" w:color="auto"/>
              <w:right w:val="single" w:sz="2" w:space="0" w:color="auto"/>
            </w:tcBorders>
            <w:vAlign w:val="center"/>
          </w:tcPr>
          <w:p w14:paraId="7679B73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677318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15B3822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293D20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BEE210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976D1E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E5E7CA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09E008C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2BE71E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F252F3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091521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206C83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93AF47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45C14BF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38BAE80"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7B21C593" w14:textId="77777777" w:rsidTr="00050CA3">
        <w:trPr>
          <w:trHeight w:val="239"/>
          <w:jc w:val="center"/>
        </w:trPr>
        <w:tc>
          <w:tcPr>
            <w:tcW w:w="1077" w:type="dxa"/>
            <w:tcBorders>
              <w:top w:val="single" w:sz="2" w:space="0" w:color="auto"/>
              <w:left w:val="single" w:sz="2" w:space="0" w:color="auto"/>
              <w:bottom w:val="single" w:sz="2" w:space="0" w:color="auto"/>
              <w:right w:val="single" w:sz="2" w:space="0" w:color="auto"/>
            </w:tcBorders>
            <w:shd w:val="clear" w:color="auto" w:fill="D3D3D3"/>
            <w:vAlign w:val="center"/>
          </w:tcPr>
          <w:p w14:paraId="10CF2420"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二、本年期初余额</w:t>
            </w:r>
          </w:p>
        </w:tc>
        <w:tc>
          <w:tcPr>
            <w:tcW w:w="1276" w:type="dxa"/>
            <w:tcBorders>
              <w:top w:val="single" w:sz="2" w:space="0" w:color="auto"/>
              <w:left w:val="single" w:sz="2" w:space="0" w:color="auto"/>
              <w:bottom w:val="single" w:sz="2" w:space="0" w:color="auto"/>
              <w:right w:val="single" w:sz="2" w:space="0" w:color="auto"/>
            </w:tcBorders>
            <w:vAlign w:val="center"/>
          </w:tcPr>
          <w:p w14:paraId="75A9A09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1,079,159,832.00</w:t>
            </w:r>
          </w:p>
        </w:tc>
        <w:tc>
          <w:tcPr>
            <w:tcW w:w="709" w:type="dxa"/>
            <w:tcBorders>
              <w:top w:val="single" w:sz="2" w:space="0" w:color="auto"/>
              <w:left w:val="single" w:sz="2" w:space="0" w:color="auto"/>
              <w:bottom w:val="single" w:sz="2" w:space="0" w:color="auto"/>
              <w:right w:val="single" w:sz="2" w:space="0" w:color="auto"/>
            </w:tcBorders>
            <w:vAlign w:val="center"/>
          </w:tcPr>
          <w:p w14:paraId="078286D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708" w:type="dxa"/>
            <w:tcBorders>
              <w:top w:val="single" w:sz="2" w:space="0" w:color="auto"/>
              <w:left w:val="single" w:sz="2" w:space="0" w:color="auto"/>
              <w:bottom w:val="single" w:sz="2" w:space="0" w:color="auto"/>
              <w:right w:val="single" w:sz="2" w:space="0" w:color="auto"/>
            </w:tcBorders>
            <w:vAlign w:val="center"/>
          </w:tcPr>
          <w:p w14:paraId="357BB2C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65858F5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171,570,881.98</w:t>
            </w:r>
          </w:p>
        </w:tc>
        <w:tc>
          <w:tcPr>
            <w:tcW w:w="1134" w:type="dxa"/>
            <w:tcBorders>
              <w:top w:val="single" w:sz="2" w:space="0" w:color="auto"/>
              <w:left w:val="single" w:sz="2" w:space="0" w:color="auto"/>
              <w:bottom w:val="single" w:sz="2" w:space="0" w:color="auto"/>
              <w:right w:val="single" w:sz="2" w:space="0" w:color="auto"/>
            </w:tcBorders>
            <w:vAlign w:val="center"/>
          </w:tcPr>
          <w:p w14:paraId="4FD91F2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824,957,421.64</w:t>
            </w:r>
          </w:p>
        </w:tc>
        <w:tc>
          <w:tcPr>
            <w:tcW w:w="1134" w:type="dxa"/>
            <w:tcBorders>
              <w:top w:val="single" w:sz="2" w:space="0" w:color="auto"/>
              <w:left w:val="single" w:sz="2" w:space="0" w:color="auto"/>
              <w:bottom w:val="single" w:sz="2" w:space="0" w:color="auto"/>
              <w:right w:val="single" w:sz="2" w:space="0" w:color="auto"/>
            </w:tcBorders>
            <w:vAlign w:val="center"/>
          </w:tcPr>
          <w:p w14:paraId="578BE7A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330,025,083.29</w:t>
            </w:r>
          </w:p>
        </w:tc>
        <w:tc>
          <w:tcPr>
            <w:tcW w:w="1134" w:type="dxa"/>
            <w:tcBorders>
              <w:top w:val="single" w:sz="2" w:space="0" w:color="auto"/>
              <w:left w:val="single" w:sz="2" w:space="0" w:color="auto"/>
              <w:bottom w:val="single" w:sz="2" w:space="0" w:color="auto"/>
              <w:right w:val="single" w:sz="2" w:space="0" w:color="auto"/>
            </w:tcBorders>
            <w:vAlign w:val="center"/>
          </w:tcPr>
          <w:p w14:paraId="2D42505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-12,100,000.00</w:t>
            </w:r>
          </w:p>
        </w:tc>
        <w:tc>
          <w:tcPr>
            <w:tcW w:w="426" w:type="dxa"/>
            <w:tcBorders>
              <w:top w:val="single" w:sz="2" w:space="0" w:color="auto"/>
              <w:left w:val="single" w:sz="2" w:space="0" w:color="auto"/>
              <w:bottom w:val="single" w:sz="2" w:space="0" w:color="auto"/>
              <w:right w:val="single" w:sz="2" w:space="0" w:color="auto"/>
            </w:tcBorders>
            <w:vAlign w:val="center"/>
          </w:tcPr>
          <w:p w14:paraId="6410608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63534BB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263,717,929.16</w:t>
            </w:r>
          </w:p>
        </w:tc>
        <w:tc>
          <w:tcPr>
            <w:tcW w:w="425" w:type="dxa"/>
            <w:tcBorders>
              <w:top w:val="single" w:sz="2" w:space="0" w:color="auto"/>
              <w:left w:val="single" w:sz="2" w:space="0" w:color="auto"/>
              <w:bottom w:val="single" w:sz="2" w:space="0" w:color="auto"/>
              <w:right w:val="single" w:sz="2" w:space="0" w:color="auto"/>
            </w:tcBorders>
            <w:vAlign w:val="center"/>
          </w:tcPr>
          <w:p w14:paraId="0D8BB7C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vAlign w:val="center"/>
          </w:tcPr>
          <w:p w14:paraId="4416AF3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-515,299,374.16</w:t>
            </w:r>
          </w:p>
        </w:tc>
        <w:tc>
          <w:tcPr>
            <w:tcW w:w="425" w:type="dxa"/>
            <w:tcBorders>
              <w:top w:val="single" w:sz="2" w:space="0" w:color="auto"/>
              <w:left w:val="single" w:sz="2" w:space="0" w:color="auto"/>
              <w:bottom w:val="single" w:sz="2" w:space="0" w:color="auto"/>
              <w:right w:val="single" w:sz="2" w:space="0" w:color="auto"/>
            </w:tcBorders>
            <w:vAlign w:val="center"/>
          </w:tcPr>
          <w:p w14:paraId="354C2A2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5FA8A0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1,481,981,607.33</w:t>
            </w:r>
          </w:p>
        </w:tc>
        <w:tc>
          <w:tcPr>
            <w:tcW w:w="1275" w:type="dxa"/>
            <w:tcBorders>
              <w:top w:val="single" w:sz="2" w:space="0" w:color="auto"/>
              <w:left w:val="single" w:sz="2" w:space="0" w:color="auto"/>
              <w:bottom w:val="single" w:sz="2" w:space="0" w:color="auto"/>
              <w:right w:val="single" w:sz="2" w:space="0" w:color="auto"/>
            </w:tcBorders>
            <w:vAlign w:val="center"/>
          </w:tcPr>
          <w:p w14:paraId="378D7F7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174,979,208.11</w:t>
            </w:r>
          </w:p>
        </w:tc>
        <w:tc>
          <w:tcPr>
            <w:tcW w:w="1418" w:type="dxa"/>
            <w:tcBorders>
              <w:top w:val="single" w:sz="2" w:space="0" w:color="auto"/>
              <w:left w:val="single" w:sz="2" w:space="0" w:color="auto"/>
              <w:bottom w:val="single" w:sz="2" w:space="0" w:color="auto"/>
              <w:right w:val="single" w:sz="2" w:space="0" w:color="auto"/>
            </w:tcBorders>
            <w:vAlign w:val="center"/>
          </w:tcPr>
          <w:p w14:paraId="4A60B58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1,656,960,815.44</w:t>
            </w:r>
          </w:p>
        </w:tc>
      </w:tr>
      <w:tr w:rsidR="00050CA3" w:rsidRPr="005A284F" w14:paraId="5371B3AE" w14:textId="77777777" w:rsidTr="00050CA3">
        <w:trPr>
          <w:trHeight w:val="239"/>
          <w:jc w:val="center"/>
        </w:trPr>
        <w:tc>
          <w:tcPr>
            <w:tcW w:w="1077" w:type="dxa"/>
            <w:tcBorders>
              <w:top w:val="single" w:sz="2" w:space="0" w:color="auto"/>
              <w:left w:val="single" w:sz="2" w:space="0" w:color="auto"/>
              <w:bottom w:val="single" w:sz="2" w:space="0" w:color="auto"/>
              <w:right w:val="single" w:sz="2" w:space="0" w:color="auto"/>
            </w:tcBorders>
            <w:shd w:val="clear" w:color="auto" w:fill="D3D3D3"/>
            <w:vAlign w:val="center"/>
          </w:tcPr>
          <w:p w14:paraId="59A5930F"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三、本期增减变动金额（减少以</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号填列）</w:t>
            </w:r>
          </w:p>
        </w:tc>
        <w:tc>
          <w:tcPr>
            <w:tcW w:w="1276" w:type="dxa"/>
            <w:tcBorders>
              <w:top w:val="single" w:sz="2" w:space="0" w:color="auto"/>
              <w:left w:val="single" w:sz="2" w:space="0" w:color="auto"/>
              <w:bottom w:val="single" w:sz="2" w:space="0" w:color="auto"/>
              <w:right w:val="single" w:sz="2" w:space="0" w:color="auto"/>
            </w:tcBorders>
            <w:vAlign w:val="center"/>
          </w:tcPr>
          <w:p w14:paraId="40078DA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107.00</w:t>
            </w:r>
          </w:p>
        </w:tc>
        <w:tc>
          <w:tcPr>
            <w:tcW w:w="709" w:type="dxa"/>
            <w:tcBorders>
              <w:top w:val="single" w:sz="2" w:space="0" w:color="auto"/>
              <w:left w:val="single" w:sz="2" w:space="0" w:color="auto"/>
              <w:bottom w:val="single" w:sz="2" w:space="0" w:color="auto"/>
              <w:right w:val="single" w:sz="2" w:space="0" w:color="auto"/>
            </w:tcBorders>
            <w:vAlign w:val="center"/>
          </w:tcPr>
          <w:p w14:paraId="7CD1118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708" w:type="dxa"/>
            <w:tcBorders>
              <w:top w:val="single" w:sz="2" w:space="0" w:color="auto"/>
              <w:left w:val="single" w:sz="2" w:space="0" w:color="auto"/>
              <w:bottom w:val="single" w:sz="2" w:space="0" w:color="auto"/>
              <w:right w:val="single" w:sz="2" w:space="0" w:color="auto"/>
            </w:tcBorders>
            <w:vAlign w:val="center"/>
          </w:tcPr>
          <w:p w14:paraId="7B9A898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729A513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-181.35</w:t>
            </w:r>
          </w:p>
        </w:tc>
        <w:tc>
          <w:tcPr>
            <w:tcW w:w="1134" w:type="dxa"/>
            <w:tcBorders>
              <w:top w:val="single" w:sz="2" w:space="0" w:color="auto"/>
              <w:left w:val="single" w:sz="2" w:space="0" w:color="auto"/>
              <w:bottom w:val="single" w:sz="2" w:space="0" w:color="auto"/>
              <w:right w:val="single" w:sz="2" w:space="0" w:color="auto"/>
            </w:tcBorders>
            <w:vAlign w:val="center"/>
          </w:tcPr>
          <w:p w14:paraId="252A70B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1,119.05</w:t>
            </w:r>
          </w:p>
        </w:tc>
        <w:tc>
          <w:tcPr>
            <w:tcW w:w="1134" w:type="dxa"/>
            <w:tcBorders>
              <w:top w:val="single" w:sz="2" w:space="0" w:color="auto"/>
              <w:left w:val="single" w:sz="2" w:space="0" w:color="auto"/>
              <w:bottom w:val="single" w:sz="2" w:space="0" w:color="auto"/>
              <w:right w:val="single" w:sz="2" w:space="0" w:color="auto"/>
            </w:tcBorders>
            <w:vAlign w:val="center"/>
          </w:tcPr>
          <w:p w14:paraId="6833E0B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293FE4E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426" w:type="dxa"/>
            <w:tcBorders>
              <w:top w:val="single" w:sz="2" w:space="0" w:color="auto"/>
              <w:left w:val="single" w:sz="2" w:space="0" w:color="auto"/>
              <w:bottom w:val="single" w:sz="2" w:space="0" w:color="auto"/>
              <w:right w:val="single" w:sz="2" w:space="0" w:color="auto"/>
            </w:tcBorders>
            <w:vAlign w:val="center"/>
          </w:tcPr>
          <w:p w14:paraId="133E574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59A6157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425" w:type="dxa"/>
            <w:tcBorders>
              <w:top w:val="single" w:sz="2" w:space="0" w:color="auto"/>
              <w:left w:val="single" w:sz="2" w:space="0" w:color="auto"/>
              <w:bottom w:val="single" w:sz="2" w:space="0" w:color="auto"/>
              <w:right w:val="single" w:sz="2" w:space="0" w:color="auto"/>
            </w:tcBorders>
            <w:vAlign w:val="center"/>
          </w:tcPr>
          <w:p w14:paraId="5391EFD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vAlign w:val="center"/>
          </w:tcPr>
          <w:p w14:paraId="20ABBA4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58,152,622.01</w:t>
            </w:r>
          </w:p>
        </w:tc>
        <w:tc>
          <w:tcPr>
            <w:tcW w:w="425" w:type="dxa"/>
            <w:tcBorders>
              <w:top w:val="single" w:sz="2" w:space="0" w:color="auto"/>
              <w:left w:val="single" w:sz="2" w:space="0" w:color="auto"/>
              <w:bottom w:val="single" w:sz="2" w:space="0" w:color="auto"/>
              <w:right w:val="single" w:sz="2" w:space="0" w:color="auto"/>
            </w:tcBorders>
            <w:vAlign w:val="center"/>
          </w:tcPr>
          <w:p w14:paraId="7715996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2AA979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58,153,666.71</w:t>
            </w:r>
          </w:p>
        </w:tc>
        <w:tc>
          <w:tcPr>
            <w:tcW w:w="1275" w:type="dxa"/>
            <w:tcBorders>
              <w:top w:val="single" w:sz="2" w:space="0" w:color="auto"/>
              <w:left w:val="single" w:sz="2" w:space="0" w:color="auto"/>
              <w:bottom w:val="single" w:sz="2" w:space="0" w:color="auto"/>
              <w:right w:val="single" w:sz="2" w:space="0" w:color="auto"/>
            </w:tcBorders>
            <w:vAlign w:val="center"/>
          </w:tcPr>
          <w:p w14:paraId="3586B59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5,407,932.59</w:t>
            </w:r>
          </w:p>
        </w:tc>
        <w:tc>
          <w:tcPr>
            <w:tcW w:w="1418" w:type="dxa"/>
            <w:tcBorders>
              <w:top w:val="single" w:sz="2" w:space="0" w:color="auto"/>
              <w:left w:val="single" w:sz="2" w:space="0" w:color="auto"/>
              <w:bottom w:val="single" w:sz="2" w:space="0" w:color="auto"/>
              <w:right w:val="single" w:sz="2" w:space="0" w:color="auto"/>
            </w:tcBorders>
            <w:vAlign w:val="center"/>
          </w:tcPr>
          <w:p w14:paraId="0BF1B9C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63,561,599.30</w:t>
            </w:r>
          </w:p>
        </w:tc>
      </w:tr>
      <w:tr w:rsidR="00050CA3" w:rsidRPr="005A284F" w14:paraId="7E488C83" w14:textId="77777777" w:rsidTr="00050CA3">
        <w:trPr>
          <w:trHeight w:val="239"/>
          <w:jc w:val="center"/>
        </w:trPr>
        <w:tc>
          <w:tcPr>
            <w:tcW w:w="1077" w:type="dxa"/>
            <w:tcBorders>
              <w:top w:val="single" w:sz="2" w:space="0" w:color="auto"/>
              <w:left w:val="single" w:sz="2" w:space="0" w:color="auto"/>
              <w:bottom w:val="single" w:sz="2" w:space="0" w:color="auto"/>
              <w:right w:val="single" w:sz="2" w:space="0" w:color="auto"/>
            </w:tcBorders>
            <w:shd w:val="clear" w:color="auto" w:fill="D3D3D3"/>
            <w:vAlign w:val="center"/>
          </w:tcPr>
          <w:p w14:paraId="4C06FB9E"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（一）综合收益总额</w:t>
            </w:r>
          </w:p>
        </w:tc>
        <w:tc>
          <w:tcPr>
            <w:tcW w:w="1276" w:type="dxa"/>
            <w:tcBorders>
              <w:top w:val="single" w:sz="2" w:space="0" w:color="auto"/>
              <w:left w:val="single" w:sz="2" w:space="0" w:color="auto"/>
              <w:bottom w:val="single" w:sz="2" w:space="0" w:color="auto"/>
              <w:right w:val="single" w:sz="2" w:space="0" w:color="auto"/>
            </w:tcBorders>
            <w:vAlign w:val="center"/>
          </w:tcPr>
          <w:p w14:paraId="42EFBB5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01F28B0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50CCCC5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BC7C09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933ED9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82EB56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2F26B2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426" w:type="dxa"/>
            <w:tcBorders>
              <w:top w:val="single" w:sz="2" w:space="0" w:color="auto"/>
              <w:left w:val="single" w:sz="2" w:space="0" w:color="auto"/>
              <w:bottom w:val="single" w:sz="2" w:space="0" w:color="auto"/>
              <w:right w:val="single" w:sz="2" w:space="0" w:color="auto"/>
            </w:tcBorders>
            <w:vAlign w:val="center"/>
          </w:tcPr>
          <w:p w14:paraId="1905106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254295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1C2151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DAF04C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58,152,622.01</w:t>
            </w:r>
          </w:p>
        </w:tc>
        <w:tc>
          <w:tcPr>
            <w:tcW w:w="425" w:type="dxa"/>
            <w:tcBorders>
              <w:top w:val="single" w:sz="2" w:space="0" w:color="auto"/>
              <w:left w:val="single" w:sz="2" w:space="0" w:color="auto"/>
              <w:bottom w:val="single" w:sz="2" w:space="0" w:color="auto"/>
              <w:right w:val="single" w:sz="2" w:space="0" w:color="auto"/>
            </w:tcBorders>
            <w:vAlign w:val="center"/>
          </w:tcPr>
          <w:p w14:paraId="2E56BA0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02A9A4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58,152,622.01</w:t>
            </w:r>
          </w:p>
        </w:tc>
        <w:tc>
          <w:tcPr>
            <w:tcW w:w="1275" w:type="dxa"/>
            <w:tcBorders>
              <w:top w:val="single" w:sz="2" w:space="0" w:color="auto"/>
              <w:left w:val="single" w:sz="2" w:space="0" w:color="auto"/>
              <w:bottom w:val="single" w:sz="2" w:space="0" w:color="auto"/>
              <w:right w:val="single" w:sz="2" w:space="0" w:color="auto"/>
            </w:tcBorders>
            <w:vAlign w:val="center"/>
          </w:tcPr>
          <w:p w14:paraId="0D6E189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5,407,932.59</w:t>
            </w:r>
          </w:p>
        </w:tc>
        <w:tc>
          <w:tcPr>
            <w:tcW w:w="1418" w:type="dxa"/>
            <w:tcBorders>
              <w:top w:val="single" w:sz="2" w:space="0" w:color="auto"/>
              <w:left w:val="single" w:sz="2" w:space="0" w:color="auto"/>
              <w:bottom w:val="single" w:sz="2" w:space="0" w:color="auto"/>
              <w:right w:val="single" w:sz="2" w:space="0" w:color="auto"/>
            </w:tcBorders>
            <w:vAlign w:val="center"/>
          </w:tcPr>
          <w:p w14:paraId="53B267E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63,560,554.60</w:t>
            </w:r>
          </w:p>
        </w:tc>
      </w:tr>
      <w:tr w:rsidR="00050CA3" w:rsidRPr="005A284F" w14:paraId="2DE20064" w14:textId="77777777" w:rsidTr="00050CA3">
        <w:trPr>
          <w:trHeight w:val="1159"/>
          <w:jc w:val="center"/>
        </w:trPr>
        <w:tc>
          <w:tcPr>
            <w:tcW w:w="1077" w:type="dxa"/>
            <w:tcBorders>
              <w:top w:val="single" w:sz="2" w:space="0" w:color="auto"/>
              <w:left w:val="single" w:sz="2" w:space="0" w:color="auto"/>
              <w:bottom w:val="single" w:sz="2" w:space="0" w:color="auto"/>
              <w:right w:val="single" w:sz="2" w:space="0" w:color="auto"/>
            </w:tcBorders>
            <w:shd w:val="clear" w:color="auto" w:fill="D3D3D3"/>
            <w:vAlign w:val="center"/>
          </w:tcPr>
          <w:p w14:paraId="40437301"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（二）所有者投入和减少资本</w:t>
            </w:r>
          </w:p>
        </w:tc>
        <w:tc>
          <w:tcPr>
            <w:tcW w:w="1276" w:type="dxa"/>
            <w:tcBorders>
              <w:top w:val="single" w:sz="2" w:space="0" w:color="auto"/>
              <w:left w:val="single" w:sz="2" w:space="0" w:color="auto"/>
              <w:bottom w:val="single" w:sz="2" w:space="0" w:color="auto"/>
              <w:right w:val="single" w:sz="2" w:space="0" w:color="auto"/>
            </w:tcBorders>
            <w:vAlign w:val="center"/>
          </w:tcPr>
          <w:p w14:paraId="769FB91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107.00</w:t>
            </w:r>
          </w:p>
        </w:tc>
        <w:tc>
          <w:tcPr>
            <w:tcW w:w="709" w:type="dxa"/>
            <w:tcBorders>
              <w:top w:val="single" w:sz="2" w:space="0" w:color="auto"/>
              <w:left w:val="single" w:sz="2" w:space="0" w:color="auto"/>
              <w:bottom w:val="single" w:sz="2" w:space="0" w:color="auto"/>
              <w:right w:val="single" w:sz="2" w:space="0" w:color="auto"/>
            </w:tcBorders>
            <w:vAlign w:val="center"/>
          </w:tcPr>
          <w:p w14:paraId="688D7FE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708" w:type="dxa"/>
            <w:tcBorders>
              <w:top w:val="single" w:sz="2" w:space="0" w:color="auto"/>
              <w:left w:val="single" w:sz="2" w:space="0" w:color="auto"/>
              <w:bottom w:val="single" w:sz="2" w:space="0" w:color="auto"/>
              <w:right w:val="single" w:sz="2" w:space="0" w:color="auto"/>
            </w:tcBorders>
            <w:vAlign w:val="center"/>
          </w:tcPr>
          <w:p w14:paraId="176F956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2EC3993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-181.35</w:t>
            </w:r>
          </w:p>
        </w:tc>
        <w:tc>
          <w:tcPr>
            <w:tcW w:w="1134" w:type="dxa"/>
            <w:tcBorders>
              <w:top w:val="single" w:sz="2" w:space="0" w:color="auto"/>
              <w:left w:val="single" w:sz="2" w:space="0" w:color="auto"/>
              <w:bottom w:val="single" w:sz="2" w:space="0" w:color="auto"/>
              <w:right w:val="single" w:sz="2" w:space="0" w:color="auto"/>
            </w:tcBorders>
            <w:vAlign w:val="center"/>
          </w:tcPr>
          <w:p w14:paraId="20DA869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1,119.05</w:t>
            </w:r>
          </w:p>
        </w:tc>
        <w:tc>
          <w:tcPr>
            <w:tcW w:w="1134" w:type="dxa"/>
            <w:tcBorders>
              <w:top w:val="single" w:sz="2" w:space="0" w:color="auto"/>
              <w:left w:val="single" w:sz="2" w:space="0" w:color="auto"/>
              <w:bottom w:val="single" w:sz="2" w:space="0" w:color="auto"/>
              <w:right w:val="single" w:sz="2" w:space="0" w:color="auto"/>
            </w:tcBorders>
            <w:vAlign w:val="center"/>
          </w:tcPr>
          <w:p w14:paraId="7A690E2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2B504E0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426" w:type="dxa"/>
            <w:tcBorders>
              <w:top w:val="single" w:sz="2" w:space="0" w:color="auto"/>
              <w:left w:val="single" w:sz="2" w:space="0" w:color="auto"/>
              <w:bottom w:val="single" w:sz="2" w:space="0" w:color="auto"/>
              <w:right w:val="single" w:sz="2" w:space="0" w:color="auto"/>
            </w:tcBorders>
            <w:vAlign w:val="center"/>
          </w:tcPr>
          <w:p w14:paraId="42CE190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77A28A5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425" w:type="dxa"/>
            <w:tcBorders>
              <w:top w:val="single" w:sz="2" w:space="0" w:color="auto"/>
              <w:left w:val="single" w:sz="2" w:space="0" w:color="auto"/>
              <w:bottom w:val="single" w:sz="2" w:space="0" w:color="auto"/>
              <w:right w:val="single" w:sz="2" w:space="0" w:color="auto"/>
            </w:tcBorders>
            <w:vAlign w:val="center"/>
          </w:tcPr>
          <w:p w14:paraId="31A1136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vAlign w:val="center"/>
          </w:tcPr>
          <w:p w14:paraId="0B7319E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425" w:type="dxa"/>
            <w:tcBorders>
              <w:top w:val="single" w:sz="2" w:space="0" w:color="auto"/>
              <w:left w:val="single" w:sz="2" w:space="0" w:color="auto"/>
              <w:bottom w:val="single" w:sz="2" w:space="0" w:color="auto"/>
              <w:right w:val="single" w:sz="2" w:space="0" w:color="auto"/>
            </w:tcBorders>
            <w:vAlign w:val="center"/>
          </w:tcPr>
          <w:p w14:paraId="59B4D26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8F8E1C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1,044.70</w:t>
            </w:r>
          </w:p>
        </w:tc>
        <w:tc>
          <w:tcPr>
            <w:tcW w:w="1275" w:type="dxa"/>
            <w:tcBorders>
              <w:top w:val="single" w:sz="2" w:space="0" w:color="auto"/>
              <w:left w:val="single" w:sz="2" w:space="0" w:color="auto"/>
              <w:bottom w:val="single" w:sz="2" w:space="0" w:color="auto"/>
              <w:right w:val="single" w:sz="2" w:space="0" w:color="auto"/>
            </w:tcBorders>
            <w:vAlign w:val="center"/>
          </w:tcPr>
          <w:p w14:paraId="4EFA951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418" w:type="dxa"/>
            <w:tcBorders>
              <w:top w:val="single" w:sz="2" w:space="0" w:color="auto"/>
              <w:left w:val="single" w:sz="2" w:space="0" w:color="auto"/>
              <w:bottom w:val="single" w:sz="2" w:space="0" w:color="auto"/>
              <w:right w:val="single" w:sz="2" w:space="0" w:color="auto"/>
            </w:tcBorders>
            <w:vAlign w:val="center"/>
          </w:tcPr>
          <w:p w14:paraId="7E37631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1,044.70</w:t>
            </w:r>
          </w:p>
        </w:tc>
      </w:tr>
      <w:tr w:rsidR="00050CA3" w:rsidRPr="005A284F" w14:paraId="443CB394" w14:textId="77777777" w:rsidTr="00050CA3">
        <w:trPr>
          <w:trHeight w:val="239"/>
          <w:jc w:val="center"/>
        </w:trPr>
        <w:tc>
          <w:tcPr>
            <w:tcW w:w="1077" w:type="dxa"/>
            <w:tcBorders>
              <w:top w:val="single" w:sz="2" w:space="0" w:color="auto"/>
              <w:left w:val="single" w:sz="2" w:space="0" w:color="auto"/>
              <w:bottom w:val="single" w:sz="2" w:space="0" w:color="auto"/>
              <w:right w:val="single" w:sz="2" w:space="0" w:color="auto"/>
            </w:tcBorders>
            <w:shd w:val="clear" w:color="auto" w:fill="D3D3D3"/>
            <w:vAlign w:val="center"/>
          </w:tcPr>
          <w:p w14:paraId="5235C04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1</w:t>
            </w:r>
            <w:r w:rsidRPr="005A284F">
              <w:rPr>
                <w:rFonts w:ascii="Times New Roman" w:eastAsia="宋体" w:hAnsi="Times New Roman" w:cs="Times New Roman"/>
                <w:sz w:val="18"/>
                <w:szCs w:val="18"/>
              </w:rPr>
              <w:t>．所有者投入的普通股</w:t>
            </w:r>
          </w:p>
        </w:tc>
        <w:tc>
          <w:tcPr>
            <w:tcW w:w="1276" w:type="dxa"/>
            <w:tcBorders>
              <w:top w:val="single" w:sz="2" w:space="0" w:color="auto"/>
              <w:left w:val="single" w:sz="2" w:space="0" w:color="auto"/>
              <w:bottom w:val="single" w:sz="2" w:space="0" w:color="auto"/>
              <w:right w:val="single" w:sz="2" w:space="0" w:color="auto"/>
            </w:tcBorders>
            <w:vAlign w:val="center"/>
          </w:tcPr>
          <w:p w14:paraId="731EA70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107.00</w:t>
            </w:r>
          </w:p>
        </w:tc>
        <w:tc>
          <w:tcPr>
            <w:tcW w:w="709" w:type="dxa"/>
            <w:tcBorders>
              <w:top w:val="single" w:sz="2" w:space="0" w:color="auto"/>
              <w:left w:val="single" w:sz="2" w:space="0" w:color="auto"/>
              <w:bottom w:val="single" w:sz="2" w:space="0" w:color="auto"/>
              <w:right w:val="single" w:sz="2" w:space="0" w:color="auto"/>
            </w:tcBorders>
            <w:vAlign w:val="center"/>
          </w:tcPr>
          <w:p w14:paraId="79FBAB8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46F1874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AE0AD0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859C7E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1,119.05</w:t>
            </w:r>
          </w:p>
        </w:tc>
        <w:tc>
          <w:tcPr>
            <w:tcW w:w="1134" w:type="dxa"/>
            <w:tcBorders>
              <w:top w:val="single" w:sz="2" w:space="0" w:color="auto"/>
              <w:left w:val="single" w:sz="2" w:space="0" w:color="auto"/>
              <w:bottom w:val="single" w:sz="2" w:space="0" w:color="auto"/>
              <w:right w:val="single" w:sz="2" w:space="0" w:color="auto"/>
            </w:tcBorders>
            <w:vAlign w:val="center"/>
          </w:tcPr>
          <w:p w14:paraId="07566F7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9FDEDF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3D9EBAC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D7037E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51DDAC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55E1AA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631017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110E2D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1,226.05</w:t>
            </w:r>
          </w:p>
        </w:tc>
        <w:tc>
          <w:tcPr>
            <w:tcW w:w="1275" w:type="dxa"/>
            <w:tcBorders>
              <w:top w:val="single" w:sz="2" w:space="0" w:color="auto"/>
              <w:left w:val="single" w:sz="2" w:space="0" w:color="auto"/>
              <w:bottom w:val="single" w:sz="2" w:space="0" w:color="auto"/>
              <w:right w:val="single" w:sz="2" w:space="0" w:color="auto"/>
            </w:tcBorders>
            <w:vAlign w:val="center"/>
          </w:tcPr>
          <w:p w14:paraId="1FDAC14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6346CB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1,226.05</w:t>
            </w:r>
          </w:p>
        </w:tc>
      </w:tr>
      <w:tr w:rsidR="00050CA3" w:rsidRPr="005A284F" w14:paraId="1B52573D" w14:textId="77777777" w:rsidTr="00050CA3">
        <w:trPr>
          <w:trHeight w:val="239"/>
          <w:jc w:val="center"/>
        </w:trPr>
        <w:tc>
          <w:tcPr>
            <w:tcW w:w="1077" w:type="dxa"/>
            <w:tcBorders>
              <w:top w:val="single" w:sz="2" w:space="0" w:color="auto"/>
              <w:left w:val="single" w:sz="2" w:space="0" w:color="auto"/>
              <w:bottom w:val="single" w:sz="2" w:space="0" w:color="auto"/>
              <w:right w:val="single" w:sz="2" w:space="0" w:color="auto"/>
            </w:tcBorders>
            <w:shd w:val="clear" w:color="auto" w:fill="D3D3D3"/>
            <w:vAlign w:val="center"/>
          </w:tcPr>
          <w:p w14:paraId="67C20696"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．其他权益工具持有者投入资本</w:t>
            </w:r>
          </w:p>
        </w:tc>
        <w:tc>
          <w:tcPr>
            <w:tcW w:w="1276" w:type="dxa"/>
            <w:tcBorders>
              <w:top w:val="single" w:sz="2" w:space="0" w:color="auto"/>
              <w:left w:val="single" w:sz="2" w:space="0" w:color="auto"/>
              <w:bottom w:val="single" w:sz="2" w:space="0" w:color="auto"/>
              <w:right w:val="single" w:sz="2" w:space="0" w:color="auto"/>
            </w:tcBorders>
            <w:vAlign w:val="center"/>
          </w:tcPr>
          <w:p w14:paraId="19838FD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731314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653C16E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D4893C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459578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27F14D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04FEE8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157D6F4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822DB4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C42E48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D45E1B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CF22C1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193123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275" w:type="dxa"/>
            <w:tcBorders>
              <w:top w:val="single" w:sz="2" w:space="0" w:color="auto"/>
              <w:left w:val="single" w:sz="2" w:space="0" w:color="auto"/>
              <w:bottom w:val="single" w:sz="2" w:space="0" w:color="auto"/>
              <w:right w:val="single" w:sz="2" w:space="0" w:color="auto"/>
            </w:tcBorders>
            <w:vAlign w:val="center"/>
          </w:tcPr>
          <w:p w14:paraId="622E1B2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DD54F5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r>
      <w:tr w:rsidR="00050CA3" w:rsidRPr="005A284F" w14:paraId="6BEDD11B" w14:textId="77777777" w:rsidTr="00050CA3">
        <w:trPr>
          <w:trHeight w:val="239"/>
          <w:jc w:val="center"/>
        </w:trPr>
        <w:tc>
          <w:tcPr>
            <w:tcW w:w="1077" w:type="dxa"/>
            <w:tcBorders>
              <w:top w:val="single" w:sz="2" w:space="0" w:color="auto"/>
              <w:left w:val="single" w:sz="2" w:space="0" w:color="auto"/>
              <w:bottom w:val="single" w:sz="2" w:space="0" w:color="auto"/>
              <w:right w:val="single" w:sz="2" w:space="0" w:color="auto"/>
            </w:tcBorders>
            <w:shd w:val="clear" w:color="auto" w:fill="D3D3D3"/>
            <w:vAlign w:val="center"/>
          </w:tcPr>
          <w:p w14:paraId="40E97855"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．股份支付计入所有者权益的金额</w:t>
            </w:r>
          </w:p>
        </w:tc>
        <w:tc>
          <w:tcPr>
            <w:tcW w:w="1276" w:type="dxa"/>
            <w:tcBorders>
              <w:top w:val="single" w:sz="2" w:space="0" w:color="auto"/>
              <w:left w:val="single" w:sz="2" w:space="0" w:color="auto"/>
              <w:bottom w:val="single" w:sz="2" w:space="0" w:color="auto"/>
              <w:right w:val="single" w:sz="2" w:space="0" w:color="auto"/>
            </w:tcBorders>
            <w:vAlign w:val="center"/>
          </w:tcPr>
          <w:p w14:paraId="57BA1F0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1A46558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174CA03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1AA6AD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1D0A6C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C9BB60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CA3F7A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6961715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A466AE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A7F03C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5C061B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071E92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D0A22B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275" w:type="dxa"/>
            <w:tcBorders>
              <w:top w:val="single" w:sz="2" w:space="0" w:color="auto"/>
              <w:left w:val="single" w:sz="2" w:space="0" w:color="auto"/>
              <w:bottom w:val="single" w:sz="2" w:space="0" w:color="auto"/>
              <w:right w:val="single" w:sz="2" w:space="0" w:color="auto"/>
            </w:tcBorders>
            <w:vAlign w:val="center"/>
          </w:tcPr>
          <w:p w14:paraId="48E253A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DB09FC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r>
      <w:tr w:rsidR="00050CA3" w:rsidRPr="005A284F" w14:paraId="340838B8" w14:textId="77777777" w:rsidTr="00050CA3">
        <w:trPr>
          <w:trHeight w:val="239"/>
          <w:jc w:val="center"/>
        </w:trPr>
        <w:tc>
          <w:tcPr>
            <w:tcW w:w="1077" w:type="dxa"/>
            <w:tcBorders>
              <w:top w:val="single" w:sz="2" w:space="0" w:color="auto"/>
              <w:left w:val="single" w:sz="2" w:space="0" w:color="auto"/>
              <w:bottom w:val="single" w:sz="2" w:space="0" w:color="auto"/>
              <w:right w:val="single" w:sz="2" w:space="0" w:color="auto"/>
            </w:tcBorders>
            <w:shd w:val="clear" w:color="auto" w:fill="D3D3D3"/>
            <w:vAlign w:val="center"/>
          </w:tcPr>
          <w:p w14:paraId="1D7BEDC6"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．其他</w:t>
            </w:r>
          </w:p>
        </w:tc>
        <w:tc>
          <w:tcPr>
            <w:tcW w:w="1276" w:type="dxa"/>
            <w:tcBorders>
              <w:top w:val="single" w:sz="2" w:space="0" w:color="auto"/>
              <w:left w:val="single" w:sz="2" w:space="0" w:color="auto"/>
              <w:bottom w:val="single" w:sz="2" w:space="0" w:color="auto"/>
              <w:right w:val="single" w:sz="2" w:space="0" w:color="auto"/>
            </w:tcBorders>
            <w:vAlign w:val="center"/>
          </w:tcPr>
          <w:p w14:paraId="365D8D3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E001B8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252BDC2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EA8EE0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-181.35</w:t>
            </w:r>
          </w:p>
        </w:tc>
        <w:tc>
          <w:tcPr>
            <w:tcW w:w="1134" w:type="dxa"/>
            <w:tcBorders>
              <w:top w:val="single" w:sz="2" w:space="0" w:color="auto"/>
              <w:left w:val="single" w:sz="2" w:space="0" w:color="auto"/>
              <w:bottom w:val="single" w:sz="2" w:space="0" w:color="auto"/>
              <w:right w:val="single" w:sz="2" w:space="0" w:color="auto"/>
            </w:tcBorders>
            <w:vAlign w:val="center"/>
          </w:tcPr>
          <w:p w14:paraId="51BF542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40D754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358F55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06C8EE9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574C9A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4C67EB9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9C70D3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452409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28472E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-181.35</w:t>
            </w:r>
          </w:p>
        </w:tc>
        <w:tc>
          <w:tcPr>
            <w:tcW w:w="1275" w:type="dxa"/>
            <w:tcBorders>
              <w:top w:val="single" w:sz="2" w:space="0" w:color="auto"/>
              <w:left w:val="single" w:sz="2" w:space="0" w:color="auto"/>
              <w:bottom w:val="single" w:sz="2" w:space="0" w:color="auto"/>
              <w:right w:val="single" w:sz="2" w:space="0" w:color="auto"/>
            </w:tcBorders>
            <w:vAlign w:val="center"/>
          </w:tcPr>
          <w:p w14:paraId="7E394C4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731293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-181.35</w:t>
            </w:r>
          </w:p>
        </w:tc>
      </w:tr>
      <w:tr w:rsidR="00050CA3" w:rsidRPr="005A284F" w14:paraId="7F15DDDE" w14:textId="77777777" w:rsidTr="00050CA3">
        <w:trPr>
          <w:trHeight w:val="239"/>
          <w:jc w:val="center"/>
        </w:trPr>
        <w:tc>
          <w:tcPr>
            <w:tcW w:w="1077" w:type="dxa"/>
            <w:tcBorders>
              <w:top w:val="single" w:sz="2" w:space="0" w:color="auto"/>
              <w:left w:val="single" w:sz="2" w:space="0" w:color="auto"/>
              <w:bottom w:val="single" w:sz="2" w:space="0" w:color="auto"/>
              <w:right w:val="single" w:sz="2" w:space="0" w:color="auto"/>
            </w:tcBorders>
            <w:shd w:val="clear" w:color="auto" w:fill="D3D3D3"/>
            <w:vAlign w:val="center"/>
          </w:tcPr>
          <w:p w14:paraId="3A74B4CC"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（三）利润分配</w:t>
            </w:r>
          </w:p>
        </w:tc>
        <w:tc>
          <w:tcPr>
            <w:tcW w:w="1276" w:type="dxa"/>
            <w:tcBorders>
              <w:top w:val="single" w:sz="2" w:space="0" w:color="auto"/>
              <w:left w:val="single" w:sz="2" w:space="0" w:color="auto"/>
              <w:bottom w:val="single" w:sz="2" w:space="0" w:color="auto"/>
              <w:right w:val="single" w:sz="2" w:space="0" w:color="auto"/>
            </w:tcBorders>
            <w:vAlign w:val="center"/>
          </w:tcPr>
          <w:p w14:paraId="2A48DAA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7F97C7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4928600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CF8F05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52926D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6C44C9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3BB1D1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1C56D15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9A9F15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79C5E5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4DAF66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F2AE6D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BE6ACC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0B7E627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0A948743"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0145C4B1" w14:textId="77777777" w:rsidTr="00050CA3">
        <w:trPr>
          <w:trHeight w:val="239"/>
          <w:jc w:val="center"/>
        </w:trPr>
        <w:tc>
          <w:tcPr>
            <w:tcW w:w="1077" w:type="dxa"/>
            <w:tcBorders>
              <w:top w:val="single" w:sz="2" w:space="0" w:color="auto"/>
              <w:left w:val="single" w:sz="2" w:space="0" w:color="auto"/>
              <w:bottom w:val="single" w:sz="2" w:space="0" w:color="auto"/>
              <w:right w:val="single" w:sz="2" w:space="0" w:color="auto"/>
            </w:tcBorders>
            <w:shd w:val="clear" w:color="auto" w:fill="D3D3D3"/>
            <w:vAlign w:val="center"/>
          </w:tcPr>
          <w:p w14:paraId="04ED8743"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．提取盈余公积</w:t>
            </w:r>
          </w:p>
        </w:tc>
        <w:tc>
          <w:tcPr>
            <w:tcW w:w="1276" w:type="dxa"/>
            <w:tcBorders>
              <w:top w:val="single" w:sz="2" w:space="0" w:color="auto"/>
              <w:left w:val="single" w:sz="2" w:space="0" w:color="auto"/>
              <w:bottom w:val="single" w:sz="2" w:space="0" w:color="auto"/>
              <w:right w:val="single" w:sz="2" w:space="0" w:color="auto"/>
            </w:tcBorders>
            <w:vAlign w:val="center"/>
          </w:tcPr>
          <w:p w14:paraId="276AC15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587588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745C28E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E9A1B6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91A376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DCD37D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4E4653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190B993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D02A41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95D9B3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717471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30F489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C5FF59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185E431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3403532"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301445EE" w14:textId="77777777" w:rsidTr="00050CA3">
        <w:trPr>
          <w:trHeight w:val="239"/>
          <w:jc w:val="center"/>
        </w:trPr>
        <w:tc>
          <w:tcPr>
            <w:tcW w:w="1077" w:type="dxa"/>
            <w:tcBorders>
              <w:top w:val="single" w:sz="2" w:space="0" w:color="auto"/>
              <w:left w:val="single" w:sz="2" w:space="0" w:color="auto"/>
              <w:bottom w:val="single" w:sz="2" w:space="0" w:color="auto"/>
              <w:right w:val="single" w:sz="2" w:space="0" w:color="auto"/>
            </w:tcBorders>
            <w:shd w:val="clear" w:color="auto" w:fill="D3D3D3"/>
            <w:vAlign w:val="center"/>
          </w:tcPr>
          <w:p w14:paraId="6C9761C9"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．提取一般风险准备</w:t>
            </w:r>
          </w:p>
        </w:tc>
        <w:tc>
          <w:tcPr>
            <w:tcW w:w="1276" w:type="dxa"/>
            <w:tcBorders>
              <w:top w:val="single" w:sz="2" w:space="0" w:color="auto"/>
              <w:left w:val="single" w:sz="2" w:space="0" w:color="auto"/>
              <w:bottom w:val="single" w:sz="2" w:space="0" w:color="auto"/>
              <w:right w:val="single" w:sz="2" w:space="0" w:color="auto"/>
            </w:tcBorders>
            <w:vAlign w:val="center"/>
          </w:tcPr>
          <w:p w14:paraId="068F51A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33C862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03F3642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B55174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A6B286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BFAE6C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374C3B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11848EA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5619AB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C788C6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7B05C2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3CB6E1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E4AB40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32EA5F2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6451C58B"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7BEEDB03" w14:textId="77777777" w:rsidTr="00050CA3">
        <w:trPr>
          <w:trHeight w:val="239"/>
          <w:jc w:val="center"/>
        </w:trPr>
        <w:tc>
          <w:tcPr>
            <w:tcW w:w="1077" w:type="dxa"/>
            <w:tcBorders>
              <w:top w:val="single" w:sz="2" w:space="0" w:color="auto"/>
              <w:left w:val="single" w:sz="2" w:space="0" w:color="auto"/>
              <w:bottom w:val="single" w:sz="2" w:space="0" w:color="auto"/>
              <w:right w:val="single" w:sz="2" w:space="0" w:color="auto"/>
            </w:tcBorders>
            <w:shd w:val="clear" w:color="auto" w:fill="D3D3D3"/>
            <w:vAlign w:val="center"/>
          </w:tcPr>
          <w:p w14:paraId="14CB8C89"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．对所有者（或股东）的分配</w:t>
            </w:r>
          </w:p>
        </w:tc>
        <w:tc>
          <w:tcPr>
            <w:tcW w:w="1276" w:type="dxa"/>
            <w:tcBorders>
              <w:top w:val="single" w:sz="2" w:space="0" w:color="auto"/>
              <w:left w:val="single" w:sz="2" w:space="0" w:color="auto"/>
              <w:bottom w:val="single" w:sz="2" w:space="0" w:color="auto"/>
              <w:right w:val="single" w:sz="2" w:space="0" w:color="auto"/>
            </w:tcBorders>
            <w:vAlign w:val="center"/>
          </w:tcPr>
          <w:p w14:paraId="5FDB2BC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62B3A1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7361A66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438BF7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016052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7D1A47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09EE1D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6A49C31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ACD99E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C96FF3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7CA1DA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FE0516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B9EDB8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58592D2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025F9D9"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642DB151" w14:textId="77777777" w:rsidTr="00050CA3">
        <w:trPr>
          <w:trHeight w:val="239"/>
          <w:jc w:val="center"/>
        </w:trPr>
        <w:tc>
          <w:tcPr>
            <w:tcW w:w="1077" w:type="dxa"/>
            <w:tcBorders>
              <w:top w:val="single" w:sz="2" w:space="0" w:color="auto"/>
              <w:left w:val="single" w:sz="2" w:space="0" w:color="auto"/>
              <w:bottom w:val="single" w:sz="2" w:space="0" w:color="auto"/>
              <w:right w:val="single" w:sz="2" w:space="0" w:color="auto"/>
            </w:tcBorders>
            <w:shd w:val="clear" w:color="auto" w:fill="D3D3D3"/>
            <w:vAlign w:val="center"/>
          </w:tcPr>
          <w:p w14:paraId="1554F28F"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．其他</w:t>
            </w:r>
          </w:p>
        </w:tc>
        <w:tc>
          <w:tcPr>
            <w:tcW w:w="1276" w:type="dxa"/>
            <w:tcBorders>
              <w:top w:val="single" w:sz="2" w:space="0" w:color="auto"/>
              <w:left w:val="single" w:sz="2" w:space="0" w:color="auto"/>
              <w:bottom w:val="single" w:sz="2" w:space="0" w:color="auto"/>
              <w:right w:val="single" w:sz="2" w:space="0" w:color="auto"/>
            </w:tcBorders>
            <w:vAlign w:val="center"/>
          </w:tcPr>
          <w:p w14:paraId="76EA242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0F79BB9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4C1E7E6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8E2FFA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7761D7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954D40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65768D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425EA8F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485254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42F335C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7632D9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2D813C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67C908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63C1DBA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F142DCC"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2A80F1FC" w14:textId="77777777" w:rsidTr="00050CA3">
        <w:trPr>
          <w:trHeight w:val="239"/>
          <w:jc w:val="center"/>
        </w:trPr>
        <w:tc>
          <w:tcPr>
            <w:tcW w:w="1077" w:type="dxa"/>
            <w:tcBorders>
              <w:top w:val="single" w:sz="2" w:space="0" w:color="auto"/>
              <w:left w:val="single" w:sz="2" w:space="0" w:color="auto"/>
              <w:bottom w:val="single" w:sz="2" w:space="0" w:color="auto"/>
              <w:right w:val="single" w:sz="2" w:space="0" w:color="auto"/>
            </w:tcBorders>
            <w:shd w:val="clear" w:color="auto" w:fill="D3D3D3"/>
            <w:vAlign w:val="center"/>
          </w:tcPr>
          <w:p w14:paraId="47F851D5"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（四）所有者权益内部结转</w:t>
            </w:r>
          </w:p>
        </w:tc>
        <w:tc>
          <w:tcPr>
            <w:tcW w:w="1276" w:type="dxa"/>
            <w:tcBorders>
              <w:top w:val="single" w:sz="2" w:space="0" w:color="auto"/>
              <w:left w:val="single" w:sz="2" w:space="0" w:color="auto"/>
              <w:bottom w:val="single" w:sz="2" w:space="0" w:color="auto"/>
              <w:right w:val="single" w:sz="2" w:space="0" w:color="auto"/>
            </w:tcBorders>
            <w:vAlign w:val="center"/>
          </w:tcPr>
          <w:p w14:paraId="1C68375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51ED73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6B33736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FDF447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3530B8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3ED587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3687A3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5A2582C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C16A3E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B9A6A5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DEEB06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8F116C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403000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5225919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064F47C5"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2DCF30EE" w14:textId="77777777" w:rsidTr="00050CA3">
        <w:trPr>
          <w:trHeight w:val="239"/>
          <w:jc w:val="center"/>
        </w:trPr>
        <w:tc>
          <w:tcPr>
            <w:tcW w:w="1077" w:type="dxa"/>
            <w:tcBorders>
              <w:top w:val="single" w:sz="2" w:space="0" w:color="auto"/>
              <w:left w:val="single" w:sz="2" w:space="0" w:color="auto"/>
              <w:bottom w:val="single" w:sz="2" w:space="0" w:color="auto"/>
              <w:right w:val="single" w:sz="2" w:space="0" w:color="auto"/>
            </w:tcBorders>
            <w:shd w:val="clear" w:color="auto" w:fill="D3D3D3"/>
            <w:vAlign w:val="center"/>
          </w:tcPr>
          <w:p w14:paraId="2FD02AD6"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．资本公积转增资本（或股本）</w:t>
            </w:r>
          </w:p>
        </w:tc>
        <w:tc>
          <w:tcPr>
            <w:tcW w:w="1276" w:type="dxa"/>
            <w:tcBorders>
              <w:top w:val="single" w:sz="2" w:space="0" w:color="auto"/>
              <w:left w:val="single" w:sz="2" w:space="0" w:color="auto"/>
              <w:bottom w:val="single" w:sz="2" w:space="0" w:color="auto"/>
              <w:right w:val="single" w:sz="2" w:space="0" w:color="auto"/>
            </w:tcBorders>
            <w:vAlign w:val="center"/>
          </w:tcPr>
          <w:p w14:paraId="600828D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41466F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0DBE48C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7F9CAB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4E3781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5831CD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1F6421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6F51577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E9599D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6C3CBC7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117848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E45660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768BD3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482ECAA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462252CC"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54B42091" w14:textId="77777777" w:rsidTr="00050CA3">
        <w:trPr>
          <w:trHeight w:val="239"/>
          <w:jc w:val="center"/>
        </w:trPr>
        <w:tc>
          <w:tcPr>
            <w:tcW w:w="1077" w:type="dxa"/>
            <w:tcBorders>
              <w:top w:val="single" w:sz="2" w:space="0" w:color="auto"/>
              <w:left w:val="single" w:sz="2" w:space="0" w:color="auto"/>
              <w:bottom w:val="single" w:sz="2" w:space="0" w:color="auto"/>
              <w:right w:val="single" w:sz="2" w:space="0" w:color="auto"/>
            </w:tcBorders>
            <w:shd w:val="clear" w:color="auto" w:fill="D3D3D3"/>
            <w:vAlign w:val="center"/>
          </w:tcPr>
          <w:p w14:paraId="0094E59E"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．盈余公积转增资本（或股本）</w:t>
            </w:r>
          </w:p>
        </w:tc>
        <w:tc>
          <w:tcPr>
            <w:tcW w:w="1276" w:type="dxa"/>
            <w:tcBorders>
              <w:top w:val="single" w:sz="2" w:space="0" w:color="auto"/>
              <w:left w:val="single" w:sz="2" w:space="0" w:color="auto"/>
              <w:bottom w:val="single" w:sz="2" w:space="0" w:color="auto"/>
              <w:right w:val="single" w:sz="2" w:space="0" w:color="auto"/>
            </w:tcBorders>
            <w:vAlign w:val="center"/>
          </w:tcPr>
          <w:p w14:paraId="6B3998F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1BAF23C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28FBCCF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EF3643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A578FA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C2FE4E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46DFBF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6A68F2F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73E210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586234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604E9F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590438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A7C797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644CFD7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8A45DEC"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4816616B" w14:textId="77777777" w:rsidTr="00050CA3">
        <w:trPr>
          <w:trHeight w:val="239"/>
          <w:jc w:val="center"/>
        </w:trPr>
        <w:tc>
          <w:tcPr>
            <w:tcW w:w="1077" w:type="dxa"/>
            <w:tcBorders>
              <w:top w:val="single" w:sz="2" w:space="0" w:color="auto"/>
              <w:left w:val="single" w:sz="2" w:space="0" w:color="auto"/>
              <w:bottom w:val="single" w:sz="2" w:space="0" w:color="auto"/>
              <w:right w:val="single" w:sz="2" w:space="0" w:color="auto"/>
            </w:tcBorders>
            <w:shd w:val="clear" w:color="auto" w:fill="D3D3D3"/>
            <w:vAlign w:val="center"/>
          </w:tcPr>
          <w:p w14:paraId="1D524201"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．盈余公积弥补亏损</w:t>
            </w:r>
          </w:p>
        </w:tc>
        <w:tc>
          <w:tcPr>
            <w:tcW w:w="1276" w:type="dxa"/>
            <w:tcBorders>
              <w:top w:val="single" w:sz="2" w:space="0" w:color="auto"/>
              <w:left w:val="single" w:sz="2" w:space="0" w:color="auto"/>
              <w:bottom w:val="single" w:sz="2" w:space="0" w:color="auto"/>
              <w:right w:val="single" w:sz="2" w:space="0" w:color="auto"/>
            </w:tcBorders>
            <w:vAlign w:val="center"/>
          </w:tcPr>
          <w:p w14:paraId="77BAE65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5823B0D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6C43C6C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F2C98C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CECF84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9FCD53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38C85B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50F24BB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A4F98F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AAB8A9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1F0239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492FB5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5C08F5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07472A6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5032CE04"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0475D6C2" w14:textId="77777777" w:rsidTr="00050CA3">
        <w:trPr>
          <w:trHeight w:val="239"/>
          <w:jc w:val="center"/>
        </w:trPr>
        <w:tc>
          <w:tcPr>
            <w:tcW w:w="1077" w:type="dxa"/>
            <w:tcBorders>
              <w:top w:val="single" w:sz="2" w:space="0" w:color="auto"/>
              <w:left w:val="single" w:sz="2" w:space="0" w:color="auto"/>
              <w:bottom w:val="single" w:sz="2" w:space="0" w:color="auto"/>
              <w:right w:val="single" w:sz="2" w:space="0" w:color="auto"/>
            </w:tcBorders>
            <w:shd w:val="clear" w:color="auto" w:fill="D3D3D3"/>
            <w:vAlign w:val="center"/>
          </w:tcPr>
          <w:p w14:paraId="1DA42A47"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．设定受益计划变动额结转留存收</w:t>
            </w:r>
            <w:r w:rsidRPr="005A284F">
              <w:rPr>
                <w:rFonts w:ascii="Times New Roman" w:eastAsia="宋体" w:hAnsi="Times New Roman" w:cs="Times New Roman"/>
                <w:sz w:val="18"/>
                <w:szCs w:val="18"/>
              </w:rPr>
              <w:lastRenderedPageBreak/>
              <w:t>益</w:t>
            </w:r>
          </w:p>
        </w:tc>
        <w:tc>
          <w:tcPr>
            <w:tcW w:w="1276" w:type="dxa"/>
            <w:tcBorders>
              <w:top w:val="single" w:sz="2" w:space="0" w:color="auto"/>
              <w:left w:val="single" w:sz="2" w:space="0" w:color="auto"/>
              <w:bottom w:val="single" w:sz="2" w:space="0" w:color="auto"/>
              <w:right w:val="single" w:sz="2" w:space="0" w:color="auto"/>
            </w:tcBorders>
            <w:vAlign w:val="center"/>
          </w:tcPr>
          <w:p w14:paraId="3DF6A88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AAD235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1F3236B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46B0B4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99DD24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699D6C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6D22FA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087A972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204535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AFEB4C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869432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9411BD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1D69CD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314CB15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663B1A89"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14B1F873" w14:textId="77777777" w:rsidTr="00050CA3">
        <w:trPr>
          <w:trHeight w:val="239"/>
          <w:jc w:val="center"/>
        </w:trPr>
        <w:tc>
          <w:tcPr>
            <w:tcW w:w="1077" w:type="dxa"/>
            <w:tcBorders>
              <w:top w:val="single" w:sz="2" w:space="0" w:color="auto"/>
              <w:left w:val="single" w:sz="2" w:space="0" w:color="auto"/>
              <w:bottom w:val="single" w:sz="2" w:space="0" w:color="auto"/>
              <w:right w:val="single" w:sz="2" w:space="0" w:color="auto"/>
            </w:tcBorders>
            <w:shd w:val="clear" w:color="auto" w:fill="D3D3D3"/>
            <w:vAlign w:val="center"/>
          </w:tcPr>
          <w:p w14:paraId="37BC93E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5</w:t>
            </w:r>
            <w:r w:rsidRPr="005A284F">
              <w:rPr>
                <w:rFonts w:ascii="Times New Roman" w:eastAsia="宋体" w:hAnsi="Times New Roman" w:cs="Times New Roman"/>
                <w:sz w:val="18"/>
                <w:szCs w:val="18"/>
              </w:rPr>
              <w:t>．其他综合收益结转留存收益</w:t>
            </w:r>
          </w:p>
        </w:tc>
        <w:tc>
          <w:tcPr>
            <w:tcW w:w="1276" w:type="dxa"/>
            <w:tcBorders>
              <w:top w:val="single" w:sz="2" w:space="0" w:color="auto"/>
              <w:left w:val="single" w:sz="2" w:space="0" w:color="auto"/>
              <w:bottom w:val="single" w:sz="2" w:space="0" w:color="auto"/>
              <w:right w:val="single" w:sz="2" w:space="0" w:color="auto"/>
            </w:tcBorders>
            <w:vAlign w:val="center"/>
          </w:tcPr>
          <w:p w14:paraId="58833DC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DE5662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248D2A8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6A6667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8B6F8F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E7A0BF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B2A2D0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3C0ED3D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FE0C41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CCF143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F47AA3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B5911A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308586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1233CAE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67FA9EFB"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4153D1CE" w14:textId="77777777" w:rsidTr="00050CA3">
        <w:trPr>
          <w:trHeight w:val="239"/>
          <w:jc w:val="center"/>
        </w:trPr>
        <w:tc>
          <w:tcPr>
            <w:tcW w:w="1077" w:type="dxa"/>
            <w:tcBorders>
              <w:top w:val="single" w:sz="2" w:space="0" w:color="auto"/>
              <w:left w:val="single" w:sz="2" w:space="0" w:color="auto"/>
              <w:bottom w:val="single" w:sz="2" w:space="0" w:color="auto"/>
              <w:right w:val="single" w:sz="2" w:space="0" w:color="auto"/>
            </w:tcBorders>
            <w:shd w:val="clear" w:color="auto" w:fill="D3D3D3"/>
            <w:vAlign w:val="center"/>
          </w:tcPr>
          <w:p w14:paraId="0A951186"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6</w:t>
            </w:r>
            <w:r w:rsidRPr="005A284F">
              <w:rPr>
                <w:rFonts w:ascii="Times New Roman" w:eastAsia="宋体" w:hAnsi="Times New Roman" w:cs="Times New Roman"/>
                <w:sz w:val="18"/>
                <w:szCs w:val="18"/>
              </w:rPr>
              <w:t>．其他</w:t>
            </w:r>
          </w:p>
        </w:tc>
        <w:tc>
          <w:tcPr>
            <w:tcW w:w="1276" w:type="dxa"/>
            <w:tcBorders>
              <w:top w:val="single" w:sz="2" w:space="0" w:color="auto"/>
              <w:left w:val="single" w:sz="2" w:space="0" w:color="auto"/>
              <w:bottom w:val="single" w:sz="2" w:space="0" w:color="auto"/>
              <w:right w:val="single" w:sz="2" w:space="0" w:color="auto"/>
            </w:tcBorders>
            <w:vAlign w:val="center"/>
          </w:tcPr>
          <w:p w14:paraId="13CDE89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5D5FE6E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432B13A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69DA35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88F365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92562C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A4A5F3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4233269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F5CE48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69B8995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9DF673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A875CD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601258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2509973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BFA030C"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04754B3A" w14:textId="77777777" w:rsidTr="00050CA3">
        <w:trPr>
          <w:trHeight w:val="239"/>
          <w:jc w:val="center"/>
        </w:trPr>
        <w:tc>
          <w:tcPr>
            <w:tcW w:w="1077" w:type="dxa"/>
            <w:tcBorders>
              <w:top w:val="single" w:sz="2" w:space="0" w:color="auto"/>
              <w:left w:val="single" w:sz="2" w:space="0" w:color="auto"/>
              <w:bottom w:val="single" w:sz="2" w:space="0" w:color="auto"/>
              <w:right w:val="single" w:sz="2" w:space="0" w:color="auto"/>
            </w:tcBorders>
            <w:shd w:val="clear" w:color="auto" w:fill="D3D3D3"/>
            <w:vAlign w:val="center"/>
          </w:tcPr>
          <w:p w14:paraId="47A49BC9"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（五）专项储备</w:t>
            </w:r>
          </w:p>
        </w:tc>
        <w:tc>
          <w:tcPr>
            <w:tcW w:w="1276" w:type="dxa"/>
            <w:tcBorders>
              <w:top w:val="single" w:sz="2" w:space="0" w:color="auto"/>
              <w:left w:val="single" w:sz="2" w:space="0" w:color="auto"/>
              <w:bottom w:val="single" w:sz="2" w:space="0" w:color="auto"/>
              <w:right w:val="single" w:sz="2" w:space="0" w:color="auto"/>
            </w:tcBorders>
            <w:vAlign w:val="center"/>
          </w:tcPr>
          <w:p w14:paraId="10F9409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52FC12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5411453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5991F3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E4FE28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9B1B1C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0FCFDB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649F70E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3BB836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BAC90F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642DE7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4E5DBA5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CC3B65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7B37DE2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953872B"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4DF4ABE5" w14:textId="77777777" w:rsidTr="00050CA3">
        <w:trPr>
          <w:trHeight w:val="239"/>
          <w:jc w:val="center"/>
        </w:trPr>
        <w:tc>
          <w:tcPr>
            <w:tcW w:w="1077" w:type="dxa"/>
            <w:tcBorders>
              <w:top w:val="single" w:sz="2" w:space="0" w:color="auto"/>
              <w:left w:val="single" w:sz="2" w:space="0" w:color="auto"/>
              <w:bottom w:val="single" w:sz="2" w:space="0" w:color="auto"/>
              <w:right w:val="single" w:sz="2" w:space="0" w:color="auto"/>
            </w:tcBorders>
            <w:shd w:val="clear" w:color="auto" w:fill="D3D3D3"/>
            <w:vAlign w:val="center"/>
          </w:tcPr>
          <w:p w14:paraId="22D391F1"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．本期提取</w:t>
            </w:r>
          </w:p>
        </w:tc>
        <w:tc>
          <w:tcPr>
            <w:tcW w:w="1276" w:type="dxa"/>
            <w:tcBorders>
              <w:top w:val="single" w:sz="2" w:space="0" w:color="auto"/>
              <w:left w:val="single" w:sz="2" w:space="0" w:color="auto"/>
              <w:bottom w:val="single" w:sz="2" w:space="0" w:color="auto"/>
              <w:right w:val="single" w:sz="2" w:space="0" w:color="auto"/>
            </w:tcBorders>
            <w:vAlign w:val="center"/>
          </w:tcPr>
          <w:p w14:paraId="299281E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48F1D7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316B2DB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7C4745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6B0A27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155C68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2AD5F2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6028A45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235EAB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9791B2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614AB3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1F978A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A97966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1472F76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98993B8"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26D4AB2B" w14:textId="77777777" w:rsidTr="00050CA3">
        <w:trPr>
          <w:trHeight w:val="239"/>
          <w:jc w:val="center"/>
        </w:trPr>
        <w:tc>
          <w:tcPr>
            <w:tcW w:w="1077" w:type="dxa"/>
            <w:tcBorders>
              <w:top w:val="single" w:sz="2" w:space="0" w:color="auto"/>
              <w:left w:val="single" w:sz="2" w:space="0" w:color="auto"/>
              <w:bottom w:val="single" w:sz="2" w:space="0" w:color="auto"/>
              <w:right w:val="single" w:sz="2" w:space="0" w:color="auto"/>
            </w:tcBorders>
            <w:shd w:val="clear" w:color="auto" w:fill="D3D3D3"/>
            <w:vAlign w:val="center"/>
          </w:tcPr>
          <w:p w14:paraId="3E7356EB"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．本期使用</w:t>
            </w:r>
          </w:p>
        </w:tc>
        <w:tc>
          <w:tcPr>
            <w:tcW w:w="1276" w:type="dxa"/>
            <w:tcBorders>
              <w:top w:val="single" w:sz="2" w:space="0" w:color="auto"/>
              <w:left w:val="single" w:sz="2" w:space="0" w:color="auto"/>
              <w:bottom w:val="single" w:sz="2" w:space="0" w:color="auto"/>
              <w:right w:val="single" w:sz="2" w:space="0" w:color="auto"/>
            </w:tcBorders>
            <w:vAlign w:val="center"/>
          </w:tcPr>
          <w:p w14:paraId="69DA505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748BA5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3C21D0A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84DAAB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69A525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954DDB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7CBA69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6AC24C9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B01FC8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6408FB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5D5674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66E89AF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48DACB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4A2841D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0572F95A"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48E72F9A" w14:textId="77777777" w:rsidTr="00050CA3">
        <w:trPr>
          <w:trHeight w:val="239"/>
          <w:jc w:val="center"/>
        </w:trPr>
        <w:tc>
          <w:tcPr>
            <w:tcW w:w="1077" w:type="dxa"/>
            <w:tcBorders>
              <w:top w:val="single" w:sz="2" w:space="0" w:color="auto"/>
              <w:left w:val="single" w:sz="2" w:space="0" w:color="auto"/>
              <w:bottom w:val="single" w:sz="2" w:space="0" w:color="auto"/>
              <w:right w:val="single" w:sz="2" w:space="0" w:color="auto"/>
            </w:tcBorders>
            <w:shd w:val="clear" w:color="auto" w:fill="D3D3D3"/>
            <w:vAlign w:val="center"/>
          </w:tcPr>
          <w:p w14:paraId="47B7504F"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（六）其他</w:t>
            </w:r>
          </w:p>
        </w:tc>
        <w:tc>
          <w:tcPr>
            <w:tcW w:w="1276" w:type="dxa"/>
            <w:tcBorders>
              <w:top w:val="single" w:sz="2" w:space="0" w:color="auto"/>
              <w:left w:val="single" w:sz="2" w:space="0" w:color="auto"/>
              <w:bottom w:val="single" w:sz="2" w:space="0" w:color="auto"/>
              <w:right w:val="single" w:sz="2" w:space="0" w:color="auto"/>
            </w:tcBorders>
            <w:vAlign w:val="center"/>
          </w:tcPr>
          <w:p w14:paraId="5E90CFA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47BE5A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5027292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962175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325D5C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D86C1C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5C3E52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6739D88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135E14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B10603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E49299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7CDD52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E78368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74D1AE3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B146804"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106DEE1F" w14:textId="77777777" w:rsidTr="00050CA3">
        <w:trPr>
          <w:trHeight w:val="239"/>
          <w:jc w:val="center"/>
        </w:trPr>
        <w:tc>
          <w:tcPr>
            <w:tcW w:w="1077" w:type="dxa"/>
            <w:tcBorders>
              <w:top w:val="single" w:sz="2" w:space="0" w:color="auto"/>
              <w:left w:val="single" w:sz="2" w:space="0" w:color="auto"/>
              <w:bottom w:val="single" w:sz="2" w:space="0" w:color="auto"/>
              <w:right w:val="single" w:sz="2" w:space="0" w:color="auto"/>
            </w:tcBorders>
            <w:shd w:val="clear" w:color="auto" w:fill="D3D3D3"/>
            <w:vAlign w:val="center"/>
          </w:tcPr>
          <w:p w14:paraId="681A1217"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四、本期期末余额</w:t>
            </w:r>
          </w:p>
        </w:tc>
        <w:tc>
          <w:tcPr>
            <w:tcW w:w="1276" w:type="dxa"/>
            <w:tcBorders>
              <w:top w:val="single" w:sz="2" w:space="0" w:color="auto"/>
              <w:left w:val="single" w:sz="2" w:space="0" w:color="auto"/>
              <w:bottom w:val="single" w:sz="2" w:space="0" w:color="auto"/>
              <w:right w:val="single" w:sz="2" w:space="0" w:color="auto"/>
            </w:tcBorders>
            <w:vAlign w:val="center"/>
          </w:tcPr>
          <w:p w14:paraId="4B34F2D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1,079,159,939.00</w:t>
            </w:r>
          </w:p>
        </w:tc>
        <w:tc>
          <w:tcPr>
            <w:tcW w:w="709" w:type="dxa"/>
            <w:tcBorders>
              <w:top w:val="single" w:sz="2" w:space="0" w:color="auto"/>
              <w:left w:val="single" w:sz="2" w:space="0" w:color="auto"/>
              <w:bottom w:val="single" w:sz="2" w:space="0" w:color="auto"/>
              <w:right w:val="single" w:sz="2" w:space="0" w:color="auto"/>
            </w:tcBorders>
            <w:vAlign w:val="center"/>
          </w:tcPr>
          <w:p w14:paraId="49541C6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708" w:type="dxa"/>
            <w:tcBorders>
              <w:top w:val="single" w:sz="2" w:space="0" w:color="auto"/>
              <w:left w:val="single" w:sz="2" w:space="0" w:color="auto"/>
              <w:bottom w:val="single" w:sz="2" w:space="0" w:color="auto"/>
              <w:right w:val="single" w:sz="2" w:space="0" w:color="auto"/>
            </w:tcBorders>
            <w:vAlign w:val="center"/>
          </w:tcPr>
          <w:p w14:paraId="3AD3A65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64A2280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171,570,700.63</w:t>
            </w:r>
          </w:p>
        </w:tc>
        <w:tc>
          <w:tcPr>
            <w:tcW w:w="1134" w:type="dxa"/>
            <w:tcBorders>
              <w:top w:val="single" w:sz="2" w:space="0" w:color="auto"/>
              <w:left w:val="single" w:sz="2" w:space="0" w:color="auto"/>
              <w:bottom w:val="single" w:sz="2" w:space="0" w:color="auto"/>
              <w:right w:val="single" w:sz="2" w:space="0" w:color="auto"/>
            </w:tcBorders>
            <w:vAlign w:val="center"/>
          </w:tcPr>
          <w:p w14:paraId="3BE6AA7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824,958,540.69</w:t>
            </w:r>
          </w:p>
        </w:tc>
        <w:tc>
          <w:tcPr>
            <w:tcW w:w="1134" w:type="dxa"/>
            <w:tcBorders>
              <w:top w:val="single" w:sz="2" w:space="0" w:color="auto"/>
              <w:left w:val="single" w:sz="2" w:space="0" w:color="auto"/>
              <w:bottom w:val="single" w:sz="2" w:space="0" w:color="auto"/>
              <w:right w:val="single" w:sz="2" w:space="0" w:color="auto"/>
            </w:tcBorders>
            <w:vAlign w:val="center"/>
          </w:tcPr>
          <w:p w14:paraId="1B26CF8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330,025,083.29</w:t>
            </w:r>
          </w:p>
        </w:tc>
        <w:tc>
          <w:tcPr>
            <w:tcW w:w="1134" w:type="dxa"/>
            <w:tcBorders>
              <w:top w:val="single" w:sz="2" w:space="0" w:color="auto"/>
              <w:left w:val="single" w:sz="2" w:space="0" w:color="auto"/>
              <w:bottom w:val="single" w:sz="2" w:space="0" w:color="auto"/>
              <w:right w:val="single" w:sz="2" w:space="0" w:color="auto"/>
            </w:tcBorders>
            <w:vAlign w:val="center"/>
          </w:tcPr>
          <w:p w14:paraId="3AF54E2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-12,100,000.00</w:t>
            </w:r>
          </w:p>
        </w:tc>
        <w:tc>
          <w:tcPr>
            <w:tcW w:w="426" w:type="dxa"/>
            <w:tcBorders>
              <w:top w:val="single" w:sz="2" w:space="0" w:color="auto"/>
              <w:left w:val="single" w:sz="2" w:space="0" w:color="auto"/>
              <w:bottom w:val="single" w:sz="2" w:space="0" w:color="auto"/>
              <w:right w:val="single" w:sz="2" w:space="0" w:color="auto"/>
            </w:tcBorders>
            <w:vAlign w:val="center"/>
          </w:tcPr>
          <w:p w14:paraId="6FC3362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2F0090A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263,717,929.16</w:t>
            </w:r>
          </w:p>
        </w:tc>
        <w:tc>
          <w:tcPr>
            <w:tcW w:w="425" w:type="dxa"/>
            <w:tcBorders>
              <w:top w:val="single" w:sz="2" w:space="0" w:color="auto"/>
              <w:left w:val="single" w:sz="2" w:space="0" w:color="auto"/>
              <w:bottom w:val="single" w:sz="2" w:space="0" w:color="auto"/>
              <w:right w:val="single" w:sz="2" w:space="0" w:color="auto"/>
            </w:tcBorders>
            <w:vAlign w:val="center"/>
          </w:tcPr>
          <w:p w14:paraId="43B9B8C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vAlign w:val="center"/>
          </w:tcPr>
          <w:p w14:paraId="46F24B9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-457,146,752.15</w:t>
            </w:r>
          </w:p>
        </w:tc>
        <w:tc>
          <w:tcPr>
            <w:tcW w:w="425" w:type="dxa"/>
            <w:tcBorders>
              <w:top w:val="single" w:sz="2" w:space="0" w:color="auto"/>
              <w:left w:val="single" w:sz="2" w:space="0" w:color="auto"/>
              <w:bottom w:val="single" w:sz="2" w:space="0" w:color="auto"/>
              <w:right w:val="single" w:sz="2" w:space="0" w:color="auto"/>
            </w:tcBorders>
            <w:vAlign w:val="center"/>
          </w:tcPr>
          <w:p w14:paraId="58499FA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B7F1A1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1,540,135,274.04</w:t>
            </w:r>
          </w:p>
        </w:tc>
        <w:tc>
          <w:tcPr>
            <w:tcW w:w="1275" w:type="dxa"/>
            <w:tcBorders>
              <w:top w:val="single" w:sz="2" w:space="0" w:color="auto"/>
              <w:left w:val="single" w:sz="2" w:space="0" w:color="auto"/>
              <w:bottom w:val="single" w:sz="2" w:space="0" w:color="auto"/>
              <w:right w:val="single" w:sz="2" w:space="0" w:color="auto"/>
            </w:tcBorders>
            <w:vAlign w:val="center"/>
          </w:tcPr>
          <w:p w14:paraId="7619D72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180,387,140.70</w:t>
            </w:r>
          </w:p>
        </w:tc>
        <w:tc>
          <w:tcPr>
            <w:tcW w:w="1418" w:type="dxa"/>
            <w:tcBorders>
              <w:top w:val="single" w:sz="2" w:space="0" w:color="auto"/>
              <w:left w:val="single" w:sz="2" w:space="0" w:color="auto"/>
              <w:bottom w:val="single" w:sz="2" w:space="0" w:color="auto"/>
              <w:right w:val="single" w:sz="2" w:space="0" w:color="auto"/>
            </w:tcBorders>
            <w:vAlign w:val="center"/>
          </w:tcPr>
          <w:p w14:paraId="5860B0D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1,720,522,414.74</w:t>
            </w:r>
          </w:p>
        </w:tc>
      </w:tr>
    </w:tbl>
    <w:p w14:paraId="6454DAF3" w14:textId="77777777" w:rsidR="006C011D" w:rsidRPr="005A284F" w:rsidRDefault="00000000">
      <w:pPr>
        <w:pStyle w:val="3"/>
        <w:spacing w:line="280" w:lineRule="exact"/>
        <w:jc w:val="left"/>
        <w:rPr>
          <w:rFonts w:ascii="Times New Roman" w:hAnsi="Times New Roman" w:cs="Times New Roman"/>
          <w:b/>
          <w:bCs/>
        </w:rPr>
      </w:pPr>
      <w:bookmarkStart w:id="109" w:name="_Toc988998"/>
      <w:r w:rsidRPr="005A284F">
        <w:rPr>
          <w:rFonts w:ascii="Times New Roman" w:hAnsi="Times New Roman" w:cs="Times New Roman"/>
          <w:b/>
          <w:bCs/>
        </w:rPr>
        <w:t>8</w:t>
      </w:r>
      <w:r w:rsidRPr="005A284F">
        <w:rPr>
          <w:rFonts w:ascii="Times New Roman" w:hAnsi="Times New Roman" w:cs="Times New Roman"/>
          <w:b/>
          <w:bCs/>
        </w:rPr>
        <w:t>、母公司所有者权益变动表</w:t>
      </w:r>
      <w:bookmarkEnd w:id="109"/>
    </w:p>
    <w:p w14:paraId="26608541"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本期金额</w:t>
      </w:r>
    </w:p>
    <w:p w14:paraId="5FE4D472" w14:textId="77777777" w:rsidR="006C011D" w:rsidRPr="005A284F" w:rsidRDefault="00000000">
      <w:pPr>
        <w:spacing w:before="120" w:after="12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15872"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0" w:type="dxa"/>
          <w:right w:w="0" w:type="dxa"/>
        </w:tblCellMar>
        <w:tblLook w:val="04A0" w:firstRow="1" w:lastRow="0" w:firstColumn="1" w:lastColumn="0" w:noHBand="0" w:noVBand="1"/>
      </w:tblPr>
      <w:tblGrid>
        <w:gridCol w:w="993"/>
        <w:gridCol w:w="1381"/>
        <w:gridCol w:w="567"/>
        <w:gridCol w:w="709"/>
        <w:gridCol w:w="1559"/>
        <w:gridCol w:w="1417"/>
        <w:gridCol w:w="1276"/>
        <w:gridCol w:w="1276"/>
        <w:gridCol w:w="1276"/>
        <w:gridCol w:w="1417"/>
        <w:gridCol w:w="1418"/>
        <w:gridCol w:w="850"/>
        <w:gridCol w:w="1733"/>
      </w:tblGrid>
      <w:tr w:rsidR="006C011D" w:rsidRPr="005A284F" w14:paraId="2244BFBB" w14:textId="77777777" w:rsidTr="00050CA3">
        <w:trPr>
          <w:trHeight w:val="240"/>
          <w:jc w:val="center"/>
        </w:trPr>
        <w:tc>
          <w:tcPr>
            <w:tcW w:w="9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8B6FE5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1487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14:paraId="4F48432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年半年度</w:t>
            </w:r>
          </w:p>
        </w:tc>
      </w:tr>
      <w:tr w:rsidR="004B1EC4" w:rsidRPr="005A284F" w14:paraId="21F0A77A" w14:textId="77777777" w:rsidTr="004B1EC4">
        <w:trPr>
          <w:trHeight w:val="240"/>
          <w:jc w:val="center"/>
        </w:trPr>
        <w:tc>
          <w:tcPr>
            <w:tcW w:w="99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27C21E1" w14:textId="77777777" w:rsidR="006C011D" w:rsidRPr="005A284F" w:rsidRDefault="006C011D">
            <w:pPr>
              <w:rPr>
                <w:rFonts w:ascii="Times New Roman" w:eastAsia="宋体" w:hAnsi="Times New Roman" w:cs="Times New Roman"/>
              </w:rPr>
            </w:pPr>
          </w:p>
        </w:tc>
        <w:tc>
          <w:tcPr>
            <w:tcW w:w="138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F2C906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股本</w:t>
            </w:r>
          </w:p>
        </w:tc>
        <w:tc>
          <w:tcPr>
            <w:tcW w:w="2835"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5BAB925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其他权益工具</w:t>
            </w:r>
          </w:p>
        </w:tc>
        <w:tc>
          <w:tcPr>
            <w:tcW w:w="141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019B07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资本公积</w:t>
            </w:r>
          </w:p>
        </w:tc>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493295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减：库存股</w:t>
            </w:r>
          </w:p>
        </w:tc>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CA6726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其他综合收益</w:t>
            </w:r>
          </w:p>
        </w:tc>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87EE9C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专项储备</w:t>
            </w:r>
          </w:p>
        </w:tc>
        <w:tc>
          <w:tcPr>
            <w:tcW w:w="141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7DB386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盈余公积</w:t>
            </w:r>
          </w:p>
        </w:tc>
        <w:tc>
          <w:tcPr>
            <w:tcW w:w="141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00FC1B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未分配利润</w:t>
            </w:r>
          </w:p>
        </w:tc>
        <w:tc>
          <w:tcPr>
            <w:tcW w:w="85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786DAA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c>
          <w:tcPr>
            <w:tcW w:w="173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B7EFE5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所有者权益合计</w:t>
            </w:r>
          </w:p>
        </w:tc>
      </w:tr>
      <w:tr w:rsidR="00050CA3" w:rsidRPr="005A284F" w14:paraId="72A90D32" w14:textId="77777777" w:rsidTr="004B1EC4">
        <w:trPr>
          <w:trHeight w:val="240"/>
          <w:jc w:val="center"/>
        </w:trPr>
        <w:tc>
          <w:tcPr>
            <w:tcW w:w="99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855B290" w14:textId="77777777" w:rsidR="006C011D" w:rsidRPr="005A284F" w:rsidRDefault="006C011D">
            <w:pPr>
              <w:rPr>
                <w:rFonts w:ascii="Times New Roman" w:eastAsia="宋体" w:hAnsi="Times New Roman" w:cs="Times New Roman"/>
              </w:rPr>
            </w:pPr>
          </w:p>
        </w:tc>
        <w:tc>
          <w:tcPr>
            <w:tcW w:w="138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AAFFD79" w14:textId="77777777" w:rsidR="006C011D" w:rsidRPr="005A284F" w:rsidRDefault="006C011D">
            <w:pPr>
              <w:rPr>
                <w:rFonts w:ascii="Times New Roman" w:eastAsia="宋体" w:hAnsi="Times New Roman" w:cs="Times New Roman"/>
              </w:rPr>
            </w:pP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4C9C0FE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优先股</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1A1A0D9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永续债</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748763E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c>
          <w:tcPr>
            <w:tcW w:w="141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9110BF6" w14:textId="77777777" w:rsidR="006C011D" w:rsidRPr="005A284F" w:rsidRDefault="006C011D">
            <w:pPr>
              <w:rPr>
                <w:rFonts w:ascii="Times New Roman" w:eastAsia="宋体" w:hAnsi="Times New Roman" w:cs="Times New Roman"/>
              </w:rPr>
            </w:pPr>
          </w:p>
        </w:tc>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E048AE5" w14:textId="77777777" w:rsidR="006C011D" w:rsidRPr="005A284F" w:rsidRDefault="006C011D">
            <w:pPr>
              <w:rPr>
                <w:rFonts w:ascii="Times New Roman" w:eastAsia="宋体" w:hAnsi="Times New Roman" w:cs="Times New Roman"/>
              </w:rPr>
            </w:pPr>
          </w:p>
        </w:tc>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F516BAD" w14:textId="77777777" w:rsidR="006C011D" w:rsidRPr="005A284F" w:rsidRDefault="006C011D">
            <w:pPr>
              <w:rPr>
                <w:rFonts w:ascii="Times New Roman" w:eastAsia="宋体" w:hAnsi="Times New Roman" w:cs="Times New Roman"/>
              </w:rPr>
            </w:pPr>
          </w:p>
        </w:tc>
        <w:tc>
          <w:tcPr>
            <w:tcW w:w="1276" w:type="dxa"/>
            <w:vMerge/>
            <w:tcBorders>
              <w:top w:val="single" w:sz="2" w:space="0" w:color="auto"/>
              <w:left w:val="single" w:sz="2" w:space="0" w:color="auto"/>
              <w:bottom w:val="single" w:sz="2" w:space="0" w:color="auto"/>
              <w:right w:val="single" w:sz="2" w:space="0" w:color="auto"/>
            </w:tcBorders>
            <w:vAlign w:val="center"/>
          </w:tcPr>
          <w:p w14:paraId="319CA8AF" w14:textId="77777777" w:rsidR="006C011D" w:rsidRPr="005A284F" w:rsidRDefault="006C011D">
            <w:pPr>
              <w:rPr>
                <w:rFonts w:ascii="Times New Roman" w:eastAsia="宋体" w:hAnsi="Times New Roman" w:cs="Times New Roman"/>
              </w:rPr>
            </w:pPr>
          </w:p>
        </w:tc>
        <w:tc>
          <w:tcPr>
            <w:tcW w:w="141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2001D6F" w14:textId="77777777" w:rsidR="006C011D" w:rsidRPr="005A284F" w:rsidRDefault="006C011D">
            <w:pPr>
              <w:rPr>
                <w:rFonts w:ascii="Times New Roman" w:eastAsia="宋体" w:hAnsi="Times New Roman" w:cs="Times New Roman"/>
              </w:rPr>
            </w:pPr>
          </w:p>
        </w:tc>
        <w:tc>
          <w:tcPr>
            <w:tcW w:w="141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9761FB0" w14:textId="77777777" w:rsidR="006C011D" w:rsidRPr="005A284F" w:rsidRDefault="006C011D">
            <w:pPr>
              <w:rPr>
                <w:rFonts w:ascii="Times New Roman" w:eastAsia="宋体" w:hAnsi="Times New Roman" w:cs="Times New Roman"/>
              </w:rPr>
            </w:pPr>
          </w:p>
        </w:tc>
        <w:tc>
          <w:tcPr>
            <w:tcW w:w="850" w:type="dxa"/>
            <w:vMerge/>
            <w:tcBorders>
              <w:top w:val="single" w:sz="2" w:space="0" w:color="auto"/>
              <w:left w:val="single" w:sz="2" w:space="0" w:color="auto"/>
              <w:bottom w:val="single" w:sz="2" w:space="0" w:color="auto"/>
              <w:right w:val="single" w:sz="2" w:space="0" w:color="auto"/>
            </w:tcBorders>
            <w:vAlign w:val="center"/>
          </w:tcPr>
          <w:p w14:paraId="03AA8027" w14:textId="77777777" w:rsidR="006C011D" w:rsidRPr="005A284F" w:rsidRDefault="006C011D">
            <w:pPr>
              <w:rPr>
                <w:rFonts w:ascii="Times New Roman" w:eastAsia="宋体" w:hAnsi="Times New Roman" w:cs="Times New Roman"/>
              </w:rPr>
            </w:pPr>
          </w:p>
        </w:tc>
        <w:tc>
          <w:tcPr>
            <w:tcW w:w="173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F030A25" w14:textId="77777777" w:rsidR="006C011D" w:rsidRPr="005A284F" w:rsidRDefault="006C011D">
            <w:pPr>
              <w:rPr>
                <w:rFonts w:ascii="Times New Roman" w:eastAsia="宋体" w:hAnsi="Times New Roman" w:cs="Times New Roman"/>
              </w:rPr>
            </w:pPr>
          </w:p>
        </w:tc>
      </w:tr>
      <w:tr w:rsidR="00050CA3" w:rsidRPr="005A284F" w14:paraId="630950FA" w14:textId="77777777" w:rsidTr="004B1EC4">
        <w:trPr>
          <w:trHeight w:val="240"/>
          <w:jc w:val="center"/>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5A6C3C9C"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一、上年期末余额</w:t>
            </w:r>
          </w:p>
        </w:tc>
        <w:tc>
          <w:tcPr>
            <w:tcW w:w="1381" w:type="dxa"/>
            <w:tcBorders>
              <w:top w:val="single" w:sz="2" w:space="0" w:color="auto"/>
              <w:left w:val="single" w:sz="2" w:space="0" w:color="auto"/>
              <w:bottom w:val="single" w:sz="2" w:space="0" w:color="auto"/>
              <w:right w:val="single" w:sz="2" w:space="0" w:color="auto"/>
            </w:tcBorders>
            <w:vAlign w:val="center"/>
          </w:tcPr>
          <w:p w14:paraId="055E19D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1,079,160,261.00</w:t>
            </w:r>
          </w:p>
        </w:tc>
        <w:tc>
          <w:tcPr>
            <w:tcW w:w="567" w:type="dxa"/>
            <w:tcBorders>
              <w:top w:val="single" w:sz="2" w:space="0" w:color="auto"/>
              <w:left w:val="single" w:sz="2" w:space="0" w:color="auto"/>
              <w:bottom w:val="single" w:sz="2" w:space="0" w:color="auto"/>
              <w:right w:val="single" w:sz="2" w:space="0" w:color="auto"/>
            </w:tcBorders>
            <w:vAlign w:val="center"/>
          </w:tcPr>
          <w:p w14:paraId="06123FE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709" w:type="dxa"/>
            <w:tcBorders>
              <w:top w:val="single" w:sz="2" w:space="0" w:color="auto"/>
              <w:left w:val="single" w:sz="2" w:space="0" w:color="auto"/>
              <w:bottom w:val="single" w:sz="2" w:space="0" w:color="auto"/>
              <w:right w:val="single" w:sz="2" w:space="0" w:color="auto"/>
            </w:tcBorders>
            <w:vAlign w:val="center"/>
          </w:tcPr>
          <w:p w14:paraId="052A188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559" w:type="dxa"/>
            <w:tcBorders>
              <w:top w:val="single" w:sz="2" w:space="0" w:color="auto"/>
              <w:left w:val="single" w:sz="2" w:space="0" w:color="auto"/>
              <w:bottom w:val="single" w:sz="2" w:space="0" w:color="auto"/>
              <w:right w:val="single" w:sz="2" w:space="0" w:color="auto"/>
            </w:tcBorders>
            <w:vAlign w:val="center"/>
          </w:tcPr>
          <w:p w14:paraId="3AFB887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171,570,156.57</w:t>
            </w:r>
          </w:p>
        </w:tc>
        <w:tc>
          <w:tcPr>
            <w:tcW w:w="1417" w:type="dxa"/>
            <w:tcBorders>
              <w:top w:val="single" w:sz="2" w:space="0" w:color="auto"/>
              <w:left w:val="single" w:sz="2" w:space="0" w:color="auto"/>
              <w:bottom w:val="single" w:sz="2" w:space="0" w:color="auto"/>
              <w:right w:val="single" w:sz="2" w:space="0" w:color="auto"/>
            </w:tcBorders>
            <w:vAlign w:val="center"/>
          </w:tcPr>
          <w:p w14:paraId="5EAF61D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830,440,076.97</w:t>
            </w:r>
          </w:p>
        </w:tc>
        <w:tc>
          <w:tcPr>
            <w:tcW w:w="1276" w:type="dxa"/>
            <w:tcBorders>
              <w:top w:val="single" w:sz="2" w:space="0" w:color="auto"/>
              <w:left w:val="single" w:sz="2" w:space="0" w:color="auto"/>
              <w:bottom w:val="single" w:sz="2" w:space="0" w:color="auto"/>
              <w:right w:val="single" w:sz="2" w:space="0" w:color="auto"/>
            </w:tcBorders>
            <w:vAlign w:val="center"/>
          </w:tcPr>
          <w:p w14:paraId="09499E2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330,025,083.29</w:t>
            </w:r>
          </w:p>
        </w:tc>
        <w:tc>
          <w:tcPr>
            <w:tcW w:w="1276" w:type="dxa"/>
            <w:tcBorders>
              <w:top w:val="single" w:sz="2" w:space="0" w:color="auto"/>
              <w:left w:val="single" w:sz="2" w:space="0" w:color="auto"/>
              <w:bottom w:val="single" w:sz="2" w:space="0" w:color="auto"/>
              <w:right w:val="single" w:sz="2" w:space="0" w:color="auto"/>
            </w:tcBorders>
            <w:vAlign w:val="center"/>
          </w:tcPr>
          <w:p w14:paraId="6844C2E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-12,100,000.00</w:t>
            </w:r>
          </w:p>
        </w:tc>
        <w:tc>
          <w:tcPr>
            <w:tcW w:w="1276" w:type="dxa"/>
            <w:tcBorders>
              <w:top w:val="single" w:sz="2" w:space="0" w:color="auto"/>
              <w:left w:val="single" w:sz="2" w:space="0" w:color="auto"/>
              <w:bottom w:val="single" w:sz="2" w:space="0" w:color="auto"/>
              <w:right w:val="single" w:sz="2" w:space="0" w:color="auto"/>
            </w:tcBorders>
            <w:vAlign w:val="center"/>
          </w:tcPr>
          <w:p w14:paraId="30F5695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417" w:type="dxa"/>
            <w:tcBorders>
              <w:top w:val="single" w:sz="2" w:space="0" w:color="auto"/>
              <w:left w:val="single" w:sz="2" w:space="0" w:color="auto"/>
              <w:bottom w:val="single" w:sz="2" w:space="0" w:color="auto"/>
              <w:right w:val="single" w:sz="2" w:space="0" w:color="auto"/>
            </w:tcBorders>
            <w:vAlign w:val="center"/>
          </w:tcPr>
          <w:p w14:paraId="51D5FCA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263,717,929.16</w:t>
            </w:r>
          </w:p>
        </w:tc>
        <w:tc>
          <w:tcPr>
            <w:tcW w:w="1418" w:type="dxa"/>
            <w:tcBorders>
              <w:top w:val="single" w:sz="2" w:space="0" w:color="auto"/>
              <w:left w:val="single" w:sz="2" w:space="0" w:color="auto"/>
              <w:bottom w:val="single" w:sz="2" w:space="0" w:color="auto"/>
              <w:right w:val="single" w:sz="2" w:space="0" w:color="auto"/>
            </w:tcBorders>
            <w:vAlign w:val="center"/>
          </w:tcPr>
          <w:p w14:paraId="194A5D4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-823,446,021.00</w:t>
            </w:r>
          </w:p>
        </w:tc>
        <w:tc>
          <w:tcPr>
            <w:tcW w:w="850" w:type="dxa"/>
            <w:tcBorders>
              <w:top w:val="single" w:sz="2" w:space="0" w:color="auto"/>
              <w:left w:val="single" w:sz="2" w:space="0" w:color="auto"/>
              <w:bottom w:val="single" w:sz="2" w:space="0" w:color="auto"/>
              <w:right w:val="single" w:sz="2" w:space="0" w:color="auto"/>
            </w:tcBorders>
            <w:vAlign w:val="center"/>
          </w:tcPr>
          <w:p w14:paraId="54EA032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733" w:type="dxa"/>
            <w:tcBorders>
              <w:top w:val="single" w:sz="2" w:space="0" w:color="auto"/>
              <w:left w:val="single" w:sz="2" w:space="0" w:color="auto"/>
              <w:bottom w:val="single" w:sz="2" w:space="0" w:color="auto"/>
              <w:right w:val="single" w:sz="2" w:space="0" w:color="auto"/>
            </w:tcBorders>
            <w:vAlign w:val="center"/>
          </w:tcPr>
          <w:p w14:paraId="3087C12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1,179,317,319.41</w:t>
            </w:r>
          </w:p>
        </w:tc>
      </w:tr>
      <w:tr w:rsidR="00050CA3" w:rsidRPr="005A284F" w14:paraId="5CF23BA8" w14:textId="77777777" w:rsidTr="004B1EC4">
        <w:trPr>
          <w:trHeight w:val="240"/>
          <w:jc w:val="center"/>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77746AEC" w14:textId="77777777" w:rsidR="006C011D" w:rsidRPr="005A284F" w:rsidRDefault="00000000" w:rsidP="00050CA3">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加：会计政策变更</w:t>
            </w:r>
          </w:p>
        </w:tc>
        <w:tc>
          <w:tcPr>
            <w:tcW w:w="1381" w:type="dxa"/>
            <w:tcBorders>
              <w:top w:val="single" w:sz="2" w:space="0" w:color="auto"/>
              <w:left w:val="single" w:sz="2" w:space="0" w:color="auto"/>
              <w:bottom w:val="single" w:sz="2" w:space="0" w:color="auto"/>
              <w:right w:val="single" w:sz="2" w:space="0" w:color="auto"/>
            </w:tcBorders>
            <w:vAlign w:val="center"/>
          </w:tcPr>
          <w:p w14:paraId="4836D35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7A56E1A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21BF28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3534E34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8FF6BA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9D228E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E7919E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6E4E01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576566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57DEA60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139371D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733" w:type="dxa"/>
            <w:tcBorders>
              <w:top w:val="single" w:sz="2" w:space="0" w:color="auto"/>
              <w:left w:val="single" w:sz="2" w:space="0" w:color="auto"/>
              <w:bottom w:val="single" w:sz="2" w:space="0" w:color="auto"/>
              <w:right w:val="single" w:sz="2" w:space="0" w:color="auto"/>
            </w:tcBorders>
            <w:vAlign w:val="center"/>
          </w:tcPr>
          <w:p w14:paraId="1A843502"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0873A797" w14:textId="77777777" w:rsidTr="004B1EC4">
        <w:trPr>
          <w:trHeight w:val="240"/>
          <w:jc w:val="center"/>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53E78322" w14:textId="77777777" w:rsidR="006C011D" w:rsidRPr="005A284F" w:rsidRDefault="00000000" w:rsidP="00050CA3">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前期差错更正</w:t>
            </w:r>
          </w:p>
        </w:tc>
        <w:tc>
          <w:tcPr>
            <w:tcW w:w="1381" w:type="dxa"/>
            <w:tcBorders>
              <w:top w:val="single" w:sz="2" w:space="0" w:color="auto"/>
              <w:left w:val="single" w:sz="2" w:space="0" w:color="auto"/>
              <w:bottom w:val="single" w:sz="2" w:space="0" w:color="auto"/>
              <w:right w:val="single" w:sz="2" w:space="0" w:color="auto"/>
            </w:tcBorders>
            <w:vAlign w:val="center"/>
          </w:tcPr>
          <w:p w14:paraId="739E86C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3A5F29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05934F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6952EAC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D06EEA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DFF36C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2E4E7D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29E75C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4190AE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FC39E1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0E960E9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733" w:type="dxa"/>
            <w:tcBorders>
              <w:top w:val="single" w:sz="2" w:space="0" w:color="auto"/>
              <w:left w:val="single" w:sz="2" w:space="0" w:color="auto"/>
              <w:bottom w:val="single" w:sz="2" w:space="0" w:color="auto"/>
              <w:right w:val="single" w:sz="2" w:space="0" w:color="auto"/>
            </w:tcBorders>
            <w:vAlign w:val="center"/>
          </w:tcPr>
          <w:p w14:paraId="2DBB608C"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6D96D06C" w14:textId="77777777" w:rsidTr="004B1EC4">
        <w:trPr>
          <w:trHeight w:val="240"/>
          <w:jc w:val="center"/>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57F0FF54" w14:textId="77777777" w:rsidR="006C011D" w:rsidRPr="005A284F" w:rsidRDefault="00000000" w:rsidP="00050CA3">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c>
          <w:tcPr>
            <w:tcW w:w="1381" w:type="dxa"/>
            <w:tcBorders>
              <w:top w:val="single" w:sz="2" w:space="0" w:color="auto"/>
              <w:left w:val="single" w:sz="2" w:space="0" w:color="auto"/>
              <w:bottom w:val="single" w:sz="2" w:space="0" w:color="auto"/>
              <w:right w:val="single" w:sz="2" w:space="0" w:color="auto"/>
            </w:tcBorders>
            <w:vAlign w:val="center"/>
          </w:tcPr>
          <w:p w14:paraId="5380318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77F9C79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46BA04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6FEFF61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3C0C2B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4FA07B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7061A1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024E4D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26AD95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820363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06CCEE3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733" w:type="dxa"/>
            <w:tcBorders>
              <w:top w:val="single" w:sz="2" w:space="0" w:color="auto"/>
              <w:left w:val="single" w:sz="2" w:space="0" w:color="auto"/>
              <w:bottom w:val="single" w:sz="2" w:space="0" w:color="auto"/>
              <w:right w:val="single" w:sz="2" w:space="0" w:color="auto"/>
            </w:tcBorders>
            <w:vAlign w:val="center"/>
          </w:tcPr>
          <w:p w14:paraId="7EDC8993"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51446D62" w14:textId="77777777" w:rsidTr="004B1EC4">
        <w:trPr>
          <w:trHeight w:val="240"/>
          <w:jc w:val="center"/>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4DC6C189"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二、本年期初余额</w:t>
            </w:r>
          </w:p>
        </w:tc>
        <w:tc>
          <w:tcPr>
            <w:tcW w:w="1381" w:type="dxa"/>
            <w:tcBorders>
              <w:top w:val="single" w:sz="2" w:space="0" w:color="auto"/>
              <w:left w:val="single" w:sz="2" w:space="0" w:color="auto"/>
              <w:bottom w:val="single" w:sz="2" w:space="0" w:color="auto"/>
              <w:right w:val="single" w:sz="2" w:space="0" w:color="auto"/>
            </w:tcBorders>
            <w:vAlign w:val="center"/>
          </w:tcPr>
          <w:p w14:paraId="5CFB79D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1,079,160,261.00</w:t>
            </w:r>
          </w:p>
        </w:tc>
        <w:tc>
          <w:tcPr>
            <w:tcW w:w="567" w:type="dxa"/>
            <w:tcBorders>
              <w:top w:val="single" w:sz="2" w:space="0" w:color="auto"/>
              <w:left w:val="single" w:sz="2" w:space="0" w:color="auto"/>
              <w:bottom w:val="single" w:sz="2" w:space="0" w:color="auto"/>
              <w:right w:val="single" w:sz="2" w:space="0" w:color="auto"/>
            </w:tcBorders>
            <w:vAlign w:val="center"/>
          </w:tcPr>
          <w:p w14:paraId="367D009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709" w:type="dxa"/>
            <w:tcBorders>
              <w:top w:val="single" w:sz="2" w:space="0" w:color="auto"/>
              <w:left w:val="single" w:sz="2" w:space="0" w:color="auto"/>
              <w:bottom w:val="single" w:sz="2" w:space="0" w:color="auto"/>
              <w:right w:val="single" w:sz="2" w:space="0" w:color="auto"/>
            </w:tcBorders>
            <w:vAlign w:val="center"/>
          </w:tcPr>
          <w:p w14:paraId="748DA85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559" w:type="dxa"/>
            <w:tcBorders>
              <w:top w:val="single" w:sz="2" w:space="0" w:color="auto"/>
              <w:left w:val="single" w:sz="2" w:space="0" w:color="auto"/>
              <w:bottom w:val="single" w:sz="2" w:space="0" w:color="auto"/>
              <w:right w:val="single" w:sz="2" w:space="0" w:color="auto"/>
            </w:tcBorders>
            <w:vAlign w:val="center"/>
          </w:tcPr>
          <w:p w14:paraId="798087A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171,570,156.57</w:t>
            </w:r>
          </w:p>
        </w:tc>
        <w:tc>
          <w:tcPr>
            <w:tcW w:w="1417" w:type="dxa"/>
            <w:tcBorders>
              <w:top w:val="single" w:sz="2" w:space="0" w:color="auto"/>
              <w:left w:val="single" w:sz="2" w:space="0" w:color="auto"/>
              <w:bottom w:val="single" w:sz="2" w:space="0" w:color="auto"/>
              <w:right w:val="single" w:sz="2" w:space="0" w:color="auto"/>
            </w:tcBorders>
            <w:vAlign w:val="center"/>
          </w:tcPr>
          <w:p w14:paraId="52E1987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830,440,076.97</w:t>
            </w:r>
          </w:p>
        </w:tc>
        <w:tc>
          <w:tcPr>
            <w:tcW w:w="1276" w:type="dxa"/>
            <w:tcBorders>
              <w:top w:val="single" w:sz="2" w:space="0" w:color="auto"/>
              <w:left w:val="single" w:sz="2" w:space="0" w:color="auto"/>
              <w:bottom w:val="single" w:sz="2" w:space="0" w:color="auto"/>
              <w:right w:val="single" w:sz="2" w:space="0" w:color="auto"/>
            </w:tcBorders>
            <w:vAlign w:val="center"/>
          </w:tcPr>
          <w:p w14:paraId="33A2017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330,025,083.29</w:t>
            </w:r>
          </w:p>
        </w:tc>
        <w:tc>
          <w:tcPr>
            <w:tcW w:w="1276" w:type="dxa"/>
            <w:tcBorders>
              <w:top w:val="single" w:sz="2" w:space="0" w:color="auto"/>
              <w:left w:val="single" w:sz="2" w:space="0" w:color="auto"/>
              <w:bottom w:val="single" w:sz="2" w:space="0" w:color="auto"/>
              <w:right w:val="single" w:sz="2" w:space="0" w:color="auto"/>
            </w:tcBorders>
            <w:vAlign w:val="center"/>
          </w:tcPr>
          <w:p w14:paraId="691FFB7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-12,100,000.00</w:t>
            </w:r>
          </w:p>
        </w:tc>
        <w:tc>
          <w:tcPr>
            <w:tcW w:w="1276" w:type="dxa"/>
            <w:tcBorders>
              <w:top w:val="single" w:sz="2" w:space="0" w:color="auto"/>
              <w:left w:val="single" w:sz="2" w:space="0" w:color="auto"/>
              <w:bottom w:val="single" w:sz="2" w:space="0" w:color="auto"/>
              <w:right w:val="single" w:sz="2" w:space="0" w:color="auto"/>
            </w:tcBorders>
            <w:vAlign w:val="center"/>
          </w:tcPr>
          <w:p w14:paraId="0AFEE30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417" w:type="dxa"/>
            <w:tcBorders>
              <w:top w:val="single" w:sz="2" w:space="0" w:color="auto"/>
              <w:left w:val="single" w:sz="2" w:space="0" w:color="auto"/>
              <w:bottom w:val="single" w:sz="2" w:space="0" w:color="auto"/>
              <w:right w:val="single" w:sz="2" w:space="0" w:color="auto"/>
            </w:tcBorders>
            <w:vAlign w:val="center"/>
          </w:tcPr>
          <w:p w14:paraId="6F57E1A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263,717,929.16</w:t>
            </w:r>
          </w:p>
        </w:tc>
        <w:tc>
          <w:tcPr>
            <w:tcW w:w="1418" w:type="dxa"/>
            <w:tcBorders>
              <w:top w:val="single" w:sz="2" w:space="0" w:color="auto"/>
              <w:left w:val="single" w:sz="2" w:space="0" w:color="auto"/>
              <w:bottom w:val="single" w:sz="2" w:space="0" w:color="auto"/>
              <w:right w:val="single" w:sz="2" w:space="0" w:color="auto"/>
            </w:tcBorders>
            <w:vAlign w:val="center"/>
          </w:tcPr>
          <w:p w14:paraId="19797FC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-823,446,021.00</w:t>
            </w:r>
          </w:p>
        </w:tc>
        <w:tc>
          <w:tcPr>
            <w:tcW w:w="850" w:type="dxa"/>
            <w:tcBorders>
              <w:top w:val="single" w:sz="2" w:space="0" w:color="auto"/>
              <w:left w:val="single" w:sz="2" w:space="0" w:color="auto"/>
              <w:bottom w:val="single" w:sz="2" w:space="0" w:color="auto"/>
              <w:right w:val="single" w:sz="2" w:space="0" w:color="auto"/>
            </w:tcBorders>
            <w:vAlign w:val="center"/>
          </w:tcPr>
          <w:p w14:paraId="65284F6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733" w:type="dxa"/>
            <w:tcBorders>
              <w:top w:val="single" w:sz="2" w:space="0" w:color="auto"/>
              <w:left w:val="single" w:sz="2" w:space="0" w:color="auto"/>
              <w:bottom w:val="single" w:sz="2" w:space="0" w:color="auto"/>
              <w:right w:val="single" w:sz="2" w:space="0" w:color="auto"/>
            </w:tcBorders>
            <w:vAlign w:val="center"/>
          </w:tcPr>
          <w:p w14:paraId="567B3F9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1,179,317,319.41</w:t>
            </w:r>
          </w:p>
        </w:tc>
      </w:tr>
      <w:tr w:rsidR="00050CA3" w:rsidRPr="005A284F" w14:paraId="2C4AF667" w14:textId="77777777" w:rsidTr="004B1EC4">
        <w:trPr>
          <w:trHeight w:val="240"/>
          <w:jc w:val="center"/>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49253266"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三、本期增</w:t>
            </w:r>
            <w:r w:rsidRPr="005A284F">
              <w:rPr>
                <w:rFonts w:ascii="Times New Roman" w:eastAsia="宋体" w:hAnsi="Times New Roman" w:cs="Times New Roman"/>
                <w:sz w:val="18"/>
                <w:szCs w:val="18"/>
              </w:rPr>
              <w:lastRenderedPageBreak/>
              <w:t>减变动金额（减少以</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号填列）</w:t>
            </w:r>
          </w:p>
        </w:tc>
        <w:tc>
          <w:tcPr>
            <w:tcW w:w="1381" w:type="dxa"/>
            <w:tcBorders>
              <w:top w:val="single" w:sz="2" w:space="0" w:color="auto"/>
              <w:left w:val="single" w:sz="2" w:space="0" w:color="auto"/>
              <w:bottom w:val="single" w:sz="2" w:space="0" w:color="auto"/>
              <w:right w:val="single" w:sz="2" w:space="0" w:color="auto"/>
            </w:tcBorders>
            <w:vAlign w:val="center"/>
          </w:tcPr>
          <w:p w14:paraId="330B5F2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428.00</w:t>
            </w:r>
          </w:p>
        </w:tc>
        <w:tc>
          <w:tcPr>
            <w:tcW w:w="567" w:type="dxa"/>
            <w:tcBorders>
              <w:top w:val="single" w:sz="2" w:space="0" w:color="auto"/>
              <w:left w:val="single" w:sz="2" w:space="0" w:color="auto"/>
              <w:bottom w:val="single" w:sz="2" w:space="0" w:color="auto"/>
              <w:right w:val="single" w:sz="2" w:space="0" w:color="auto"/>
            </w:tcBorders>
            <w:vAlign w:val="center"/>
          </w:tcPr>
          <w:p w14:paraId="564F1F4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709" w:type="dxa"/>
            <w:tcBorders>
              <w:top w:val="single" w:sz="2" w:space="0" w:color="auto"/>
              <w:left w:val="single" w:sz="2" w:space="0" w:color="auto"/>
              <w:bottom w:val="single" w:sz="2" w:space="0" w:color="auto"/>
              <w:right w:val="single" w:sz="2" w:space="0" w:color="auto"/>
            </w:tcBorders>
            <w:vAlign w:val="center"/>
          </w:tcPr>
          <w:p w14:paraId="3470EAF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559" w:type="dxa"/>
            <w:tcBorders>
              <w:top w:val="single" w:sz="2" w:space="0" w:color="auto"/>
              <w:left w:val="single" w:sz="2" w:space="0" w:color="auto"/>
              <w:bottom w:val="single" w:sz="2" w:space="0" w:color="auto"/>
              <w:right w:val="single" w:sz="2" w:space="0" w:color="auto"/>
            </w:tcBorders>
            <w:vAlign w:val="center"/>
          </w:tcPr>
          <w:p w14:paraId="6AF4158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-924.90</w:t>
            </w:r>
          </w:p>
        </w:tc>
        <w:tc>
          <w:tcPr>
            <w:tcW w:w="1417" w:type="dxa"/>
            <w:tcBorders>
              <w:top w:val="single" w:sz="2" w:space="0" w:color="auto"/>
              <w:left w:val="single" w:sz="2" w:space="0" w:color="auto"/>
              <w:bottom w:val="single" w:sz="2" w:space="0" w:color="auto"/>
              <w:right w:val="single" w:sz="2" w:space="0" w:color="auto"/>
            </w:tcBorders>
            <w:vAlign w:val="center"/>
          </w:tcPr>
          <w:p w14:paraId="30EB7EB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4,245.70</w:t>
            </w:r>
          </w:p>
        </w:tc>
        <w:tc>
          <w:tcPr>
            <w:tcW w:w="1276" w:type="dxa"/>
            <w:tcBorders>
              <w:top w:val="single" w:sz="2" w:space="0" w:color="auto"/>
              <w:left w:val="single" w:sz="2" w:space="0" w:color="auto"/>
              <w:bottom w:val="single" w:sz="2" w:space="0" w:color="auto"/>
              <w:right w:val="single" w:sz="2" w:space="0" w:color="auto"/>
            </w:tcBorders>
            <w:vAlign w:val="center"/>
          </w:tcPr>
          <w:p w14:paraId="5568164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vAlign w:val="center"/>
          </w:tcPr>
          <w:p w14:paraId="152AA02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vAlign w:val="center"/>
          </w:tcPr>
          <w:p w14:paraId="1F4F625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417" w:type="dxa"/>
            <w:tcBorders>
              <w:top w:val="single" w:sz="2" w:space="0" w:color="auto"/>
              <w:left w:val="single" w:sz="2" w:space="0" w:color="auto"/>
              <w:bottom w:val="single" w:sz="2" w:space="0" w:color="auto"/>
              <w:right w:val="single" w:sz="2" w:space="0" w:color="auto"/>
            </w:tcBorders>
            <w:vAlign w:val="center"/>
          </w:tcPr>
          <w:p w14:paraId="437BAF5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418" w:type="dxa"/>
            <w:tcBorders>
              <w:top w:val="single" w:sz="2" w:space="0" w:color="auto"/>
              <w:left w:val="single" w:sz="2" w:space="0" w:color="auto"/>
              <w:bottom w:val="single" w:sz="2" w:space="0" w:color="auto"/>
              <w:right w:val="single" w:sz="2" w:space="0" w:color="auto"/>
            </w:tcBorders>
            <w:vAlign w:val="center"/>
          </w:tcPr>
          <w:p w14:paraId="7B0193D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25,716,598.73</w:t>
            </w:r>
          </w:p>
        </w:tc>
        <w:tc>
          <w:tcPr>
            <w:tcW w:w="850" w:type="dxa"/>
            <w:tcBorders>
              <w:top w:val="single" w:sz="2" w:space="0" w:color="auto"/>
              <w:left w:val="single" w:sz="2" w:space="0" w:color="auto"/>
              <w:bottom w:val="single" w:sz="2" w:space="0" w:color="auto"/>
              <w:right w:val="single" w:sz="2" w:space="0" w:color="auto"/>
            </w:tcBorders>
            <w:vAlign w:val="center"/>
          </w:tcPr>
          <w:p w14:paraId="06924C2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733" w:type="dxa"/>
            <w:tcBorders>
              <w:top w:val="single" w:sz="2" w:space="0" w:color="auto"/>
              <w:left w:val="single" w:sz="2" w:space="0" w:color="auto"/>
              <w:bottom w:val="single" w:sz="2" w:space="0" w:color="auto"/>
              <w:right w:val="single" w:sz="2" w:space="0" w:color="auto"/>
            </w:tcBorders>
            <w:vAlign w:val="center"/>
          </w:tcPr>
          <w:p w14:paraId="3580E12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25,720,347.53</w:t>
            </w:r>
          </w:p>
        </w:tc>
      </w:tr>
      <w:tr w:rsidR="00050CA3" w:rsidRPr="005A284F" w14:paraId="5B326BB2" w14:textId="77777777" w:rsidTr="004B1EC4">
        <w:trPr>
          <w:trHeight w:val="240"/>
          <w:jc w:val="center"/>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52DBA7B5"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（一）综合收益总额</w:t>
            </w:r>
          </w:p>
        </w:tc>
        <w:tc>
          <w:tcPr>
            <w:tcW w:w="1381" w:type="dxa"/>
            <w:tcBorders>
              <w:top w:val="single" w:sz="2" w:space="0" w:color="auto"/>
              <w:left w:val="single" w:sz="2" w:space="0" w:color="auto"/>
              <w:bottom w:val="single" w:sz="2" w:space="0" w:color="auto"/>
              <w:right w:val="single" w:sz="2" w:space="0" w:color="auto"/>
            </w:tcBorders>
            <w:vAlign w:val="center"/>
          </w:tcPr>
          <w:p w14:paraId="4FBD9FD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38AB150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1652F11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06F875C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4CBD68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AF27E9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3F0515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vAlign w:val="center"/>
          </w:tcPr>
          <w:p w14:paraId="156E07B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92AFAC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40E2A0F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25,716,598.73</w:t>
            </w:r>
          </w:p>
        </w:tc>
        <w:tc>
          <w:tcPr>
            <w:tcW w:w="850" w:type="dxa"/>
            <w:tcBorders>
              <w:top w:val="single" w:sz="2" w:space="0" w:color="auto"/>
              <w:left w:val="single" w:sz="2" w:space="0" w:color="auto"/>
              <w:bottom w:val="single" w:sz="2" w:space="0" w:color="auto"/>
              <w:right w:val="single" w:sz="2" w:space="0" w:color="auto"/>
            </w:tcBorders>
            <w:vAlign w:val="center"/>
          </w:tcPr>
          <w:p w14:paraId="51452DC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733" w:type="dxa"/>
            <w:tcBorders>
              <w:top w:val="single" w:sz="2" w:space="0" w:color="auto"/>
              <w:left w:val="single" w:sz="2" w:space="0" w:color="auto"/>
              <w:bottom w:val="single" w:sz="2" w:space="0" w:color="auto"/>
              <w:right w:val="single" w:sz="2" w:space="0" w:color="auto"/>
            </w:tcBorders>
            <w:vAlign w:val="center"/>
          </w:tcPr>
          <w:p w14:paraId="65FAA25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25,716,598.73</w:t>
            </w:r>
          </w:p>
        </w:tc>
      </w:tr>
      <w:tr w:rsidR="00050CA3" w:rsidRPr="005A284F" w14:paraId="224656D7" w14:textId="77777777" w:rsidTr="004B1EC4">
        <w:trPr>
          <w:trHeight w:val="240"/>
          <w:jc w:val="center"/>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385A7D2E"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（二）所有者投入和减少资本</w:t>
            </w:r>
          </w:p>
        </w:tc>
        <w:tc>
          <w:tcPr>
            <w:tcW w:w="1381" w:type="dxa"/>
            <w:tcBorders>
              <w:top w:val="single" w:sz="2" w:space="0" w:color="auto"/>
              <w:left w:val="single" w:sz="2" w:space="0" w:color="auto"/>
              <w:bottom w:val="single" w:sz="2" w:space="0" w:color="auto"/>
              <w:right w:val="single" w:sz="2" w:space="0" w:color="auto"/>
            </w:tcBorders>
            <w:vAlign w:val="center"/>
          </w:tcPr>
          <w:p w14:paraId="02812EA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428.00</w:t>
            </w:r>
          </w:p>
        </w:tc>
        <w:tc>
          <w:tcPr>
            <w:tcW w:w="567" w:type="dxa"/>
            <w:tcBorders>
              <w:top w:val="single" w:sz="2" w:space="0" w:color="auto"/>
              <w:left w:val="single" w:sz="2" w:space="0" w:color="auto"/>
              <w:bottom w:val="single" w:sz="2" w:space="0" w:color="auto"/>
              <w:right w:val="single" w:sz="2" w:space="0" w:color="auto"/>
            </w:tcBorders>
            <w:vAlign w:val="center"/>
          </w:tcPr>
          <w:p w14:paraId="30E8319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709" w:type="dxa"/>
            <w:tcBorders>
              <w:top w:val="single" w:sz="2" w:space="0" w:color="auto"/>
              <w:left w:val="single" w:sz="2" w:space="0" w:color="auto"/>
              <w:bottom w:val="single" w:sz="2" w:space="0" w:color="auto"/>
              <w:right w:val="single" w:sz="2" w:space="0" w:color="auto"/>
            </w:tcBorders>
            <w:vAlign w:val="center"/>
          </w:tcPr>
          <w:p w14:paraId="56C3FF3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559" w:type="dxa"/>
            <w:tcBorders>
              <w:top w:val="single" w:sz="2" w:space="0" w:color="auto"/>
              <w:left w:val="single" w:sz="2" w:space="0" w:color="auto"/>
              <w:bottom w:val="single" w:sz="2" w:space="0" w:color="auto"/>
              <w:right w:val="single" w:sz="2" w:space="0" w:color="auto"/>
            </w:tcBorders>
            <w:vAlign w:val="center"/>
          </w:tcPr>
          <w:p w14:paraId="3822039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-924.90</w:t>
            </w:r>
          </w:p>
        </w:tc>
        <w:tc>
          <w:tcPr>
            <w:tcW w:w="1417" w:type="dxa"/>
            <w:tcBorders>
              <w:top w:val="single" w:sz="2" w:space="0" w:color="auto"/>
              <w:left w:val="single" w:sz="2" w:space="0" w:color="auto"/>
              <w:bottom w:val="single" w:sz="2" w:space="0" w:color="auto"/>
              <w:right w:val="single" w:sz="2" w:space="0" w:color="auto"/>
            </w:tcBorders>
            <w:vAlign w:val="center"/>
          </w:tcPr>
          <w:p w14:paraId="0BF1B82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4,245.70</w:t>
            </w:r>
          </w:p>
        </w:tc>
        <w:tc>
          <w:tcPr>
            <w:tcW w:w="1276" w:type="dxa"/>
            <w:tcBorders>
              <w:top w:val="single" w:sz="2" w:space="0" w:color="auto"/>
              <w:left w:val="single" w:sz="2" w:space="0" w:color="auto"/>
              <w:bottom w:val="single" w:sz="2" w:space="0" w:color="auto"/>
              <w:right w:val="single" w:sz="2" w:space="0" w:color="auto"/>
            </w:tcBorders>
            <w:vAlign w:val="center"/>
          </w:tcPr>
          <w:p w14:paraId="5332EF1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vAlign w:val="center"/>
          </w:tcPr>
          <w:p w14:paraId="640AF1F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vAlign w:val="center"/>
          </w:tcPr>
          <w:p w14:paraId="12F060F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417" w:type="dxa"/>
            <w:tcBorders>
              <w:top w:val="single" w:sz="2" w:space="0" w:color="auto"/>
              <w:left w:val="single" w:sz="2" w:space="0" w:color="auto"/>
              <w:bottom w:val="single" w:sz="2" w:space="0" w:color="auto"/>
              <w:right w:val="single" w:sz="2" w:space="0" w:color="auto"/>
            </w:tcBorders>
            <w:vAlign w:val="center"/>
          </w:tcPr>
          <w:p w14:paraId="2AC41F2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418" w:type="dxa"/>
            <w:tcBorders>
              <w:top w:val="single" w:sz="2" w:space="0" w:color="auto"/>
              <w:left w:val="single" w:sz="2" w:space="0" w:color="auto"/>
              <w:bottom w:val="single" w:sz="2" w:space="0" w:color="auto"/>
              <w:right w:val="single" w:sz="2" w:space="0" w:color="auto"/>
            </w:tcBorders>
            <w:vAlign w:val="center"/>
          </w:tcPr>
          <w:p w14:paraId="40ECAD1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850" w:type="dxa"/>
            <w:tcBorders>
              <w:top w:val="single" w:sz="2" w:space="0" w:color="auto"/>
              <w:left w:val="single" w:sz="2" w:space="0" w:color="auto"/>
              <w:bottom w:val="single" w:sz="2" w:space="0" w:color="auto"/>
              <w:right w:val="single" w:sz="2" w:space="0" w:color="auto"/>
            </w:tcBorders>
            <w:vAlign w:val="center"/>
          </w:tcPr>
          <w:p w14:paraId="52B9C1A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733" w:type="dxa"/>
            <w:tcBorders>
              <w:top w:val="single" w:sz="2" w:space="0" w:color="auto"/>
              <w:left w:val="single" w:sz="2" w:space="0" w:color="auto"/>
              <w:bottom w:val="single" w:sz="2" w:space="0" w:color="auto"/>
              <w:right w:val="single" w:sz="2" w:space="0" w:color="auto"/>
            </w:tcBorders>
            <w:vAlign w:val="center"/>
          </w:tcPr>
          <w:p w14:paraId="3B46B2C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3,748.80</w:t>
            </w:r>
          </w:p>
        </w:tc>
      </w:tr>
      <w:tr w:rsidR="00050CA3" w:rsidRPr="005A284F" w14:paraId="3B27A69A" w14:textId="77777777" w:rsidTr="004B1EC4">
        <w:trPr>
          <w:trHeight w:val="240"/>
          <w:jc w:val="center"/>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7F7E2CF3"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．所有者投入的普通股</w:t>
            </w:r>
          </w:p>
        </w:tc>
        <w:tc>
          <w:tcPr>
            <w:tcW w:w="1381" w:type="dxa"/>
            <w:tcBorders>
              <w:top w:val="single" w:sz="2" w:space="0" w:color="auto"/>
              <w:left w:val="single" w:sz="2" w:space="0" w:color="auto"/>
              <w:bottom w:val="single" w:sz="2" w:space="0" w:color="auto"/>
              <w:right w:val="single" w:sz="2" w:space="0" w:color="auto"/>
            </w:tcBorders>
            <w:vAlign w:val="center"/>
          </w:tcPr>
          <w:p w14:paraId="268F64F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428.00</w:t>
            </w:r>
          </w:p>
        </w:tc>
        <w:tc>
          <w:tcPr>
            <w:tcW w:w="567" w:type="dxa"/>
            <w:tcBorders>
              <w:top w:val="single" w:sz="2" w:space="0" w:color="auto"/>
              <w:left w:val="single" w:sz="2" w:space="0" w:color="auto"/>
              <w:bottom w:val="single" w:sz="2" w:space="0" w:color="auto"/>
              <w:right w:val="single" w:sz="2" w:space="0" w:color="auto"/>
            </w:tcBorders>
            <w:vAlign w:val="center"/>
          </w:tcPr>
          <w:p w14:paraId="6621D10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709" w:type="dxa"/>
            <w:tcBorders>
              <w:top w:val="single" w:sz="2" w:space="0" w:color="auto"/>
              <w:left w:val="single" w:sz="2" w:space="0" w:color="auto"/>
              <w:bottom w:val="single" w:sz="2" w:space="0" w:color="auto"/>
              <w:right w:val="single" w:sz="2" w:space="0" w:color="auto"/>
            </w:tcBorders>
            <w:vAlign w:val="center"/>
          </w:tcPr>
          <w:p w14:paraId="3A5C6C8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559" w:type="dxa"/>
            <w:tcBorders>
              <w:top w:val="single" w:sz="2" w:space="0" w:color="auto"/>
              <w:left w:val="single" w:sz="2" w:space="0" w:color="auto"/>
              <w:bottom w:val="single" w:sz="2" w:space="0" w:color="auto"/>
              <w:right w:val="single" w:sz="2" w:space="0" w:color="auto"/>
            </w:tcBorders>
            <w:vAlign w:val="center"/>
          </w:tcPr>
          <w:p w14:paraId="06BB79D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13DF2F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4,245.70</w:t>
            </w:r>
          </w:p>
        </w:tc>
        <w:tc>
          <w:tcPr>
            <w:tcW w:w="1276" w:type="dxa"/>
            <w:tcBorders>
              <w:top w:val="single" w:sz="2" w:space="0" w:color="auto"/>
              <w:left w:val="single" w:sz="2" w:space="0" w:color="auto"/>
              <w:bottom w:val="single" w:sz="2" w:space="0" w:color="auto"/>
              <w:right w:val="single" w:sz="2" w:space="0" w:color="auto"/>
            </w:tcBorders>
            <w:vAlign w:val="center"/>
          </w:tcPr>
          <w:p w14:paraId="209DC61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vAlign w:val="center"/>
          </w:tcPr>
          <w:p w14:paraId="5FC63A1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vAlign w:val="center"/>
          </w:tcPr>
          <w:p w14:paraId="52AEC83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417" w:type="dxa"/>
            <w:tcBorders>
              <w:top w:val="single" w:sz="2" w:space="0" w:color="auto"/>
              <w:left w:val="single" w:sz="2" w:space="0" w:color="auto"/>
              <w:bottom w:val="single" w:sz="2" w:space="0" w:color="auto"/>
              <w:right w:val="single" w:sz="2" w:space="0" w:color="auto"/>
            </w:tcBorders>
            <w:vAlign w:val="center"/>
          </w:tcPr>
          <w:p w14:paraId="1642B8C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418" w:type="dxa"/>
            <w:tcBorders>
              <w:top w:val="single" w:sz="2" w:space="0" w:color="auto"/>
              <w:left w:val="single" w:sz="2" w:space="0" w:color="auto"/>
              <w:bottom w:val="single" w:sz="2" w:space="0" w:color="auto"/>
              <w:right w:val="single" w:sz="2" w:space="0" w:color="auto"/>
            </w:tcBorders>
            <w:vAlign w:val="center"/>
          </w:tcPr>
          <w:p w14:paraId="18B6530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850" w:type="dxa"/>
            <w:tcBorders>
              <w:top w:val="single" w:sz="2" w:space="0" w:color="auto"/>
              <w:left w:val="single" w:sz="2" w:space="0" w:color="auto"/>
              <w:bottom w:val="single" w:sz="2" w:space="0" w:color="auto"/>
              <w:right w:val="single" w:sz="2" w:space="0" w:color="auto"/>
            </w:tcBorders>
            <w:vAlign w:val="center"/>
          </w:tcPr>
          <w:p w14:paraId="259BECA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733" w:type="dxa"/>
            <w:tcBorders>
              <w:top w:val="single" w:sz="2" w:space="0" w:color="auto"/>
              <w:left w:val="single" w:sz="2" w:space="0" w:color="auto"/>
              <w:bottom w:val="single" w:sz="2" w:space="0" w:color="auto"/>
              <w:right w:val="single" w:sz="2" w:space="0" w:color="auto"/>
            </w:tcBorders>
            <w:vAlign w:val="center"/>
          </w:tcPr>
          <w:p w14:paraId="69D212C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4,673.70</w:t>
            </w:r>
          </w:p>
        </w:tc>
      </w:tr>
      <w:tr w:rsidR="00050CA3" w:rsidRPr="005A284F" w14:paraId="6A3A9CD1" w14:textId="77777777" w:rsidTr="004B1EC4">
        <w:trPr>
          <w:trHeight w:val="240"/>
          <w:jc w:val="center"/>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7B2F25E7"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．其他权益工具持有者投入资本</w:t>
            </w:r>
          </w:p>
        </w:tc>
        <w:tc>
          <w:tcPr>
            <w:tcW w:w="1381" w:type="dxa"/>
            <w:tcBorders>
              <w:top w:val="single" w:sz="2" w:space="0" w:color="auto"/>
              <w:left w:val="single" w:sz="2" w:space="0" w:color="auto"/>
              <w:bottom w:val="single" w:sz="2" w:space="0" w:color="auto"/>
              <w:right w:val="single" w:sz="2" w:space="0" w:color="auto"/>
            </w:tcBorders>
            <w:vAlign w:val="center"/>
          </w:tcPr>
          <w:p w14:paraId="5ACE057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CB41AC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1473B31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35A928D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59039D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906B08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0AE642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D45595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880BC9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DCFB4D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45A4B1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733" w:type="dxa"/>
            <w:tcBorders>
              <w:top w:val="single" w:sz="2" w:space="0" w:color="auto"/>
              <w:left w:val="single" w:sz="2" w:space="0" w:color="auto"/>
              <w:bottom w:val="single" w:sz="2" w:space="0" w:color="auto"/>
              <w:right w:val="single" w:sz="2" w:space="0" w:color="auto"/>
            </w:tcBorders>
            <w:vAlign w:val="center"/>
          </w:tcPr>
          <w:p w14:paraId="770086A7"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4C76EE63" w14:textId="77777777" w:rsidTr="004B1EC4">
        <w:trPr>
          <w:trHeight w:val="240"/>
          <w:jc w:val="center"/>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659EEA58"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．股份支付计入所有者权益的金额</w:t>
            </w:r>
          </w:p>
        </w:tc>
        <w:tc>
          <w:tcPr>
            <w:tcW w:w="1381" w:type="dxa"/>
            <w:tcBorders>
              <w:top w:val="single" w:sz="2" w:space="0" w:color="auto"/>
              <w:left w:val="single" w:sz="2" w:space="0" w:color="auto"/>
              <w:bottom w:val="single" w:sz="2" w:space="0" w:color="auto"/>
              <w:right w:val="single" w:sz="2" w:space="0" w:color="auto"/>
            </w:tcBorders>
            <w:vAlign w:val="center"/>
          </w:tcPr>
          <w:p w14:paraId="1C912BC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84A3EA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235244B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2622F53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626764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C9380B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1BCE16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620748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624254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03B70FC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20E4155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733" w:type="dxa"/>
            <w:tcBorders>
              <w:top w:val="single" w:sz="2" w:space="0" w:color="auto"/>
              <w:left w:val="single" w:sz="2" w:space="0" w:color="auto"/>
              <w:bottom w:val="single" w:sz="2" w:space="0" w:color="auto"/>
              <w:right w:val="single" w:sz="2" w:space="0" w:color="auto"/>
            </w:tcBorders>
            <w:vAlign w:val="center"/>
          </w:tcPr>
          <w:p w14:paraId="691457BD"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34DBE4CE" w14:textId="77777777" w:rsidTr="004B1EC4">
        <w:trPr>
          <w:trHeight w:val="240"/>
          <w:jc w:val="center"/>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09A4280E"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．其他</w:t>
            </w:r>
          </w:p>
        </w:tc>
        <w:tc>
          <w:tcPr>
            <w:tcW w:w="1381" w:type="dxa"/>
            <w:tcBorders>
              <w:top w:val="single" w:sz="2" w:space="0" w:color="auto"/>
              <w:left w:val="single" w:sz="2" w:space="0" w:color="auto"/>
              <w:bottom w:val="single" w:sz="2" w:space="0" w:color="auto"/>
              <w:right w:val="single" w:sz="2" w:space="0" w:color="auto"/>
            </w:tcBorders>
            <w:vAlign w:val="center"/>
          </w:tcPr>
          <w:p w14:paraId="79A15DA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vAlign w:val="center"/>
          </w:tcPr>
          <w:p w14:paraId="3E91BA5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709" w:type="dxa"/>
            <w:tcBorders>
              <w:top w:val="single" w:sz="2" w:space="0" w:color="auto"/>
              <w:left w:val="single" w:sz="2" w:space="0" w:color="auto"/>
              <w:bottom w:val="single" w:sz="2" w:space="0" w:color="auto"/>
              <w:right w:val="single" w:sz="2" w:space="0" w:color="auto"/>
            </w:tcBorders>
            <w:vAlign w:val="center"/>
          </w:tcPr>
          <w:p w14:paraId="77A64EC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559" w:type="dxa"/>
            <w:tcBorders>
              <w:top w:val="single" w:sz="2" w:space="0" w:color="auto"/>
              <w:left w:val="single" w:sz="2" w:space="0" w:color="auto"/>
              <w:bottom w:val="single" w:sz="2" w:space="0" w:color="auto"/>
              <w:right w:val="single" w:sz="2" w:space="0" w:color="auto"/>
            </w:tcBorders>
            <w:vAlign w:val="center"/>
          </w:tcPr>
          <w:p w14:paraId="42292AD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-924.90</w:t>
            </w:r>
          </w:p>
        </w:tc>
        <w:tc>
          <w:tcPr>
            <w:tcW w:w="1417" w:type="dxa"/>
            <w:tcBorders>
              <w:top w:val="single" w:sz="2" w:space="0" w:color="auto"/>
              <w:left w:val="single" w:sz="2" w:space="0" w:color="auto"/>
              <w:bottom w:val="single" w:sz="2" w:space="0" w:color="auto"/>
              <w:right w:val="single" w:sz="2" w:space="0" w:color="auto"/>
            </w:tcBorders>
            <w:vAlign w:val="center"/>
          </w:tcPr>
          <w:p w14:paraId="405C7DF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758ADF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vAlign w:val="center"/>
          </w:tcPr>
          <w:p w14:paraId="6015C82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vAlign w:val="center"/>
          </w:tcPr>
          <w:p w14:paraId="3EAC2C3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417" w:type="dxa"/>
            <w:tcBorders>
              <w:top w:val="single" w:sz="2" w:space="0" w:color="auto"/>
              <w:left w:val="single" w:sz="2" w:space="0" w:color="auto"/>
              <w:bottom w:val="single" w:sz="2" w:space="0" w:color="auto"/>
              <w:right w:val="single" w:sz="2" w:space="0" w:color="auto"/>
            </w:tcBorders>
            <w:vAlign w:val="center"/>
          </w:tcPr>
          <w:p w14:paraId="6E297F6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418" w:type="dxa"/>
            <w:tcBorders>
              <w:top w:val="single" w:sz="2" w:space="0" w:color="auto"/>
              <w:left w:val="single" w:sz="2" w:space="0" w:color="auto"/>
              <w:bottom w:val="single" w:sz="2" w:space="0" w:color="auto"/>
              <w:right w:val="single" w:sz="2" w:space="0" w:color="auto"/>
            </w:tcBorders>
            <w:vAlign w:val="center"/>
          </w:tcPr>
          <w:p w14:paraId="4909F74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850" w:type="dxa"/>
            <w:tcBorders>
              <w:top w:val="single" w:sz="2" w:space="0" w:color="auto"/>
              <w:left w:val="single" w:sz="2" w:space="0" w:color="auto"/>
              <w:bottom w:val="single" w:sz="2" w:space="0" w:color="auto"/>
              <w:right w:val="single" w:sz="2" w:space="0" w:color="auto"/>
            </w:tcBorders>
            <w:vAlign w:val="center"/>
          </w:tcPr>
          <w:p w14:paraId="1E5F21E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733" w:type="dxa"/>
            <w:tcBorders>
              <w:top w:val="single" w:sz="2" w:space="0" w:color="auto"/>
              <w:left w:val="single" w:sz="2" w:space="0" w:color="auto"/>
              <w:bottom w:val="single" w:sz="2" w:space="0" w:color="auto"/>
              <w:right w:val="single" w:sz="2" w:space="0" w:color="auto"/>
            </w:tcBorders>
            <w:vAlign w:val="center"/>
          </w:tcPr>
          <w:p w14:paraId="42A4519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-924.90</w:t>
            </w:r>
          </w:p>
        </w:tc>
      </w:tr>
      <w:tr w:rsidR="00050CA3" w:rsidRPr="005A284F" w14:paraId="41767CC5" w14:textId="77777777" w:rsidTr="004B1EC4">
        <w:trPr>
          <w:trHeight w:val="240"/>
          <w:jc w:val="center"/>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72E57478"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（三）利润分配</w:t>
            </w:r>
          </w:p>
        </w:tc>
        <w:tc>
          <w:tcPr>
            <w:tcW w:w="1381" w:type="dxa"/>
            <w:tcBorders>
              <w:top w:val="single" w:sz="2" w:space="0" w:color="auto"/>
              <w:left w:val="single" w:sz="2" w:space="0" w:color="auto"/>
              <w:bottom w:val="single" w:sz="2" w:space="0" w:color="auto"/>
              <w:right w:val="single" w:sz="2" w:space="0" w:color="auto"/>
            </w:tcBorders>
            <w:vAlign w:val="center"/>
          </w:tcPr>
          <w:p w14:paraId="67B2244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38271F1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FE0D15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7ECC70A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40A229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3DDBA9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C4D2F5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81E04A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2A66C8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59DCD9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01E5A25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733" w:type="dxa"/>
            <w:tcBorders>
              <w:top w:val="single" w:sz="2" w:space="0" w:color="auto"/>
              <w:left w:val="single" w:sz="2" w:space="0" w:color="auto"/>
              <w:bottom w:val="single" w:sz="2" w:space="0" w:color="auto"/>
              <w:right w:val="single" w:sz="2" w:space="0" w:color="auto"/>
            </w:tcBorders>
            <w:vAlign w:val="center"/>
          </w:tcPr>
          <w:p w14:paraId="619237E0"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22588D57" w14:textId="77777777" w:rsidTr="004B1EC4">
        <w:trPr>
          <w:trHeight w:val="240"/>
          <w:jc w:val="center"/>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799D6DB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．提取盈余公积</w:t>
            </w:r>
          </w:p>
        </w:tc>
        <w:tc>
          <w:tcPr>
            <w:tcW w:w="1381" w:type="dxa"/>
            <w:tcBorders>
              <w:top w:val="single" w:sz="2" w:space="0" w:color="auto"/>
              <w:left w:val="single" w:sz="2" w:space="0" w:color="auto"/>
              <w:bottom w:val="single" w:sz="2" w:space="0" w:color="auto"/>
              <w:right w:val="single" w:sz="2" w:space="0" w:color="auto"/>
            </w:tcBorders>
            <w:vAlign w:val="center"/>
          </w:tcPr>
          <w:p w14:paraId="2787627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FD87C3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F222AC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5CD054E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F572EA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EA6016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191B25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D73F4E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487CD7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68E3006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792B6D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733" w:type="dxa"/>
            <w:tcBorders>
              <w:top w:val="single" w:sz="2" w:space="0" w:color="auto"/>
              <w:left w:val="single" w:sz="2" w:space="0" w:color="auto"/>
              <w:bottom w:val="single" w:sz="2" w:space="0" w:color="auto"/>
              <w:right w:val="single" w:sz="2" w:space="0" w:color="auto"/>
            </w:tcBorders>
            <w:vAlign w:val="center"/>
          </w:tcPr>
          <w:p w14:paraId="027D775B"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1A4FBB8E" w14:textId="77777777" w:rsidTr="004B1EC4">
        <w:trPr>
          <w:trHeight w:val="240"/>
          <w:jc w:val="center"/>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3A330DB0"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．对所有者（或股东）的分配</w:t>
            </w:r>
          </w:p>
        </w:tc>
        <w:tc>
          <w:tcPr>
            <w:tcW w:w="1381" w:type="dxa"/>
            <w:tcBorders>
              <w:top w:val="single" w:sz="2" w:space="0" w:color="auto"/>
              <w:left w:val="single" w:sz="2" w:space="0" w:color="auto"/>
              <w:bottom w:val="single" w:sz="2" w:space="0" w:color="auto"/>
              <w:right w:val="single" w:sz="2" w:space="0" w:color="auto"/>
            </w:tcBorders>
            <w:vAlign w:val="center"/>
          </w:tcPr>
          <w:p w14:paraId="53A0E39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E47083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6131E5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067ED85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B3DCC4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CD1CD3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7BB0E5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E21615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1A0229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75CE35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418A2F3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733" w:type="dxa"/>
            <w:tcBorders>
              <w:top w:val="single" w:sz="2" w:space="0" w:color="auto"/>
              <w:left w:val="single" w:sz="2" w:space="0" w:color="auto"/>
              <w:bottom w:val="single" w:sz="2" w:space="0" w:color="auto"/>
              <w:right w:val="single" w:sz="2" w:space="0" w:color="auto"/>
            </w:tcBorders>
            <w:vAlign w:val="center"/>
          </w:tcPr>
          <w:p w14:paraId="6D420F3E"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778FDC5A" w14:textId="77777777" w:rsidTr="004B1EC4">
        <w:trPr>
          <w:trHeight w:val="240"/>
          <w:jc w:val="center"/>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7FDAFE24"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．其他</w:t>
            </w:r>
          </w:p>
        </w:tc>
        <w:tc>
          <w:tcPr>
            <w:tcW w:w="1381" w:type="dxa"/>
            <w:tcBorders>
              <w:top w:val="single" w:sz="2" w:space="0" w:color="auto"/>
              <w:left w:val="single" w:sz="2" w:space="0" w:color="auto"/>
              <w:bottom w:val="single" w:sz="2" w:space="0" w:color="auto"/>
              <w:right w:val="single" w:sz="2" w:space="0" w:color="auto"/>
            </w:tcBorders>
            <w:vAlign w:val="center"/>
          </w:tcPr>
          <w:p w14:paraId="0F5496D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3B2AFE4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B6A03F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2D28206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771113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7AE9BD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09C47D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67BDAD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8865F1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05FBB78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24BD51C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733" w:type="dxa"/>
            <w:tcBorders>
              <w:top w:val="single" w:sz="2" w:space="0" w:color="auto"/>
              <w:left w:val="single" w:sz="2" w:space="0" w:color="auto"/>
              <w:bottom w:val="single" w:sz="2" w:space="0" w:color="auto"/>
              <w:right w:val="single" w:sz="2" w:space="0" w:color="auto"/>
            </w:tcBorders>
            <w:vAlign w:val="center"/>
          </w:tcPr>
          <w:p w14:paraId="0DF7D415"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55E5812A" w14:textId="77777777" w:rsidTr="004B1EC4">
        <w:trPr>
          <w:trHeight w:val="240"/>
          <w:jc w:val="center"/>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650567C6"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（四）所有者权益内部结转</w:t>
            </w:r>
          </w:p>
        </w:tc>
        <w:tc>
          <w:tcPr>
            <w:tcW w:w="1381" w:type="dxa"/>
            <w:tcBorders>
              <w:top w:val="single" w:sz="2" w:space="0" w:color="auto"/>
              <w:left w:val="single" w:sz="2" w:space="0" w:color="auto"/>
              <w:bottom w:val="single" w:sz="2" w:space="0" w:color="auto"/>
              <w:right w:val="single" w:sz="2" w:space="0" w:color="auto"/>
            </w:tcBorders>
            <w:vAlign w:val="center"/>
          </w:tcPr>
          <w:p w14:paraId="1B6AF32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70FF831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1555450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0346DE0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0BFEE3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E224E4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52207A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58BA5D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966411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2DAC46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0DAC6E3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733" w:type="dxa"/>
            <w:tcBorders>
              <w:top w:val="single" w:sz="2" w:space="0" w:color="auto"/>
              <w:left w:val="single" w:sz="2" w:space="0" w:color="auto"/>
              <w:bottom w:val="single" w:sz="2" w:space="0" w:color="auto"/>
              <w:right w:val="single" w:sz="2" w:space="0" w:color="auto"/>
            </w:tcBorders>
            <w:vAlign w:val="center"/>
          </w:tcPr>
          <w:p w14:paraId="2B0E126C"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3010239E" w14:textId="77777777" w:rsidTr="004B1EC4">
        <w:trPr>
          <w:trHeight w:val="240"/>
          <w:jc w:val="center"/>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6099107B"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．资本公积转增资本</w:t>
            </w:r>
            <w:r w:rsidRPr="005A284F">
              <w:rPr>
                <w:rFonts w:ascii="Times New Roman" w:eastAsia="宋体" w:hAnsi="Times New Roman" w:cs="Times New Roman"/>
                <w:sz w:val="18"/>
                <w:szCs w:val="18"/>
              </w:rPr>
              <w:lastRenderedPageBreak/>
              <w:t>（或股本）</w:t>
            </w:r>
          </w:p>
        </w:tc>
        <w:tc>
          <w:tcPr>
            <w:tcW w:w="1381" w:type="dxa"/>
            <w:tcBorders>
              <w:top w:val="single" w:sz="2" w:space="0" w:color="auto"/>
              <w:left w:val="single" w:sz="2" w:space="0" w:color="auto"/>
              <w:bottom w:val="single" w:sz="2" w:space="0" w:color="auto"/>
              <w:right w:val="single" w:sz="2" w:space="0" w:color="auto"/>
            </w:tcBorders>
            <w:vAlign w:val="center"/>
          </w:tcPr>
          <w:p w14:paraId="6B1A31E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66FA128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22A4F51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2D5B7AD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983DA1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251FA8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E05990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7CDCA3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CD44E5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07CD503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A8A4EA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733" w:type="dxa"/>
            <w:tcBorders>
              <w:top w:val="single" w:sz="2" w:space="0" w:color="auto"/>
              <w:left w:val="single" w:sz="2" w:space="0" w:color="auto"/>
              <w:bottom w:val="single" w:sz="2" w:space="0" w:color="auto"/>
              <w:right w:val="single" w:sz="2" w:space="0" w:color="auto"/>
            </w:tcBorders>
            <w:vAlign w:val="center"/>
          </w:tcPr>
          <w:p w14:paraId="56F92BBF"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27576A39" w14:textId="77777777" w:rsidTr="004B1EC4">
        <w:trPr>
          <w:trHeight w:val="240"/>
          <w:jc w:val="center"/>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76332715"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．盈余公积转增资本（或股本）</w:t>
            </w:r>
          </w:p>
        </w:tc>
        <w:tc>
          <w:tcPr>
            <w:tcW w:w="1381" w:type="dxa"/>
            <w:tcBorders>
              <w:top w:val="single" w:sz="2" w:space="0" w:color="auto"/>
              <w:left w:val="single" w:sz="2" w:space="0" w:color="auto"/>
              <w:bottom w:val="single" w:sz="2" w:space="0" w:color="auto"/>
              <w:right w:val="single" w:sz="2" w:space="0" w:color="auto"/>
            </w:tcBorders>
            <w:vAlign w:val="center"/>
          </w:tcPr>
          <w:p w14:paraId="236F43C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7E88A3A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5AFA2C0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4A771E5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6D4ED9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1AB93D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E53A51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9F0C16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438CE8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52590FA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3DB9587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733" w:type="dxa"/>
            <w:tcBorders>
              <w:top w:val="single" w:sz="2" w:space="0" w:color="auto"/>
              <w:left w:val="single" w:sz="2" w:space="0" w:color="auto"/>
              <w:bottom w:val="single" w:sz="2" w:space="0" w:color="auto"/>
              <w:right w:val="single" w:sz="2" w:space="0" w:color="auto"/>
            </w:tcBorders>
            <w:vAlign w:val="center"/>
          </w:tcPr>
          <w:p w14:paraId="0A84E525"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4E38FE57" w14:textId="77777777" w:rsidTr="004B1EC4">
        <w:trPr>
          <w:trHeight w:val="240"/>
          <w:jc w:val="center"/>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5F92E5DF"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．盈余公积弥补亏损</w:t>
            </w:r>
          </w:p>
        </w:tc>
        <w:tc>
          <w:tcPr>
            <w:tcW w:w="1381" w:type="dxa"/>
            <w:tcBorders>
              <w:top w:val="single" w:sz="2" w:space="0" w:color="auto"/>
              <w:left w:val="single" w:sz="2" w:space="0" w:color="auto"/>
              <w:bottom w:val="single" w:sz="2" w:space="0" w:color="auto"/>
              <w:right w:val="single" w:sz="2" w:space="0" w:color="auto"/>
            </w:tcBorders>
            <w:vAlign w:val="center"/>
          </w:tcPr>
          <w:p w14:paraId="21897BB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325B33C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FDE4A8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3DDD48A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D39DA9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F844A4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1220A8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1FA2E7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5D4596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E77832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39EFB08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733" w:type="dxa"/>
            <w:tcBorders>
              <w:top w:val="single" w:sz="2" w:space="0" w:color="auto"/>
              <w:left w:val="single" w:sz="2" w:space="0" w:color="auto"/>
              <w:bottom w:val="single" w:sz="2" w:space="0" w:color="auto"/>
              <w:right w:val="single" w:sz="2" w:space="0" w:color="auto"/>
            </w:tcBorders>
            <w:vAlign w:val="center"/>
          </w:tcPr>
          <w:p w14:paraId="3B5530AC"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1D919D62" w14:textId="77777777" w:rsidTr="004B1EC4">
        <w:trPr>
          <w:trHeight w:val="240"/>
          <w:jc w:val="center"/>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7B8230DC"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．设定受益计划变动额结转留存收益</w:t>
            </w:r>
          </w:p>
        </w:tc>
        <w:tc>
          <w:tcPr>
            <w:tcW w:w="1381" w:type="dxa"/>
            <w:tcBorders>
              <w:top w:val="single" w:sz="2" w:space="0" w:color="auto"/>
              <w:left w:val="single" w:sz="2" w:space="0" w:color="auto"/>
              <w:bottom w:val="single" w:sz="2" w:space="0" w:color="auto"/>
              <w:right w:val="single" w:sz="2" w:space="0" w:color="auto"/>
            </w:tcBorders>
            <w:vAlign w:val="center"/>
          </w:tcPr>
          <w:p w14:paraId="4C995F4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32E934A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794FEC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69FEB63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BA03B7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D16DB0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0DDE42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B85833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C074B2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5EDB6BF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22C9B72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733" w:type="dxa"/>
            <w:tcBorders>
              <w:top w:val="single" w:sz="2" w:space="0" w:color="auto"/>
              <w:left w:val="single" w:sz="2" w:space="0" w:color="auto"/>
              <w:bottom w:val="single" w:sz="2" w:space="0" w:color="auto"/>
              <w:right w:val="single" w:sz="2" w:space="0" w:color="auto"/>
            </w:tcBorders>
            <w:vAlign w:val="center"/>
          </w:tcPr>
          <w:p w14:paraId="2F850806"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319571E3" w14:textId="77777777" w:rsidTr="004B1EC4">
        <w:trPr>
          <w:trHeight w:val="240"/>
          <w:jc w:val="center"/>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764F6BD9"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5</w:t>
            </w:r>
            <w:r w:rsidRPr="005A284F">
              <w:rPr>
                <w:rFonts w:ascii="Times New Roman" w:eastAsia="宋体" w:hAnsi="Times New Roman" w:cs="Times New Roman"/>
                <w:sz w:val="18"/>
                <w:szCs w:val="18"/>
              </w:rPr>
              <w:t>．其他综合收益结转留存收益</w:t>
            </w:r>
          </w:p>
        </w:tc>
        <w:tc>
          <w:tcPr>
            <w:tcW w:w="1381" w:type="dxa"/>
            <w:tcBorders>
              <w:top w:val="single" w:sz="2" w:space="0" w:color="auto"/>
              <w:left w:val="single" w:sz="2" w:space="0" w:color="auto"/>
              <w:bottom w:val="single" w:sz="2" w:space="0" w:color="auto"/>
              <w:right w:val="single" w:sz="2" w:space="0" w:color="auto"/>
            </w:tcBorders>
            <w:vAlign w:val="center"/>
          </w:tcPr>
          <w:p w14:paraId="5FE96D5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1913EEF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2CC3E74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728B7AC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BF33B0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D2B6D1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605734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A238BB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0B38BB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53032FE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3C51EE5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733" w:type="dxa"/>
            <w:tcBorders>
              <w:top w:val="single" w:sz="2" w:space="0" w:color="auto"/>
              <w:left w:val="single" w:sz="2" w:space="0" w:color="auto"/>
              <w:bottom w:val="single" w:sz="2" w:space="0" w:color="auto"/>
              <w:right w:val="single" w:sz="2" w:space="0" w:color="auto"/>
            </w:tcBorders>
            <w:vAlign w:val="center"/>
          </w:tcPr>
          <w:p w14:paraId="2E313A47"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322B99F7" w14:textId="77777777" w:rsidTr="004B1EC4">
        <w:trPr>
          <w:trHeight w:val="240"/>
          <w:jc w:val="center"/>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4D3EDEDE"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6</w:t>
            </w:r>
            <w:r w:rsidRPr="005A284F">
              <w:rPr>
                <w:rFonts w:ascii="Times New Roman" w:eastAsia="宋体" w:hAnsi="Times New Roman" w:cs="Times New Roman"/>
                <w:sz w:val="18"/>
                <w:szCs w:val="18"/>
              </w:rPr>
              <w:t>．其他</w:t>
            </w:r>
          </w:p>
        </w:tc>
        <w:tc>
          <w:tcPr>
            <w:tcW w:w="1381" w:type="dxa"/>
            <w:tcBorders>
              <w:top w:val="single" w:sz="2" w:space="0" w:color="auto"/>
              <w:left w:val="single" w:sz="2" w:space="0" w:color="auto"/>
              <w:bottom w:val="single" w:sz="2" w:space="0" w:color="auto"/>
              <w:right w:val="single" w:sz="2" w:space="0" w:color="auto"/>
            </w:tcBorders>
            <w:vAlign w:val="center"/>
          </w:tcPr>
          <w:p w14:paraId="7FF8B67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37D394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60AC28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5D603F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E641BC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18AD92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6BA16B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C06716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E3A41A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BF69D4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5EFDA52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733" w:type="dxa"/>
            <w:tcBorders>
              <w:top w:val="single" w:sz="2" w:space="0" w:color="auto"/>
              <w:left w:val="single" w:sz="2" w:space="0" w:color="auto"/>
              <w:bottom w:val="single" w:sz="2" w:space="0" w:color="auto"/>
              <w:right w:val="single" w:sz="2" w:space="0" w:color="auto"/>
            </w:tcBorders>
            <w:vAlign w:val="center"/>
          </w:tcPr>
          <w:p w14:paraId="43B5D7FB"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34568A80" w14:textId="77777777" w:rsidTr="004B1EC4">
        <w:trPr>
          <w:trHeight w:val="240"/>
          <w:jc w:val="center"/>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4DBE7424"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（五）专项储备</w:t>
            </w:r>
          </w:p>
        </w:tc>
        <w:tc>
          <w:tcPr>
            <w:tcW w:w="1381" w:type="dxa"/>
            <w:tcBorders>
              <w:top w:val="single" w:sz="2" w:space="0" w:color="auto"/>
              <w:left w:val="single" w:sz="2" w:space="0" w:color="auto"/>
              <w:bottom w:val="single" w:sz="2" w:space="0" w:color="auto"/>
              <w:right w:val="single" w:sz="2" w:space="0" w:color="auto"/>
            </w:tcBorders>
            <w:vAlign w:val="center"/>
          </w:tcPr>
          <w:p w14:paraId="1E7A79F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BA6FB3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0001CB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0F5A40A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46EBB3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7109BB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333D0C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5DCDC1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4F39BD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0AD95B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E56545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733" w:type="dxa"/>
            <w:tcBorders>
              <w:top w:val="single" w:sz="2" w:space="0" w:color="auto"/>
              <w:left w:val="single" w:sz="2" w:space="0" w:color="auto"/>
              <w:bottom w:val="single" w:sz="2" w:space="0" w:color="auto"/>
              <w:right w:val="single" w:sz="2" w:space="0" w:color="auto"/>
            </w:tcBorders>
            <w:vAlign w:val="center"/>
          </w:tcPr>
          <w:p w14:paraId="00ED8D68"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7E472F24" w14:textId="77777777" w:rsidTr="004B1EC4">
        <w:trPr>
          <w:trHeight w:val="240"/>
          <w:jc w:val="center"/>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770C216C"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．本期提取</w:t>
            </w:r>
          </w:p>
        </w:tc>
        <w:tc>
          <w:tcPr>
            <w:tcW w:w="1381" w:type="dxa"/>
            <w:tcBorders>
              <w:top w:val="single" w:sz="2" w:space="0" w:color="auto"/>
              <w:left w:val="single" w:sz="2" w:space="0" w:color="auto"/>
              <w:bottom w:val="single" w:sz="2" w:space="0" w:color="auto"/>
              <w:right w:val="single" w:sz="2" w:space="0" w:color="auto"/>
            </w:tcBorders>
            <w:vAlign w:val="center"/>
          </w:tcPr>
          <w:p w14:paraId="276B182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28B097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AF68D3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F9379C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7B38D2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E39E98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EC1B9D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9032AF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99553D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40BDA1B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45F2B29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733" w:type="dxa"/>
            <w:tcBorders>
              <w:top w:val="single" w:sz="2" w:space="0" w:color="auto"/>
              <w:left w:val="single" w:sz="2" w:space="0" w:color="auto"/>
              <w:bottom w:val="single" w:sz="2" w:space="0" w:color="auto"/>
              <w:right w:val="single" w:sz="2" w:space="0" w:color="auto"/>
            </w:tcBorders>
            <w:vAlign w:val="center"/>
          </w:tcPr>
          <w:p w14:paraId="0AB93587"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36BC4D46" w14:textId="77777777" w:rsidTr="004B1EC4">
        <w:trPr>
          <w:trHeight w:val="240"/>
          <w:jc w:val="center"/>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0BE873A3"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．本期使用</w:t>
            </w:r>
          </w:p>
        </w:tc>
        <w:tc>
          <w:tcPr>
            <w:tcW w:w="1381" w:type="dxa"/>
            <w:tcBorders>
              <w:top w:val="single" w:sz="2" w:space="0" w:color="auto"/>
              <w:left w:val="single" w:sz="2" w:space="0" w:color="auto"/>
              <w:bottom w:val="single" w:sz="2" w:space="0" w:color="auto"/>
              <w:right w:val="single" w:sz="2" w:space="0" w:color="auto"/>
            </w:tcBorders>
            <w:vAlign w:val="center"/>
          </w:tcPr>
          <w:p w14:paraId="6FA8FBE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0D5600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54D2D25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36DBA0C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2B4D2D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E09009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A69223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E532F2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845302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155368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D1A14F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733" w:type="dxa"/>
            <w:tcBorders>
              <w:top w:val="single" w:sz="2" w:space="0" w:color="auto"/>
              <w:left w:val="single" w:sz="2" w:space="0" w:color="auto"/>
              <w:bottom w:val="single" w:sz="2" w:space="0" w:color="auto"/>
              <w:right w:val="single" w:sz="2" w:space="0" w:color="auto"/>
            </w:tcBorders>
            <w:vAlign w:val="center"/>
          </w:tcPr>
          <w:p w14:paraId="1CA3107D"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63EB9B77" w14:textId="77777777" w:rsidTr="004B1EC4">
        <w:trPr>
          <w:trHeight w:val="240"/>
          <w:jc w:val="center"/>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70ED434E"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（六）其他</w:t>
            </w:r>
          </w:p>
        </w:tc>
        <w:tc>
          <w:tcPr>
            <w:tcW w:w="1381" w:type="dxa"/>
            <w:tcBorders>
              <w:top w:val="single" w:sz="2" w:space="0" w:color="auto"/>
              <w:left w:val="single" w:sz="2" w:space="0" w:color="auto"/>
              <w:bottom w:val="single" w:sz="2" w:space="0" w:color="auto"/>
              <w:right w:val="single" w:sz="2" w:space="0" w:color="auto"/>
            </w:tcBorders>
            <w:vAlign w:val="center"/>
          </w:tcPr>
          <w:p w14:paraId="593BEF1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6B50F50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1BD561B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6413791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A190A4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DABEBA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77B754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64EECF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CE4FD0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07CC760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49D894A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733" w:type="dxa"/>
            <w:tcBorders>
              <w:top w:val="single" w:sz="2" w:space="0" w:color="auto"/>
              <w:left w:val="single" w:sz="2" w:space="0" w:color="auto"/>
              <w:bottom w:val="single" w:sz="2" w:space="0" w:color="auto"/>
              <w:right w:val="single" w:sz="2" w:space="0" w:color="auto"/>
            </w:tcBorders>
            <w:vAlign w:val="center"/>
          </w:tcPr>
          <w:p w14:paraId="14CBA7A8"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050CA3" w:rsidRPr="005A284F" w14:paraId="39F0427D" w14:textId="77777777" w:rsidTr="004B1EC4">
        <w:trPr>
          <w:trHeight w:val="240"/>
          <w:jc w:val="center"/>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60B8105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四、本期期末余额</w:t>
            </w:r>
          </w:p>
        </w:tc>
        <w:tc>
          <w:tcPr>
            <w:tcW w:w="1381" w:type="dxa"/>
            <w:tcBorders>
              <w:top w:val="single" w:sz="2" w:space="0" w:color="auto"/>
              <w:left w:val="single" w:sz="2" w:space="0" w:color="auto"/>
              <w:bottom w:val="single" w:sz="2" w:space="0" w:color="auto"/>
              <w:right w:val="single" w:sz="2" w:space="0" w:color="auto"/>
            </w:tcBorders>
            <w:vAlign w:val="center"/>
          </w:tcPr>
          <w:p w14:paraId="10582AA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1,079,160,689.00</w:t>
            </w:r>
          </w:p>
        </w:tc>
        <w:tc>
          <w:tcPr>
            <w:tcW w:w="567" w:type="dxa"/>
            <w:tcBorders>
              <w:top w:val="single" w:sz="2" w:space="0" w:color="auto"/>
              <w:left w:val="single" w:sz="2" w:space="0" w:color="auto"/>
              <w:bottom w:val="single" w:sz="2" w:space="0" w:color="auto"/>
              <w:right w:val="single" w:sz="2" w:space="0" w:color="auto"/>
            </w:tcBorders>
            <w:vAlign w:val="center"/>
          </w:tcPr>
          <w:p w14:paraId="2169405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709" w:type="dxa"/>
            <w:tcBorders>
              <w:top w:val="single" w:sz="2" w:space="0" w:color="auto"/>
              <w:left w:val="single" w:sz="2" w:space="0" w:color="auto"/>
              <w:bottom w:val="single" w:sz="2" w:space="0" w:color="auto"/>
              <w:right w:val="single" w:sz="2" w:space="0" w:color="auto"/>
            </w:tcBorders>
            <w:vAlign w:val="center"/>
          </w:tcPr>
          <w:p w14:paraId="5DD5B36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559" w:type="dxa"/>
            <w:tcBorders>
              <w:top w:val="single" w:sz="2" w:space="0" w:color="auto"/>
              <w:left w:val="single" w:sz="2" w:space="0" w:color="auto"/>
              <w:bottom w:val="single" w:sz="2" w:space="0" w:color="auto"/>
              <w:right w:val="single" w:sz="2" w:space="0" w:color="auto"/>
            </w:tcBorders>
            <w:vAlign w:val="center"/>
          </w:tcPr>
          <w:p w14:paraId="6A513F6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171,569,231.67</w:t>
            </w:r>
          </w:p>
        </w:tc>
        <w:tc>
          <w:tcPr>
            <w:tcW w:w="1417" w:type="dxa"/>
            <w:tcBorders>
              <w:top w:val="single" w:sz="2" w:space="0" w:color="auto"/>
              <w:left w:val="single" w:sz="2" w:space="0" w:color="auto"/>
              <w:bottom w:val="single" w:sz="2" w:space="0" w:color="auto"/>
              <w:right w:val="single" w:sz="2" w:space="0" w:color="auto"/>
            </w:tcBorders>
            <w:vAlign w:val="center"/>
          </w:tcPr>
          <w:p w14:paraId="49FB28D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830,444,322.67</w:t>
            </w:r>
          </w:p>
        </w:tc>
        <w:tc>
          <w:tcPr>
            <w:tcW w:w="1276" w:type="dxa"/>
            <w:tcBorders>
              <w:top w:val="single" w:sz="2" w:space="0" w:color="auto"/>
              <w:left w:val="single" w:sz="2" w:space="0" w:color="auto"/>
              <w:bottom w:val="single" w:sz="2" w:space="0" w:color="auto"/>
              <w:right w:val="single" w:sz="2" w:space="0" w:color="auto"/>
            </w:tcBorders>
            <w:vAlign w:val="center"/>
          </w:tcPr>
          <w:p w14:paraId="435A9DB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330,025,083.29</w:t>
            </w:r>
          </w:p>
        </w:tc>
        <w:tc>
          <w:tcPr>
            <w:tcW w:w="1276" w:type="dxa"/>
            <w:tcBorders>
              <w:top w:val="single" w:sz="2" w:space="0" w:color="auto"/>
              <w:left w:val="single" w:sz="2" w:space="0" w:color="auto"/>
              <w:bottom w:val="single" w:sz="2" w:space="0" w:color="auto"/>
              <w:right w:val="single" w:sz="2" w:space="0" w:color="auto"/>
            </w:tcBorders>
            <w:vAlign w:val="center"/>
          </w:tcPr>
          <w:p w14:paraId="0660642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-12,100,000.00</w:t>
            </w:r>
          </w:p>
        </w:tc>
        <w:tc>
          <w:tcPr>
            <w:tcW w:w="1276" w:type="dxa"/>
            <w:tcBorders>
              <w:top w:val="single" w:sz="2" w:space="0" w:color="auto"/>
              <w:left w:val="single" w:sz="2" w:space="0" w:color="auto"/>
              <w:bottom w:val="single" w:sz="2" w:space="0" w:color="auto"/>
              <w:right w:val="single" w:sz="2" w:space="0" w:color="auto"/>
            </w:tcBorders>
            <w:vAlign w:val="center"/>
          </w:tcPr>
          <w:p w14:paraId="3AEDC46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417" w:type="dxa"/>
            <w:tcBorders>
              <w:top w:val="single" w:sz="2" w:space="0" w:color="auto"/>
              <w:left w:val="single" w:sz="2" w:space="0" w:color="auto"/>
              <w:bottom w:val="single" w:sz="2" w:space="0" w:color="auto"/>
              <w:right w:val="single" w:sz="2" w:space="0" w:color="auto"/>
            </w:tcBorders>
            <w:vAlign w:val="center"/>
          </w:tcPr>
          <w:p w14:paraId="4E94F77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263,717,929.16</w:t>
            </w:r>
          </w:p>
        </w:tc>
        <w:tc>
          <w:tcPr>
            <w:tcW w:w="1418" w:type="dxa"/>
            <w:tcBorders>
              <w:top w:val="single" w:sz="2" w:space="0" w:color="auto"/>
              <w:left w:val="single" w:sz="2" w:space="0" w:color="auto"/>
              <w:bottom w:val="single" w:sz="2" w:space="0" w:color="auto"/>
              <w:right w:val="single" w:sz="2" w:space="0" w:color="auto"/>
            </w:tcBorders>
            <w:vAlign w:val="center"/>
          </w:tcPr>
          <w:p w14:paraId="43E66BB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-797,729,422.27</w:t>
            </w:r>
          </w:p>
        </w:tc>
        <w:tc>
          <w:tcPr>
            <w:tcW w:w="850" w:type="dxa"/>
            <w:tcBorders>
              <w:top w:val="single" w:sz="2" w:space="0" w:color="auto"/>
              <w:left w:val="single" w:sz="2" w:space="0" w:color="auto"/>
              <w:bottom w:val="single" w:sz="2" w:space="0" w:color="auto"/>
              <w:right w:val="single" w:sz="2" w:space="0" w:color="auto"/>
            </w:tcBorders>
            <w:vAlign w:val="center"/>
          </w:tcPr>
          <w:p w14:paraId="79BF435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733" w:type="dxa"/>
            <w:tcBorders>
              <w:top w:val="single" w:sz="2" w:space="0" w:color="auto"/>
              <w:left w:val="single" w:sz="2" w:space="0" w:color="auto"/>
              <w:bottom w:val="single" w:sz="2" w:space="0" w:color="auto"/>
              <w:right w:val="single" w:sz="2" w:space="0" w:color="auto"/>
            </w:tcBorders>
            <w:vAlign w:val="center"/>
          </w:tcPr>
          <w:p w14:paraId="3988389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1,205,037,666.94</w:t>
            </w:r>
          </w:p>
        </w:tc>
      </w:tr>
    </w:tbl>
    <w:p w14:paraId="51338762"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上年金额</w:t>
      </w:r>
    </w:p>
    <w:p w14:paraId="40DD8980" w14:textId="77777777" w:rsidR="006C011D" w:rsidRPr="005A284F" w:rsidRDefault="00000000">
      <w:pPr>
        <w:spacing w:before="120" w:after="12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15837"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0" w:type="dxa"/>
          <w:right w:w="0" w:type="dxa"/>
        </w:tblCellMar>
        <w:tblLook w:val="04A0" w:firstRow="1" w:lastRow="0" w:firstColumn="1" w:lastColumn="0" w:noHBand="0" w:noVBand="1"/>
      </w:tblPr>
      <w:tblGrid>
        <w:gridCol w:w="1081"/>
        <w:gridCol w:w="1418"/>
        <w:gridCol w:w="992"/>
        <w:gridCol w:w="1134"/>
        <w:gridCol w:w="1417"/>
        <w:gridCol w:w="1418"/>
        <w:gridCol w:w="1417"/>
        <w:gridCol w:w="1418"/>
        <w:gridCol w:w="850"/>
        <w:gridCol w:w="1571"/>
        <w:gridCol w:w="1264"/>
        <w:gridCol w:w="567"/>
        <w:gridCol w:w="1283"/>
        <w:gridCol w:w="7"/>
      </w:tblGrid>
      <w:tr w:rsidR="006C011D" w:rsidRPr="005A284F" w14:paraId="7A16AC33" w14:textId="77777777" w:rsidTr="004B1EC4">
        <w:trPr>
          <w:trHeight w:val="239"/>
          <w:jc w:val="center"/>
        </w:trPr>
        <w:tc>
          <w:tcPr>
            <w:tcW w:w="108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DF0D79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14756"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14:paraId="6B8C228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年半年度</w:t>
            </w:r>
          </w:p>
        </w:tc>
      </w:tr>
      <w:tr w:rsidR="004B1EC4" w:rsidRPr="005A284F" w14:paraId="61813E53" w14:textId="77777777" w:rsidTr="004B1EC4">
        <w:trPr>
          <w:gridAfter w:val="1"/>
          <w:wAfter w:w="7" w:type="dxa"/>
          <w:trHeight w:val="239"/>
          <w:jc w:val="center"/>
        </w:trPr>
        <w:tc>
          <w:tcPr>
            <w:tcW w:w="108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2D9223A" w14:textId="77777777" w:rsidR="006C011D" w:rsidRPr="005A284F" w:rsidRDefault="006C011D">
            <w:pPr>
              <w:rPr>
                <w:rFonts w:ascii="Times New Roman" w:eastAsia="宋体" w:hAnsi="Times New Roman" w:cs="Times New Roman"/>
              </w:rPr>
            </w:pPr>
          </w:p>
        </w:tc>
        <w:tc>
          <w:tcPr>
            <w:tcW w:w="141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F02F51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股本</w:t>
            </w:r>
          </w:p>
        </w:tc>
        <w:tc>
          <w:tcPr>
            <w:tcW w:w="3543"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5F81746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其他权益工具</w:t>
            </w:r>
          </w:p>
        </w:tc>
        <w:tc>
          <w:tcPr>
            <w:tcW w:w="141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45AA55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资本公积</w:t>
            </w:r>
          </w:p>
        </w:tc>
        <w:tc>
          <w:tcPr>
            <w:tcW w:w="141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48627B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减：库存股</w:t>
            </w:r>
          </w:p>
        </w:tc>
        <w:tc>
          <w:tcPr>
            <w:tcW w:w="141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9AD7B6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其他综合收益</w:t>
            </w:r>
          </w:p>
        </w:tc>
        <w:tc>
          <w:tcPr>
            <w:tcW w:w="85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F6410E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专项储备</w:t>
            </w:r>
          </w:p>
        </w:tc>
        <w:tc>
          <w:tcPr>
            <w:tcW w:w="15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CE9831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盈余公积</w:t>
            </w:r>
          </w:p>
        </w:tc>
        <w:tc>
          <w:tcPr>
            <w:tcW w:w="126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55748B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未分配利润</w:t>
            </w:r>
          </w:p>
        </w:tc>
        <w:tc>
          <w:tcPr>
            <w:tcW w:w="56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08DB79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c>
          <w:tcPr>
            <w:tcW w:w="128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7C952F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所有者权益合计</w:t>
            </w:r>
          </w:p>
        </w:tc>
      </w:tr>
      <w:tr w:rsidR="004B1EC4" w:rsidRPr="005A284F" w14:paraId="5C5A4BD2" w14:textId="77777777" w:rsidTr="004B1EC4">
        <w:trPr>
          <w:gridAfter w:val="1"/>
          <w:wAfter w:w="7" w:type="dxa"/>
          <w:trHeight w:val="239"/>
          <w:jc w:val="center"/>
        </w:trPr>
        <w:tc>
          <w:tcPr>
            <w:tcW w:w="108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640E4F9" w14:textId="77777777" w:rsidR="006C011D" w:rsidRPr="005A284F" w:rsidRDefault="006C011D">
            <w:pPr>
              <w:rPr>
                <w:rFonts w:ascii="Times New Roman" w:eastAsia="宋体" w:hAnsi="Times New Roman" w:cs="Times New Roman"/>
              </w:rPr>
            </w:pPr>
          </w:p>
        </w:tc>
        <w:tc>
          <w:tcPr>
            <w:tcW w:w="141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29CF0BB" w14:textId="77777777" w:rsidR="006C011D" w:rsidRPr="005A284F" w:rsidRDefault="006C011D">
            <w:pPr>
              <w:rPr>
                <w:rFonts w:ascii="Times New Roman" w:eastAsia="宋体" w:hAnsi="Times New Roman" w:cs="Times New Roman"/>
              </w:rPr>
            </w:pP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09CC32B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优先股</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79C1746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永续债</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0D9BBE4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c>
          <w:tcPr>
            <w:tcW w:w="141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ADEA2D9" w14:textId="77777777" w:rsidR="006C011D" w:rsidRPr="005A284F" w:rsidRDefault="006C011D">
            <w:pPr>
              <w:rPr>
                <w:rFonts w:ascii="Times New Roman" w:eastAsia="宋体" w:hAnsi="Times New Roman" w:cs="Times New Roman"/>
              </w:rPr>
            </w:pPr>
          </w:p>
        </w:tc>
        <w:tc>
          <w:tcPr>
            <w:tcW w:w="141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A1A3380" w14:textId="77777777" w:rsidR="006C011D" w:rsidRPr="005A284F" w:rsidRDefault="006C011D">
            <w:pPr>
              <w:rPr>
                <w:rFonts w:ascii="Times New Roman" w:eastAsia="宋体" w:hAnsi="Times New Roman" w:cs="Times New Roman"/>
              </w:rPr>
            </w:pPr>
          </w:p>
        </w:tc>
        <w:tc>
          <w:tcPr>
            <w:tcW w:w="141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A369915" w14:textId="77777777" w:rsidR="006C011D" w:rsidRPr="005A284F" w:rsidRDefault="006C011D">
            <w:pPr>
              <w:rPr>
                <w:rFonts w:ascii="Times New Roman" w:eastAsia="宋体" w:hAnsi="Times New Roman" w:cs="Times New Roman"/>
              </w:rPr>
            </w:pPr>
          </w:p>
        </w:tc>
        <w:tc>
          <w:tcPr>
            <w:tcW w:w="850" w:type="dxa"/>
            <w:vMerge/>
            <w:tcBorders>
              <w:top w:val="single" w:sz="2" w:space="0" w:color="auto"/>
              <w:left w:val="single" w:sz="2" w:space="0" w:color="auto"/>
              <w:bottom w:val="single" w:sz="2" w:space="0" w:color="auto"/>
              <w:right w:val="single" w:sz="2" w:space="0" w:color="auto"/>
            </w:tcBorders>
            <w:vAlign w:val="center"/>
          </w:tcPr>
          <w:p w14:paraId="3B9B7D77" w14:textId="77777777" w:rsidR="006C011D" w:rsidRPr="005A284F" w:rsidRDefault="006C011D">
            <w:pPr>
              <w:rPr>
                <w:rFonts w:ascii="Times New Roman" w:eastAsia="宋体" w:hAnsi="Times New Roman" w:cs="Times New Roman"/>
              </w:rPr>
            </w:pPr>
          </w:p>
        </w:tc>
        <w:tc>
          <w:tcPr>
            <w:tcW w:w="15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72918F8" w14:textId="77777777" w:rsidR="006C011D" w:rsidRPr="005A284F" w:rsidRDefault="006C011D">
            <w:pPr>
              <w:rPr>
                <w:rFonts w:ascii="Times New Roman" w:eastAsia="宋体" w:hAnsi="Times New Roman" w:cs="Times New Roman"/>
              </w:rPr>
            </w:pPr>
          </w:p>
        </w:tc>
        <w:tc>
          <w:tcPr>
            <w:tcW w:w="126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EAFBAA8" w14:textId="77777777" w:rsidR="006C011D" w:rsidRPr="005A284F" w:rsidRDefault="006C011D">
            <w:pPr>
              <w:rPr>
                <w:rFonts w:ascii="Times New Roman" w:eastAsia="宋体" w:hAnsi="Times New Roman" w:cs="Times New Roman"/>
              </w:rPr>
            </w:pPr>
          </w:p>
        </w:tc>
        <w:tc>
          <w:tcPr>
            <w:tcW w:w="567" w:type="dxa"/>
            <w:vMerge/>
            <w:tcBorders>
              <w:top w:val="single" w:sz="2" w:space="0" w:color="auto"/>
              <w:left w:val="single" w:sz="2" w:space="0" w:color="auto"/>
              <w:bottom w:val="single" w:sz="2" w:space="0" w:color="auto"/>
              <w:right w:val="single" w:sz="2" w:space="0" w:color="auto"/>
            </w:tcBorders>
            <w:vAlign w:val="center"/>
          </w:tcPr>
          <w:p w14:paraId="1698B3B3" w14:textId="77777777" w:rsidR="006C011D" w:rsidRPr="005A284F" w:rsidRDefault="006C011D">
            <w:pPr>
              <w:rPr>
                <w:rFonts w:ascii="Times New Roman" w:eastAsia="宋体" w:hAnsi="Times New Roman" w:cs="Times New Roman"/>
              </w:rPr>
            </w:pPr>
          </w:p>
        </w:tc>
        <w:tc>
          <w:tcPr>
            <w:tcW w:w="128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B328662" w14:textId="77777777" w:rsidR="006C011D" w:rsidRPr="005A284F" w:rsidRDefault="006C011D">
            <w:pPr>
              <w:rPr>
                <w:rFonts w:ascii="Times New Roman" w:eastAsia="宋体" w:hAnsi="Times New Roman" w:cs="Times New Roman"/>
              </w:rPr>
            </w:pPr>
          </w:p>
        </w:tc>
      </w:tr>
      <w:tr w:rsidR="004B1EC4" w:rsidRPr="005A284F" w14:paraId="5EDCED59" w14:textId="77777777" w:rsidTr="00EE3DD0">
        <w:trPr>
          <w:gridAfter w:val="1"/>
          <w:wAfter w:w="7" w:type="dxa"/>
          <w:trHeight w:val="807"/>
          <w:jc w:val="center"/>
        </w:trPr>
        <w:tc>
          <w:tcPr>
            <w:tcW w:w="1081" w:type="dxa"/>
            <w:tcBorders>
              <w:top w:val="single" w:sz="2" w:space="0" w:color="auto"/>
              <w:left w:val="single" w:sz="2" w:space="0" w:color="auto"/>
              <w:bottom w:val="single" w:sz="2" w:space="0" w:color="auto"/>
              <w:right w:val="single" w:sz="2" w:space="0" w:color="auto"/>
            </w:tcBorders>
            <w:shd w:val="clear" w:color="auto" w:fill="D3D3D3"/>
            <w:vAlign w:val="center"/>
          </w:tcPr>
          <w:p w14:paraId="0F1B98A0"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一、上年期末余额</w:t>
            </w:r>
          </w:p>
        </w:tc>
        <w:tc>
          <w:tcPr>
            <w:tcW w:w="1418" w:type="dxa"/>
            <w:tcBorders>
              <w:top w:val="single" w:sz="2" w:space="0" w:color="auto"/>
              <w:left w:val="single" w:sz="2" w:space="0" w:color="auto"/>
              <w:bottom w:val="single" w:sz="2" w:space="0" w:color="auto"/>
              <w:right w:val="single" w:sz="2" w:space="0" w:color="auto"/>
            </w:tcBorders>
            <w:vAlign w:val="center"/>
          </w:tcPr>
          <w:p w14:paraId="30BAE3B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1,079,159,832.00</w:t>
            </w:r>
          </w:p>
        </w:tc>
        <w:tc>
          <w:tcPr>
            <w:tcW w:w="992" w:type="dxa"/>
            <w:tcBorders>
              <w:top w:val="single" w:sz="2" w:space="0" w:color="auto"/>
              <w:left w:val="single" w:sz="2" w:space="0" w:color="auto"/>
              <w:bottom w:val="single" w:sz="2" w:space="0" w:color="auto"/>
              <w:right w:val="single" w:sz="2" w:space="0" w:color="auto"/>
            </w:tcBorders>
            <w:vAlign w:val="center"/>
          </w:tcPr>
          <w:p w14:paraId="0CBF39D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1F1B2D8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417" w:type="dxa"/>
            <w:tcBorders>
              <w:top w:val="single" w:sz="2" w:space="0" w:color="auto"/>
              <w:left w:val="single" w:sz="2" w:space="0" w:color="auto"/>
              <w:bottom w:val="single" w:sz="2" w:space="0" w:color="auto"/>
              <w:right w:val="single" w:sz="2" w:space="0" w:color="auto"/>
            </w:tcBorders>
            <w:vAlign w:val="center"/>
          </w:tcPr>
          <w:p w14:paraId="70AE328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171,570,881.98</w:t>
            </w:r>
          </w:p>
        </w:tc>
        <w:tc>
          <w:tcPr>
            <w:tcW w:w="1418" w:type="dxa"/>
            <w:tcBorders>
              <w:top w:val="single" w:sz="2" w:space="0" w:color="auto"/>
              <w:left w:val="single" w:sz="2" w:space="0" w:color="auto"/>
              <w:bottom w:val="single" w:sz="2" w:space="0" w:color="auto"/>
              <w:right w:val="single" w:sz="2" w:space="0" w:color="auto"/>
            </w:tcBorders>
            <w:vAlign w:val="center"/>
          </w:tcPr>
          <w:p w14:paraId="65D5AF3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830,435,511.92</w:t>
            </w:r>
          </w:p>
        </w:tc>
        <w:tc>
          <w:tcPr>
            <w:tcW w:w="1417" w:type="dxa"/>
            <w:tcBorders>
              <w:top w:val="single" w:sz="2" w:space="0" w:color="auto"/>
              <w:left w:val="single" w:sz="2" w:space="0" w:color="auto"/>
              <w:bottom w:val="single" w:sz="2" w:space="0" w:color="auto"/>
              <w:right w:val="single" w:sz="2" w:space="0" w:color="auto"/>
            </w:tcBorders>
            <w:vAlign w:val="center"/>
          </w:tcPr>
          <w:p w14:paraId="51AF141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330,025,083.29</w:t>
            </w:r>
          </w:p>
        </w:tc>
        <w:tc>
          <w:tcPr>
            <w:tcW w:w="1418" w:type="dxa"/>
            <w:tcBorders>
              <w:top w:val="single" w:sz="2" w:space="0" w:color="auto"/>
              <w:left w:val="single" w:sz="2" w:space="0" w:color="auto"/>
              <w:bottom w:val="single" w:sz="2" w:space="0" w:color="auto"/>
              <w:right w:val="single" w:sz="2" w:space="0" w:color="auto"/>
            </w:tcBorders>
            <w:vAlign w:val="center"/>
          </w:tcPr>
          <w:p w14:paraId="44A1902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-12,100,000.00</w:t>
            </w:r>
          </w:p>
        </w:tc>
        <w:tc>
          <w:tcPr>
            <w:tcW w:w="850" w:type="dxa"/>
            <w:tcBorders>
              <w:top w:val="single" w:sz="2" w:space="0" w:color="auto"/>
              <w:left w:val="single" w:sz="2" w:space="0" w:color="auto"/>
              <w:bottom w:val="single" w:sz="2" w:space="0" w:color="auto"/>
              <w:right w:val="single" w:sz="2" w:space="0" w:color="auto"/>
            </w:tcBorders>
            <w:vAlign w:val="center"/>
          </w:tcPr>
          <w:p w14:paraId="052479B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571" w:type="dxa"/>
            <w:tcBorders>
              <w:top w:val="single" w:sz="2" w:space="0" w:color="auto"/>
              <w:left w:val="single" w:sz="2" w:space="0" w:color="auto"/>
              <w:bottom w:val="single" w:sz="2" w:space="0" w:color="auto"/>
              <w:right w:val="single" w:sz="2" w:space="0" w:color="auto"/>
            </w:tcBorders>
            <w:vAlign w:val="center"/>
          </w:tcPr>
          <w:p w14:paraId="635F49B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263,717,929.16</w:t>
            </w:r>
          </w:p>
        </w:tc>
        <w:tc>
          <w:tcPr>
            <w:tcW w:w="1264" w:type="dxa"/>
            <w:tcBorders>
              <w:top w:val="single" w:sz="2" w:space="0" w:color="auto"/>
              <w:left w:val="single" w:sz="2" w:space="0" w:color="auto"/>
              <w:bottom w:val="single" w:sz="2" w:space="0" w:color="auto"/>
              <w:right w:val="single" w:sz="2" w:space="0" w:color="auto"/>
            </w:tcBorders>
            <w:vAlign w:val="center"/>
          </w:tcPr>
          <w:p w14:paraId="599C97B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-810,843,308.94</w:t>
            </w:r>
          </w:p>
        </w:tc>
        <w:tc>
          <w:tcPr>
            <w:tcW w:w="567" w:type="dxa"/>
            <w:tcBorders>
              <w:top w:val="single" w:sz="2" w:space="0" w:color="auto"/>
              <w:left w:val="single" w:sz="2" w:space="0" w:color="auto"/>
              <w:bottom w:val="single" w:sz="2" w:space="0" w:color="auto"/>
              <w:right w:val="single" w:sz="2" w:space="0" w:color="auto"/>
            </w:tcBorders>
            <w:vAlign w:val="center"/>
          </w:tcPr>
          <w:p w14:paraId="677579A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83" w:type="dxa"/>
            <w:tcBorders>
              <w:top w:val="single" w:sz="2" w:space="0" w:color="auto"/>
              <w:left w:val="single" w:sz="2" w:space="0" w:color="auto"/>
              <w:bottom w:val="single" w:sz="2" w:space="0" w:color="auto"/>
              <w:right w:val="single" w:sz="2" w:space="0" w:color="auto"/>
            </w:tcBorders>
            <w:vAlign w:val="center"/>
          </w:tcPr>
          <w:p w14:paraId="20C91FF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1,191,915,762.83</w:t>
            </w:r>
          </w:p>
        </w:tc>
      </w:tr>
      <w:tr w:rsidR="004B1EC4" w:rsidRPr="005A284F" w14:paraId="0BC9438C" w14:textId="77777777" w:rsidTr="004B1EC4">
        <w:trPr>
          <w:gridAfter w:val="1"/>
          <w:wAfter w:w="7" w:type="dxa"/>
          <w:trHeight w:val="239"/>
          <w:jc w:val="center"/>
        </w:trPr>
        <w:tc>
          <w:tcPr>
            <w:tcW w:w="1081" w:type="dxa"/>
            <w:tcBorders>
              <w:top w:val="single" w:sz="2" w:space="0" w:color="auto"/>
              <w:left w:val="single" w:sz="2" w:space="0" w:color="auto"/>
              <w:bottom w:val="single" w:sz="2" w:space="0" w:color="auto"/>
              <w:right w:val="single" w:sz="2" w:space="0" w:color="auto"/>
            </w:tcBorders>
            <w:shd w:val="clear" w:color="auto" w:fill="D3D3D3"/>
            <w:vAlign w:val="center"/>
          </w:tcPr>
          <w:p w14:paraId="5C8A5143" w14:textId="77777777" w:rsidR="006C011D" w:rsidRPr="005A284F" w:rsidRDefault="00000000" w:rsidP="004B1EC4">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加：会计政策变更</w:t>
            </w:r>
          </w:p>
        </w:tc>
        <w:tc>
          <w:tcPr>
            <w:tcW w:w="1418" w:type="dxa"/>
            <w:tcBorders>
              <w:top w:val="single" w:sz="2" w:space="0" w:color="auto"/>
              <w:left w:val="single" w:sz="2" w:space="0" w:color="auto"/>
              <w:bottom w:val="single" w:sz="2" w:space="0" w:color="auto"/>
              <w:right w:val="single" w:sz="2" w:space="0" w:color="auto"/>
            </w:tcBorders>
            <w:vAlign w:val="center"/>
          </w:tcPr>
          <w:p w14:paraId="415C60B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0FF6289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180DF5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8059B7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0A2A3CB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167DE2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58C2FF7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4BCF955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71" w:type="dxa"/>
            <w:tcBorders>
              <w:top w:val="single" w:sz="2" w:space="0" w:color="auto"/>
              <w:left w:val="single" w:sz="2" w:space="0" w:color="auto"/>
              <w:bottom w:val="single" w:sz="2" w:space="0" w:color="auto"/>
              <w:right w:val="single" w:sz="2" w:space="0" w:color="auto"/>
            </w:tcBorders>
            <w:vAlign w:val="center"/>
          </w:tcPr>
          <w:p w14:paraId="75A19A1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53A0B8D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7DF3C1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83" w:type="dxa"/>
            <w:tcBorders>
              <w:top w:val="single" w:sz="2" w:space="0" w:color="auto"/>
              <w:left w:val="single" w:sz="2" w:space="0" w:color="auto"/>
              <w:bottom w:val="single" w:sz="2" w:space="0" w:color="auto"/>
              <w:right w:val="single" w:sz="2" w:space="0" w:color="auto"/>
            </w:tcBorders>
            <w:vAlign w:val="center"/>
          </w:tcPr>
          <w:p w14:paraId="2A11E6A0"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4B1EC4" w:rsidRPr="005A284F" w14:paraId="2C722C1A" w14:textId="77777777" w:rsidTr="004B1EC4">
        <w:trPr>
          <w:gridAfter w:val="1"/>
          <w:wAfter w:w="7" w:type="dxa"/>
          <w:trHeight w:val="239"/>
          <w:jc w:val="center"/>
        </w:trPr>
        <w:tc>
          <w:tcPr>
            <w:tcW w:w="1081" w:type="dxa"/>
            <w:tcBorders>
              <w:top w:val="single" w:sz="2" w:space="0" w:color="auto"/>
              <w:left w:val="single" w:sz="2" w:space="0" w:color="auto"/>
              <w:bottom w:val="single" w:sz="2" w:space="0" w:color="auto"/>
              <w:right w:val="single" w:sz="2" w:space="0" w:color="auto"/>
            </w:tcBorders>
            <w:shd w:val="clear" w:color="auto" w:fill="D3D3D3"/>
            <w:vAlign w:val="center"/>
          </w:tcPr>
          <w:p w14:paraId="433106E9" w14:textId="77777777" w:rsidR="006C011D" w:rsidRPr="005A284F" w:rsidRDefault="00000000" w:rsidP="004B1EC4">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前期差错更正</w:t>
            </w:r>
          </w:p>
        </w:tc>
        <w:tc>
          <w:tcPr>
            <w:tcW w:w="1418" w:type="dxa"/>
            <w:tcBorders>
              <w:top w:val="single" w:sz="2" w:space="0" w:color="auto"/>
              <w:left w:val="single" w:sz="2" w:space="0" w:color="auto"/>
              <w:bottom w:val="single" w:sz="2" w:space="0" w:color="auto"/>
              <w:right w:val="single" w:sz="2" w:space="0" w:color="auto"/>
            </w:tcBorders>
            <w:vAlign w:val="center"/>
          </w:tcPr>
          <w:p w14:paraId="4AE2E33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7D32EB1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5721A8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570EEB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8836A8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49A9AC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A30A72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5788408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71" w:type="dxa"/>
            <w:tcBorders>
              <w:top w:val="single" w:sz="2" w:space="0" w:color="auto"/>
              <w:left w:val="single" w:sz="2" w:space="0" w:color="auto"/>
              <w:bottom w:val="single" w:sz="2" w:space="0" w:color="auto"/>
              <w:right w:val="single" w:sz="2" w:space="0" w:color="auto"/>
            </w:tcBorders>
            <w:vAlign w:val="center"/>
          </w:tcPr>
          <w:p w14:paraId="211F727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4E767A9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324A0AB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83" w:type="dxa"/>
            <w:tcBorders>
              <w:top w:val="single" w:sz="2" w:space="0" w:color="auto"/>
              <w:left w:val="single" w:sz="2" w:space="0" w:color="auto"/>
              <w:bottom w:val="single" w:sz="2" w:space="0" w:color="auto"/>
              <w:right w:val="single" w:sz="2" w:space="0" w:color="auto"/>
            </w:tcBorders>
            <w:vAlign w:val="center"/>
          </w:tcPr>
          <w:p w14:paraId="5D8AAF41"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4B1EC4" w:rsidRPr="005A284F" w14:paraId="63BBB021" w14:textId="77777777" w:rsidTr="004B1EC4">
        <w:trPr>
          <w:gridAfter w:val="1"/>
          <w:wAfter w:w="7" w:type="dxa"/>
          <w:trHeight w:val="239"/>
          <w:jc w:val="center"/>
        </w:trPr>
        <w:tc>
          <w:tcPr>
            <w:tcW w:w="1081" w:type="dxa"/>
            <w:tcBorders>
              <w:top w:val="single" w:sz="2" w:space="0" w:color="auto"/>
              <w:left w:val="single" w:sz="2" w:space="0" w:color="auto"/>
              <w:bottom w:val="single" w:sz="2" w:space="0" w:color="auto"/>
              <w:right w:val="single" w:sz="2" w:space="0" w:color="auto"/>
            </w:tcBorders>
            <w:shd w:val="clear" w:color="auto" w:fill="D3D3D3"/>
            <w:vAlign w:val="center"/>
          </w:tcPr>
          <w:p w14:paraId="3312B2F8" w14:textId="77777777" w:rsidR="006C011D" w:rsidRPr="005A284F" w:rsidRDefault="00000000" w:rsidP="004B1EC4">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c>
          <w:tcPr>
            <w:tcW w:w="1418" w:type="dxa"/>
            <w:tcBorders>
              <w:top w:val="single" w:sz="2" w:space="0" w:color="auto"/>
              <w:left w:val="single" w:sz="2" w:space="0" w:color="auto"/>
              <w:bottom w:val="single" w:sz="2" w:space="0" w:color="auto"/>
              <w:right w:val="single" w:sz="2" w:space="0" w:color="auto"/>
            </w:tcBorders>
            <w:vAlign w:val="center"/>
          </w:tcPr>
          <w:p w14:paraId="6F689F8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1BBD945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2F025A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1E1F21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410C4C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258F1A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93AC5A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4EBE079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71" w:type="dxa"/>
            <w:tcBorders>
              <w:top w:val="single" w:sz="2" w:space="0" w:color="auto"/>
              <w:left w:val="single" w:sz="2" w:space="0" w:color="auto"/>
              <w:bottom w:val="single" w:sz="2" w:space="0" w:color="auto"/>
              <w:right w:val="single" w:sz="2" w:space="0" w:color="auto"/>
            </w:tcBorders>
            <w:vAlign w:val="center"/>
          </w:tcPr>
          <w:p w14:paraId="6B360DD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13BEA13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133C85C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83" w:type="dxa"/>
            <w:tcBorders>
              <w:top w:val="single" w:sz="2" w:space="0" w:color="auto"/>
              <w:left w:val="single" w:sz="2" w:space="0" w:color="auto"/>
              <w:bottom w:val="single" w:sz="2" w:space="0" w:color="auto"/>
              <w:right w:val="single" w:sz="2" w:space="0" w:color="auto"/>
            </w:tcBorders>
            <w:vAlign w:val="center"/>
          </w:tcPr>
          <w:p w14:paraId="13E56E0D"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4B1EC4" w:rsidRPr="005A284F" w14:paraId="16CBB15B" w14:textId="77777777" w:rsidTr="004B1EC4">
        <w:trPr>
          <w:gridAfter w:val="1"/>
          <w:wAfter w:w="7" w:type="dxa"/>
          <w:trHeight w:val="239"/>
          <w:jc w:val="center"/>
        </w:trPr>
        <w:tc>
          <w:tcPr>
            <w:tcW w:w="1081" w:type="dxa"/>
            <w:tcBorders>
              <w:top w:val="single" w:sz="2" w:space="0" w:color="auto"/>
              <w:left w:val="single" w:sz="2" w:space="0" w:color="auto"/>
              <w:bottom w:val="single" w:sz="2" w:space="0" w:color="auto"/>
              <w:right w:val="single" w:sz="2" w:space="0" w:color="auto"/>
            </w:tcBorders>
            <w:shd w:val="clear" w:color="auto" w:fill="D3D3D3"/>
            <w:vAlign w:val="center"/>
          </w:tcPr>
          <w:p w14:paraId="3260BFCD"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二、本年期初余额</w:t>
            </w:r>
          </w:p>
        </w:tc>
        <w:tc>
          <w:tcPr>
            <w:tcW w:w="1418" w:type="dxa"/>
            <w:tcBorders>
              <w:top w:val="single" w:sz="2" w:space="0" w:color="auto"/>
              <w:left w:val="single" w:sz="2" w:space="0" w:color="auto"/>
              <w:bottom w:val="single" w:sz="2" w:space="0" w:color="auto"/>
              <w:right w:val="single" w:sz="2" w:space="0" w:color="auto"/>
            </w:tcBorders>
            <w:vAlign w:val="center"/>
          </w:tcPr>
          <w:p w14:paraId="44AADED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1,079,159,832.00</w:t>
            </w:r>
          </w:p>
        </w:tc>
        <w:tc>
          <w:tcPr>
            <w:tcW w:w="992" w:type="dxa"/>
            <w:tcBorders>
              <w:top w:val="single" w:sz="2" w:space="0" w:color="auto"/>
              <w:left w:val="single" w:sz="2" w:space="0" w:color="auto"/>
              <w:bottom w:val="single" w:sz="2" w:space="0" w:color="auto"/>
              <w:right w:val="single" w:sz="2" w:space="0" w:color="auto"/>
            </w:tcBorders>
            <w:vAlign w:val="center"/>
          </w:tcPr>
          <w:p w14:paraId="6A33768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5357217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417" w:type="dxa"/>
            <w:tcBorders>
              <w:top w:val="single" w:sz="2" w:space="0" w:color="auto"/>
              <w:left w:val="single" w:sz="2" w:space="0" w:color="auto"/>
              <w:bottom w:val="single" w:sz="2" w:space="0" w:color="auto"/>
              <w:right w:val="single" w:sz="2" w:space="0" w:color="auto"/>
            </w:tcBorders>
            <w:vAlign w:val="center"/>
          </w:tcPr>
          <w:p w14:paraId="50AC895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171,570,881.98</w:t>
            </w:r>
          </w:p>
        </w:tc>
        <w:tc>
          <w:tcPr>
            <w:tcW w:w="1418" w:type="dxa"/>
            <w:tcBorders>
              <w:top w:val="single" w:sz="2" w:space="0" w:color="auto"/>
              <w:left w:val="single" w:sz="2" w:space="0" w:color="auto"/>
              <w:bottom w:val="single" w:sz="2" w:space="0" w:color="auto"/>
              <w:right w:val="single" w:sz="2" w:space="0" w:color="auto"/>
            </w:tcBorders>
            <w:vAlign w:val="center"/>
          </w:tcPr>
          <w:p w14:paraId="061D625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830,435,511.92</w:t>
            </w:r>
          </w:p>
        </w:tc>
        <w:tc>
          <w:tcPr>
            <w:tcW w:w="1417" w:type="dxa"/>
            <w:tcBorders>
              <w:top w:val="single" w:sz="2" w:space="0" w:color="auto"/>
              <w:left w:val="single" w:sz="2" w:space="0" w:color="auto"/>
              <w:bottom w:val="single" w:sz="2" w:space="0" w:color="auto"/>
              <w:right w:val="single" w:sz="2" w:space="0" w:color="auto"/>
            </w:tcBorders>
            <w:vAlign w:val="center"/>
          </w:tcPr>
          <w:p w14:paraId="3051682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330,025,083.29</w:t>
            </w:r>
          </w:p>
        </w:tc>
        <w:tc>
          <w:tcPr>
            <w:tcW w:w="1418" w:type="dxa"/>
            <w:tcBorders>
              <w:top w:val="single" w:sz="2" w:space="0" w:color="auto"/>
              <w:left w:val="single" w:sz="2" w:space="0" w:color="auto"/>
              <w:bottom w:val="single" w:sz="2" w:space="0" w:color="auto"/>
              <w:right w:val="single" w:sz="2" w:space="0" w:color="auto"/>
            </w:tcBorders>
            <w:vAlign w:val="center"/>
          </w:tcPr>
          <w:p w14:paraId="3E14CEB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-12,100,000.00</w:t>
            </w:r>
          </w:p>
        </w:tc>
        <w:tc>
          <w:tcPr>
            <w:tcW w:w="850" w:type="dxa"/>
            <w:tcBorders>
              <w:top w:val="single" w:sz="2" w:space="0" w:color="auto"/>
              <w:left w:val="single" w:sz="2" w:space="0" w:color="auto"/>
              <w:bottom w:val="single" w:sz="2" w:space="0" w:color="auto"/>
              <w:right w:val="single" w:sz="2" w:space="0" w:color="auto"/>
            </w:tcBorders>
            <w:vAlign w:val="center"/>
          </w:tcPr>
          <w:p w14:paraId="3F4B580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571" w:type="dxa"/>
            <w:tcBorders>
              <w:top w:val="single" w:sz="2" w:space="0" w:color="auto"/>
              <w:left w:val="single" w:sz="2" w:space="0" w:color="auto"/>
              <w:bottom w:val="single" w:sz="2" w:space="0" w:color="auto"/>
              <w:right w:val="single" w:sz="2" w:space="0" w:color="auto"/>
            </w:tcBorders>
            <w:vAlign w:val="center"/>
          </w:tcPr>
          <w:p w14:paraId="487D406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263,717,929.16</w:t>
            </w:r>
          </w:p>
        </w:tc>
        <w:tc>
          <w:tcPr>
            <w:tcW w:w="1264" w:type="dxa"/>
            <w:tcBorders>
              <w:top w:val="single" w:sz="2" w:space="0" w:color="auto"/>
              <w:left w:val="single" w:sz="2" w:space="0" w:color="auto"/>
              <w:bottom w:val="single" w:sz="2" w:space="0" w:color="auto"/>
              <w:right w:val="single" w:sz="2" w:space="0" w:color="auto"/>
            </w:tcBorders>
            <w:vAlign w:val="center"/>
          </w:tcPr>
          <w:p w14:paraId="081BFE1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-810,843,308.94</w:t>
            </w:r>
          </w:p>
        </w:tc>
        <w:tc>
          <w:tcPr>
            <w:tcW w:w="567" w:type="dxa"/>
            <w:tcBorders>
              <w:top w:val="single" w:sz="2" w:space="0" w:color="auto"/>
              <w:left w:val="single" w:sz="2" w:space="0" w:color="auto"/>
              <w:bottom w:val="single" w:sz="2" w:space="0" w:color="auto"/>
              <w:right w:val="single" w:sz="2" w:space="0" w:color="auto"/>
            </w:tcBorders>
            <w:vAlign w:val="center"/>
          </w:tcPr>
          <w:p w14:paraId="34F08AC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83" w:type="dxa"/>
            <w:tcBorders>
              <w:top w:val="single" w:sz="2" w:space="0" w:color="auto"/>
              <w:left w:val="single" w:sz="2" w:space="0" w:color="auto"/>
              <w:bottom w:val="single" w:sz="2" w:space="0" w:color="auto"/>
              <w:right w:val="single" w:sz="2" w:space="0" w:color="auto"/>
            </w:tcBorders>
            <w:vAlign w:val="center"/>
          </w:tcPr>
          <w:p w14:paraId="0B09ECB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1,191,915,762.83</w:t>
            </w:r>
          </w:p>
        </w:tc>
      </w:tr>
      <w:tr w:rsidR="004B1EC4" w:rsidRPr="005A284F" w14:paraId="4C3D9285" w14:textId="77777777" w:rsidTr="004B1EC4">
        <w:trPr>
          <w:gridAfter w:val="1"/>
          <w:wAfter w:w="7" w:type="dxa"/>
          <w:trHeight w:val="239"/>
          <w:jc w:val="center"/>
        </w:trPr>
        <w:tc>
          <w:tcPr>
            <w:tcW w:w="1081" w:type="dxa"/>
            <w:tcBorders>
              <w:top w:val="single" w:sz="2" w:space="0" w:color="auto"/>
              <w:left w:val="single" w:sz="2" w:space="0" w:color="auto"/>
              <w:bottom w:val="single" w:sz="2" w:space="0" w:color="auto"/>
              <w:right w:val="single" w:sz="2" w:space="0" w:color="auto"/>
            </w:tcBorders>
            <w:shd w:val="clear" w:color="auto" w:fill="D3D3D3"/>
            <w:vAlign w:val="center"/>
          </w:tcPr>
          <w:p w14:paraId="1F5FA75C"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三、本期增减变动金额（减少以</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号填列）</w:t>
            </w:r>
          </w:p>
        </w:tc>
        <w:tc>
          <w:tcPr>
            <w:tcW w:w="1418" w:type="dxa"/>
            <w:tcBorders>
              <w:top w:val="single" w:sz="2" w:space="0" w:color="auto"/>
              <w:left w:val="single" w:sz="2" w:space="0" w:color="auto"/>
              <w:bottom w:val="single" w:sz="2" w:space="0" w:color="auto"/>
              <w:right w:val="single" w:sz="2" w:space="0" w:color="auto"/>
            </w:tcBorders>
            <w:vAlign w:val="center"/>
          </w:tcPr>
          <w:p w14:paraId="33A429D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107.00</w:t>
            </w:r>
          </w:p>
        </w:tc>
        <w:tc>
          <w:tcPr>
            <w:tcW w:w="992" w:type="dxa"/>
            <w:tcBorders>
              <w:top w:val="single" w:sz="2" w:space="0" w:color="auto"/>
              <w:left w:val="single" w:sz="2" w:space="0" w:color="auto"/>
              <w:bottom w:val="single" w:sz="2" w:space="0" w:color="auto"/>
              <w:right w:val="single" w:sz="2" w:space="0" w:color="auto"/>
            </w:tcBorders>
            <w:vAlign w:val="center"/>
          </w:tcPr>
          <w:p w14:paraId="3BE630D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08ED6F9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417" w:type="dxa"/>
            <w:tcBorders>
              <w:top w:val="single" w:sz="2" w:space="0" w:color="auto"/>
              <w:left w:val="single" w:sz="2" w:space="0" w:color="auto"/>
              <w:bottom w:val="single" w:sz="2" w:space="0" w:color="auto"/>
              <w:right w:val="single" w:sz="2" w:space="0" w:color="auto"/>
            </w:tcBorders>
            <w:vAlign w:val="center"/>
          </w:tcPr>
          <w:p w14:paraId="17DFD85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-181.35</w:t>
            </w:r>
          </w:p>
        </w:tc>
        <w:tc>
          <w:tcPr>
            <w:tcW w:w="1418" w:type="dxa"/>
            <w:tcBorders>
              <w:top w:val="single" w:sz="2" w:space="0" w:color="auto"/>
              <w:left w:val="single" w:sz="2" w:space="0" w:color="auto"/>
              <w:bottom w:val="single" w:sz="2" w:space="0" w:color="auto"/>
              <w:right w:val="single" w:sz="2" w:space="0" w:color="auto"/>
            </w:tcBorders>
            <w:vAlign w:val="center"/>
          </w:tcPr>
          <w:p w14:paraId="017C4B1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1,119.05</w:t>
            </w:r>
          </w:p>
        </w:tc>
        <w:tc>
          <w:tcPr>
            <w:tcW w:w="1417" w:type="dxa"/>
            <w:tcBorders>
              <w:top w:val="single" w:sz="2" w:space="0" w:color="auto"/>
              <w:left w:val="single" w:sz="2" w:space="0" w:color="auto"/>
              <w:bottom w:val="single" w:sz="2" w:space="0" w:color="auto"/>
              <w:right w:val="single" w:sz="2" w:space="0" w:color="auto"/>
            </w:tcBorders>
            <w:vAlign w:val="center"/>
          </w:tcPr>
          <w:p w14:paraId="1858988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418" w:type="dxa"/>
            <w:tcBorders>
              <w:top w:val="single" w:sz="2" w:space="0" w:color="auto"/>
              <w:left w:val="single" w:sz="2" w:space="0" w:color="auto"/>
              <w:bottom w:val="single" w:sz="2" w:space="0" w:color="auto"/>
              <w:right w:val="single" w:sz="2" w:space="0" w:color="auto"/>
            </w:tcBorders>
            <w:vAlign w:val="center"/>
          </w:tcPr>
          <w:p w14:paraId="19DF51B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850" w:type="dxa"/>
            <w:tcBorders>
              <w:top w:val="single" w:sz="2" w:space="0" w:color="auto"/>
              <w:left w:val="single" w:sz="2" w:space="0" w:color="auto"/>
              <w:bottom w:val="single" w:sz="2" w:space="0" w:color="auto"/>
              <w:right w:val="single" w:sz="2" w:space="0" w:color="auto"/>
            </w:tcBorders>
            <w:vAlign w:val="center"/>
          </w:tcPr>
          <w:p w14:paraId="274F08C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571" w:type="dxa"/>
            <w:tcBorders>
              <w:top w:val="single" w:sz="2" w:space="0" w:color="auto"/>
              <w:left w:val="single" w:sz="2" w:space="0" w:color="auto"/>
              <w:bottom w:val="single" w:sz="2" w:space="0" w:color="auto"/>
              <w:right w:val="single" w:sz="2" w:space="0" w:color="auto"/>
            </w:tcBorders>
            <w:vAlign w:val="center"/>
          </w:tcPr>
          <w:p w14:paraId="1E107EF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264" w:type="dxa"/>
            <w:tcBorders>
              <w:top w:val="single" w:sz="2" w:space="0" w:color="auto"/>
              <w:left w:val="single" w:sz="2" w:space="0" w:color="auto"/>
              <w:bottom w:val="single" w:sz="2" w:space="0" w:color="auto"/>
              <w:right w:val="single" w:sz="2" w:space="0" w:color="auto"/>
            </w:tcBorders>
            <w:vAlign w:val="center"/>
          </w:tcPr>
          <w:p w14:paraId="79E3A28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14,634,459.37</w:t>
            </w:r>
          </w:p>
        </w:tc>
        <w:tc>
          <w:tcPr>
            <w:tcW w:w="567" w:type="dxa"/>
            <w:tcBorders>
              <w:top w:val="single" w:sz="2" w:space="0" w:color="auto"/>
              <w:left w:val="single" w:sz="2" w:space="0" w:color="auto"/>
              <w:bottom w:val="single" w:sz="2" w:space="0" w:color="auto"/>
              <w:right w:val="single" w:sz="2" w:space="0" w:color="auto"/>
            </w:tcBorders>
            <w:vAlign w:val="center"/>
          </w:tcPr>
          <w:p w14:paraId="2CE01B7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83" w:type="dxa"/>
            <w:tcBorders>
              <w:top w:val="single" w:sz="2" w:space="0" w:color="auto"/>
              <w:left w:val="single" w:sz="2" w:space="0" w:color="auto"/>
              <w:bottom w:val="single" w:sz="2" w:space="0" w:color="auto"/>
              <w:right w:val="single" w:sz="2" w:space="0" w:color="auto"/>
            </w:tcBorders>
            <w:vAlign w:val="center"/>
          </w:tcPr>
          <w:p w14:paraId="2C8A2F1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14,635,504.07</w:t>
            </w:r>
          </w:p>
        </w:tc>
      </w:tr>
      <w:tr w:rsidR="004B1EC4" w:rsidRPr="005A284F" w14:paraId="3AF0EC8E" w14:textId="77777777" w:rsidTr="004B1EC4">
        <w:trPr>
          <w:gridAfter w:val="1"/>
          <w:wAfter w:w="7" w:type="dxa"/>
          <w:trHeight w:val="239"/>
          <w:jc w:val="center"/>
        </w:trPr>
        <w:tc>
          <w:tcPr>
            <w:tcW w:w="1081" w:type="dxa"/>
            <w:tcBorders>
              <w:top w:val="single" w:sz="2" w:space="0" w:color="auto"/>
              <w:left w:val="single" w:sz="2" w:space="0" w:color="auto"/>
              <w:bottom w:val="single" w:sz="2" w:space="0" w:color="auto"/>
              <w:right w:val="single" w:sz="2" w:space="0" w:color="auto"/>
            </w:tcBorders>
            <w:shd w:val="clear" w:color="auto" w:fill="D3D3D3"/>
            <w:vAlign w:val="center"/>
          </w:tcPr>
          <w:p w14:paraId="712ADA3F"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（一）综合收益总额</w:t>
            </w:r>
          </w:p>
        </w:tc>
        <w:tc>
          <w:tcPr>
            <w:tcW w:w="1418" w:type="dxa"/>
            <w:tcBorders>
              <w:top w:val="single" w:sz="2" w:space="0" w:color="auto"/>
              <w:left w:val="single" w:sz="2" w:space="0" w:color="auto"/>
              <w:bottom w:val="single" w:sz="2" w:space="0" w:color="auto"/>
              <w:right w:val="single" w:sz="2" w:space="0" w:color="auto"/>
            </w:tcBorders>
            <w:vAlign w:val="center"/>
          </w:tcPr>
          <w:p w14:paraId="14038C3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727C29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B622C0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03FA8F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542BE6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C8FAD7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EFDB47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850" w:type="dxa"/>
            <w:tcBorders>
              <w:top w:val="single" w:sz="2" w:space="0" w:color="auto"/>
              <w:left w:val="single" w:sz="2" w:space="0" w:color="auto"/>
              <w:bottom w:val="single" w:sz="2" w:space="0" w:color="auto"/>
              <w:right w:val="single" w:sz="2" w:space="0" w:color="auto"/>
            </w:tcBorders>
            <w:vAlign w:val="center"/>
          </w:tcPr>
          <w:p w14:paraId="6601596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71" w:type="dxa"/>
            <w:tcBorders>
              <w:top w:val="single" w:sz="2" w:space="0" w:color="auto"/>
              <w:left w:val="single" w:sz="2" w:space="0" w:color="auto"/>
              <w:bottom w:val="single" w:sz="2" w:space="0" w:color="auto"/>
              <w:right w:val="single" w:sz="2" w:space="0" w:color="auto"/>
            </w:tcBorders>
            <w:vAlign w:val="center"/>
          </w:tcPr>
          <w:p w14:paraId="5CD091E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487AF71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14,634,459.37</w:t>
            </w:r>
          </w:p>
        </w:tc>
        <w:tc>
          <w:tcPr>
            <w:tcW w:w="567" w:type="dxa"/>
            <w:tcBorders>
              <w:top w:val="single" w:sz="2" w:space="0" w:color="auto"/>
              <w:left w:val="single" w:sz="2" w:space="0" w:color="auto"/>
              <w:bottom w:val="single" w:sz="2" w:space="0" w:color="auto"/>
              <w:right w:val="single" w:sz="2" w:space="0" w:color="auto"/>
            </w:tcBorders>
            <w:vAlign w:val="center"/>
          </w:tcPr>
          <w:p w14:paraId="3065AD2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83" w:type="dxa"/>
            <w:tcBorders>
              <w:top w:val="single" w:sz="2" w:space="0" w:color="auto"/>
              <w:left w:val="single" w:sz="2" w:space="0" w:color="auto"/>
              <w:bottom w:val="single" w:sz="2" w:space="0" w:color="auto"/>
              <w:right w:val="single" w:sz="2" w:space="0" w:color="auto"/>
            </w:tcBorders>
            <w:vAlign w:val="center"/>
          </w:tcPr>
          <w:p w14:paraId="47AFB64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14,634,459.37</w:t>
            </w:r>
          </w:p>
        </w:tc>
      </w:tr>
      <w:tr w:rsidR="004B1EC4" w:rsidRPr="005A284F" w14:paraId="0E56DAA8" w14:textId="77777777" w:rsidTr="004B1EC4">
        <w:trPr>
          <w:gridAfter w:val="1"/>
          <w:wAfter w:w="7" w:type="dxa"/>
          <w:trHeight w:val="239"/>
          <w:jc w:val="center"/>
        </w:trPr>
        <w:tc>
          <w:tcPr>
            <w:tcW w:w="1081" w:type="dxa"/>
            <w:tcBorders>
              <w:top w:val="single" w:sz="2" w:space="0" w:color="auto"/>
              <w:left w:val="single" w:sz="2" w:space="0" w:color="auto"/>
              <w:bottom w:val="single" w:sz="2" w:space="0" w:color="auto"/>
              <w:right w:val="single" w:sz="2" w:space="0" w:color="auto"/>
            </w:tcBorders>
            <w:shd w:val="clear" w:color="auto" w:fill="D3D3D3"/>
            <w:vAlign w:val="center"/>
          </w:tcPr>
          <w:p w14:paraId="47AFDBD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（二）所有者投入和减少资本</w:t>
            </w:r>
          </w:p>
        </w:tc>
        <w:tc>
          <w:tcPr>
            <w:tcW w:w="1418" w:type="dxa"/>
            <w:tcBorders>
              <w:top w:val="single" w:sz="2" w:space="0" w:color="auto"/>
              <w:left w:val="single" w:sz="2" w:space="0" w:color="auto"/>
              <w:bottom w:val="single" w:sz="2" w:space="0" w:color="auto"/>
              <w:right w:val="single" w:sz="2" w:space="0" w:color="auto"/>
            </w:tcBorders>
            <w:vAlign w:val="center"/>
          </w:tcPr>
          <w:p w14:paraId="409212F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107.00</w:t>
            </w:r>
          </w:p>
        </w:tc>
        <w:tc>
          <w:tcPr>
            <w:tcW w:w="992" w:type="dxa"/>
            <w:tcBorders>
              <w:top w:val="single" w:sz="2" w:space="0" w:color="auto"/>
              <w:left w:val="single" w:sz="2" w:space="0" w:color="auto"/>
              <w:bottom w:val="single" w:sz="2" w:space="0" w:color="auto"/>
              <w:right w:val="single" w:sz="2" w:space="0" w:color="auto"/>
            </w:tcBorders>
            <w:vAlign w:val="center"/>
          </w:tcPr>
          <w:p w14:paraId="3EEF30C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792E227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417" w:type="dxa"/>
            <w:tcBorders>
              <w:top w:val="single" w:sz="2" w:space="0" w:color="auto"/>
              <w:left w:val="single" w:sz="2" w:space="0" w:color="auto"/>
              <w:bottom w:val="single" w:sz="2" w:space="0" w:color="auto"/>
              <w:right w:val="single" w:sz="2" w:space="0" w:color="auto"/>
            </w:tcBorders>
            <w:vAlign w:val="center"/>
          </w:tcPr>
          <w:p w14:paraId="79ED44E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-181.35</w:t>
            </w:r>
          </w:p>
        </w:tc>
        <w:tc>
          <w:tcPr>
            <w:tcW w:w="1418" w:type="dxa"/>
            <w:tcBorders>
              <w:top w:val="single" w:sz="2" w:space="0" w:color="auto"/>
              <w:left w:val="single" w:sz="2" w:space="0" w:color="auto"/>
              <w:bottom w:val="single" w:sz="2" w:space="0" w:color="auto"/>
              <w:right w:val="single" w:sz="2" w:space="0" w:color="auto"/>
            </w:tcBorders>
            <w:vAlign w:val="center"/>
          </w:tcPr>
          <w:p w14:paraId="1E7A820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1,119.05</w:t>
            </w:r>
          </w:p>
        </w:tc>
        <w:tc>
          <w:tcPr>
            <w:tcW w:w="1417" w:type="dxa"/>
            <w:tcBorders>
              <w:top w:val="single" w:sz="2" w:space="0" w:color="auto"/>
              <w:left w:val="single" w:sz="2" w:space="0" w:color="auto"/>
              <w:bottom w:val="single" w:sz="2" w:space="0" w:color="auto"/>
              <w:right w:val="single" w:sz="2" w:space="0" w:color="auto"/>
            </w:tcBorders>
            <w:vAlign w:val="center"/>
          </w:tcPr>
          <w:p w14:paraId="5CDB347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418" w:type="dxa"/>
            <w:tcBorders>
              <w:top w:val="single" w:sz="2" w:space="0" w:color="auto"/>
              <w:left w:val="single" w:sz="2" w:space="0" w:color="auto"/>
              <w:bottom w:val="single" w:sz="2" w:space="0" w:color="auto"/>
              <w:right w:val="single" w:sz="2" w:space="0" w:color="auto"/>
            </w:tcBorders>
            <w:vAlign w:val="center"/>
          </w:tcPr>
          <w:p w14:paraId="60787E9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850" w:type="dxa"/>
            <w:tcBorders>
              <w:top w:val="single" w:sz="2" w:space="0" w:color="auto"/>
              <w:left w:val="single" w:sz="2" w:space="0" w:color="auto"/>
              <w:bottom w:val="single" w:sz="2" w:space="0" w:color="auto"/>
              <w:right w:val="single" w:sz="2" w:space="0" w:color="auto"/>
            </w:tcBorders>
            <w:vAlign w:val="center"/>
          </w:tcPr>
          <w:p w14:paraId="099E2E8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571" w:type="dxa"/>
            <w:tcBorders>
              <w:top w:val="single" w:sz="2" w:space="0" w:color="auto"/>
              <w:left w:val="single" w:sz="2" w:space="0" w:color="auto"/>
              <w:bottom w:val="single" w:sz="2" w:space="0" w:color="auto"/>
              <w:right w:val="single" w:sz="2" w:space="0" w:color="auto"/>
            </w:tcBorders>
            <w:vAlign w:val="center"/>
          </w:tcPr>
          <w:p w14:paraId="146B63D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264" w:type="dxa"/>
            <w:tcBorders>
              <w:top w:val="single" w:sz="2" w:space="0" w:color="auto"/>
              <w:left w:val="single" w:sz="2" w:space="0" w:color="auto"/>
              <w:bottom w:val="single" w:sz="2" w:space="0" w:color="auto"/>
              <w:right w:val="single" w:sz="2" w:space="0" w:color="auto"/>
            </w:tcBorders>
            <w:vAlign w:val="center"/>
          </w:tcPr>
          <w:p w14:paraId="76E2A39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vAlign w:val="center"/>
          </w:tcPr>
          <w:p w14:paraId="6FAAF2A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83" w:type="dxa"/>
            <w:tcBorders>
              <w:top w:val="single" w:sz="2" w:space="0" w:color="auto"/>
              <w:left w:val="single" w:sz="2" w:space="0" w:color="auto"/>
              <w:bottom w:val="single" w:sz="2" w:space="0" w:color="auto"/>
              <w:right w:val="single" w:sz="2" w:space="0" w:color="auto"/>
            </w:tcBorders>
            <w:vAlign w:val="center"/>
          </w:tcPr>
          <w:p w14:paraId="0C2BFB5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1,044.70</w:t>
            </w:r>
          </w:p>
        </w:tc>
      </w:tr>
      <w:tr w:rsidR="004B1EC4" w:rsidRPr="005A284F" w14:paraId="6CFF054A" w14:textId="77777777" w:rsidTr="004B1EC4">
        <w:trPr>
          <w:gridAfter w:val="1"/>
          <w:wAfter w:w="7" w:type="dxa"/>
          <w:trHeight w:val="239"/>
          <w:jc w:val="center"/>
        </w:trPr>
        <w:tc>
          <w:tcPr>
            <w:tcW w:w="1081" w:type="dxa"/>
            <w:tcBorders>
              <w:top w:val="single" w:sz="2" w:space="0" w:color="auto"/>
              <w:left w:val="single" w:sz="2" w:space="0" w:color="auto"/>
              <w:bottom w:val="single" w:sz="2" w:space="0" w:color="auto"/>
              <w:right w:val="single" w:sz="2" w:space="0" w:color="auto"/>
            </w:tcBorders>
            <w:shd w:val="clear" w:color="auto" w:fill="D3D3D3"/>
            <w:vAlign w:val="center"/>
          </w:tcPr>
          <w:p w14:paraId="350F1787"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．所有者投入的普通股</w:t>
            </w:r>
          </w:p>
        </w:tc>
        <w:tc>
          <w:tcPr>
            <w:tcW w:w="1418" w:type="dxa"/>
            <w:tcBorders>
              <w:top w:val="single" w:sz="2" w:space="0" w:color="auto"/>
              <w:left w:val="single" w:sz="2" w:space="0" w:color="auto"/>
              <w:bottom w:val="single" w:sz="2" w:space="0" w:color="auto"/>
              <w:right w:val="single" w:sz="2" w:space="0" w:color="auto"/>
            </w:tcBorders>
            <w:vAlign w:val="center"/>
          </w:tcPr>
          <w:p w14:paraId="1F066E3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107.00</w:t>
            </w:r>
          </w:p>
        </w:tc>
        <w:tc>
          <w:tcPr>
            <w:tcW w:w="992" w:type="dxa"/>
            <w:tcBorders>
              <w:top w:val="single" w:sz="2" w:space="0" w:color="auto"/>
              <w:left w:val="single" w:sz="2" w:space="0" w:color="auto"/>
              <w:bottom w:val="single" w:sz="2" w:space="0" w:color="auto"/>
              <w:right w:val="single" w:sz="2" w:space="0" w:color="auto"/>
            </w:tcBorders>
            <w:vAlign w:val="center"/>
          </w:tcPr>
          <w:p w14:paraId="54BFC59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C0D25B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F6D168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707121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1,119.05</w:t>
            </w:r>
          </w:p>
        </w:tc>
        <w:tc>
          <w:tcPr>
            <w:tcW w:w="1417" w:type="dxa"/>
            <w:tcBorders>
              <w:top w:val="single" w:sz="2" w:space="0" w:color="auto"/>
              <w:left w:val="single" w:sz="2" w:space="0" w:color="auto"/>
              <w:bottom w:val="single" w:sz="2" w:space="0" w:color="auto"/>
              <w:right w:val="single" w:sz="2" w:space="0" w:color="auto"/>
            </w:tcBorders>
            <w:vAlign w:val="center"/>
          </w:tcPr>
          <w:p w14:paraId="054DC15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2FFF1C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7FEBA68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71" w:type="dxa"/>
            <w:tcBorders>
              <w:top w:val="single" w:sz="2" w:space="0" w:color="auto"/>
              <w:left w:val="single" w:sz="2" w:space="0" w:color="auto"/>
              <w:bottom w:val="single" w:sz="2" w:space="0" w:color="auto"/>
              <w:right w:val="single" w:sz="2" w:space="0" w:color="auto"/>
            </w:tcBorders>
            <w:vAlign w:val="center"/>
          </w:tcPr>
          <w:p w14:paraId="0E60623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22A46B1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18AD110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83" w:type="dxa"/>
            <w:tcBorders>
              <w:top w:val="single" w:sz="2" w:space="0" w:color="auto"/>
              <w:left w:val="single" w:sz="2" w:space="0" w:color="auto"/>
              <w:bottom w:val="single" w:sz="2" w:space="0" w:color="auto"/>
              <w:right w:val="single" w:sz="2" w:space="0" w:color="auto"/>
            </w:tcBorders>
            <w:vAlign w:val="center"/>
          </w:tcPr>
          <w:p w14:paraId="4273BBF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1,226.05</w:t>
            </w:r>
          </w:p>
        </w:tc>
      </w:tr>
      <w:tr w:rsidR="004B1EC4" w:rsidRPr="005A284F" w14:paraId="12C0EB85" w14:textId="77777777" w:rsidTr="004B1EC4">
        <w:trPr>
          <w:gridAfter w:val="1"/>
          <w:wAfter w:w="7" w:type="dxa"/>
          <w:trHeight w:val="239"/>
          <w:jc w:val="center"/>
        </w:trPr>
        <w:tc>
          <w:tcPr>
            <w:tcW w:w="1081" w:type="dxa"/>
            <w:tcBorders>
              <w:top w:val="single" w:sz="2" w:space="0" w:color="auto"/>
              <w:left w:val="single" w:sz="2" w:space="0" w:color="auto"/>
              <w:bottom w:val="single" w:sz="2" w:space="0" w:color="auto"/>
              <w:right w:val="single" w:sz="2" w:space="0" w:color="auto"/>
            </w:tcBorders>
            <w:shd w:val="clear" w:color="auto" w:fill="D3D3D3"/>
            <w:vAlign w:val="center"/>
          </w:tcPr>
          <w:p w14:paraId="0E7ACCD1"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．其他权益工具持有者投入资本</w:t>
            </w:r>
          </w:p>
        </w:tc>
        <w:tc>
          <w:tcPr>
            <w:tcW w:w="1418" w:type="dxa"/>
            <w:tcBorders>
              <w:top w:val="single" w:sz="2" w:space="0" w:color="auto"/>
              <w:left w:val="single" w:sz="2" w:space="0" w:color="auto"/>
              <w:bottom w:val="single" w:sz="2" w:space="0" w:color="auto"/>
              <w:right w:val="single" w:sz="2" w:space="0" w:color="auto"/>
            </w:tcBorders>
            <w:vAlign w:val="center"/>
          </w:tcPr>
          <w:p w14:paraId="181014D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3BFB53D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3CB541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A66B88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1C2AEC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4B89D1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496EE18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3DCDF88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71" w:type="dxa"/>
            <w:tcBorders>
              <w:top w:val="single" w:sz="2" w:space="0" w:color="auto"/>
              <w:left w:val="single" w:sz="2" w:space="0" w:color="auto"/>
              <w:bottom w:val="single" w:sz="2" w:space="0" w:color="auto"/>
              <w:right w:val="single" w:sz="2" w:space="0" w:color="auto"/>
            </w:tcBorders>
            <w:vAlign w:val="center"/>
          </w:tcPr>
          <w:p w14:paraId="21C3B3F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6BDB3C8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4AD08C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83" w:type="dxa"/>
            <w:tcBorders>
              <w:top w:val="single" w:sz="2" w:space="0" w:color="auto"/>
              <w:left w:val="single" w:sz="2" w:space="0" w:color="auto"/>
              <w:bottom w:val="single" w:sz="2" w:space="0" w:color="auto"/>
              <w:right w:val="single" w:sz="2" w:space="0" w:color="auto"/>
            </w:tcBorders>
            <w:vAlign w:val="center"/>
          </w:tcPr>
          <w:p w14:paraId="0D3704D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r>
      <w:tr w:rsidR="004B1EC4" w:rsidRPr="005A284F" w14:paraId="341C113A" w14:textId="77777777" w:rsidTr="004B1EC4">
        <w:trPr>
          <w:gridAfter w:val="1"/>
          <w:wAfter w:w="7" w:type="dxa"/>
          <w:trHeight w:val="239"/>
          <w:jc w:val="center"/>
        </w:trPr>
        <w:tc>
          <w:tcPr>
            <w:tcW w:w="1081" w:type="dxa"/>
            <w:tcBorders>
              <w:top w:val="single" w:sz="2" w:space="0" w:color="auto"/>
              <w:left w:val="single" w:sz="2" w:space="0" w:color="auto"/>
              <w:bottom w:val="single" w:sz="2" w:space="0" w:color="auto"/>
              <w:right w:val="single" w:sz="2" w:space="0" w:color="auto"/>
            </w:tcBorders>
            <w:shd w:val="clear" w:color="auto" w:fill="D3D3D3"/>
            <w:vAlign w:val="center"/>
          </w:tcPr>
          <w:p w14:paraId="0E181121"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．股份支付计入所有者权益的金额</w:t>
            </w:r>
          </w:p>
        </w:tc>
        <w:tc>
          <w:tcPr>
            <w:tcW w:w="1418" w:type="dxa"/>
            <w:tcBorders>
              <w:top w:val="single" w:sz="2" w:space="0" w:color="auto"/>
              <w:left w:val="single" w:sz="2" w:space="0" w:color="auto"/>
              <w:bottom w:val="single" w:sz="2" w:space="0" w:color="auto"/>
              <w:right w:val="single" w:sz="2" w:space="0" w:color="auto"/>
            </w:tcBorders>
            <w:vAlign w:val="center"/>
          </w:tcPr>
          <w:p w14:paraId="4C55E13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15AE376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79123C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61607D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4638BE8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9F2ADB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E00244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267D3C0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71" w:type="dxa"/>
            <w:tcBorders>
              <w:top w:val="single" w:sz="2" w:space="0" w:color="auto"/>
              <w:left w:val="single" w:sz="2" w:space="0" w:color="auto"/>
              <w:bottom w:val="single" w:sz="2" w:space="0" w:color="auto"/>
              <w:right w:val="single" w:sz="2" w:space="0" w:color="auto"/>
            </w:tcBorders>
            <w:vAlign w:val="center"/>
          </w:tcPr>
          <w:p w14:paraId="2D745F7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647E1A6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4C910D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83" w:type="dxa"/>
            <w:tcBorders>
              <w:top w:val="single" w:sz="2" w:space="0" w:color="auto"/>
              <w:left w:val="single" w:sz="2" w:space="0" w:color="auto"/>
              <w:bottom w:val="single" w:sz="2" w:space="0" w:color="auto"/>
              <w:right w:val="single" w:sz="2" w:space="0" w:color="auto"/>
            </w:tcBorders>
            <w:vAlign w:val="center"/>
          </w:tcPr>
          <w:p w14:paraId="4098770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r>
      <w:tr w:rsidR="004B1EC4" w:rsidRPr="005A284F" w14:paraId="2DCFEA29" w14:textId="77777777" w:rsidTr="004B1EC4">
        <w:trPr>
          <w:gridAfter w:val="1"/>
          <w:wAfter w:w="7" w:type="dxa"/>
          <w:trHeight w:val="239"/>
          <w:jc w:val="center"/>
        </w:trPr>
        <w:tc>
          <w:tcPr>
            <w:tcW w:w="1081" w:type="dxa"/>
            <w:tcBorders>
              <w:top w:val="single" w:sz="2" w:space="0" w:color="auto"/>
              <w:left w:val="single" w:sz="2" w:space="0" w:color="auto"/>
              <w:bottom w:val="single" w:sz="2" w:space="0" w:color="auto"/>
              <w:right w:val="single" w:sz="2" w:space="0" w:color="auto"/>
            </w:tcBorders>
            <w:shd w:val="clear" w:color="auto" w:fill="D3D3D3"/>
            <w:vAlign w:val="center"/>
          </w:tcPr>
          <w:p w14:paraId="33CDC04D"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．其他</w:t>
            </w:r>
          </w:p>
        </w:tc>
        <w:tc>
          <w:tcPr>
            <w:tcW w:w="1418" w:type="dxa"/>
            <w:tcBorders>
              <w:top w:val="single" w:sz="2" w:space="0" w:color="auto"/>
              <w:left w:val="single" w:sz="2" w:space="0" w:color="auto"/>
              <w:bottom w:val="single" w:sz="2" w:space="0" w:color="auto"/>
              <w:right w:val="single" w:sz="2" w:space="0" w:color="auto"/>
            </w:tcBorders>
            <w:vAlign w:val="center"/>
          </w:tcPr>
          <w:p w14:paraId="775728D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5C64B9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34DF1F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0474C1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-181.35</w:t>
            </w:r>
          </w:p>
        </w:tc>
        <w:tc>
          <w:tcPr>
            <w:tcW w:w="1418" w:type="dxa"/>
            <w:tcBorders>
              <w:top w:val="single" w:sz="2" w:space="0" w:color="auto"/>
              <w:left w:val="single" w:sz="2" w:space="0" w:color="auto"/>
              <w:bottom w:val="single" w:sz="2" w:space="0" w:color="auto"/>
              <w:right w:val="single" w:sz="2" w:space="0" w:color="auto"/>
            </w:tcBorders>
            <w:vAlign w:val="center"/>
          </w:tcPr>
          <w:p w14:paraId="2A40032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4C4C68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C00219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C14CEA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71" w:type="dxa"/>
            <w:tcBorders>
              <w:top w:val="single" w:sz="2" w:space="0" w:color="auto"/>
              <w:left w:val="single" w:sz="2" w:space="0" w:color="auto"/>
              <w:bottom w:val="single" w:sz="2" w:space="0" w:color="auto"/>
              <w:right w:val="single" w:sz="2" w:space="0" w:color="auto"/>
            </w:tcBorders>
            <w:vAlign w:val="center"/>
          </w:tcPr>
          <w:p w14:paraId="7548DD1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0756C87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754987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83" w:type="dxa"/>
            <w:tcBorders>
              <w:top w:val="single" w:sz="2" w:space="0" w:color="auto"/>
              <w:left w:val="single" w:sz="2" w:space="0" w:color="auto"/>
              <w:bottom w:val="single" w:sz="2" w:space="0" w:color="auto"/>
              <w:right w:val="single" w:sz="2" w:space="0" w:color="auto"/>
            </w:tcBorders>
            <w:vAlign w:val="center"/>
          </w:tcPr>
          <w:p w14:paraId="7369683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-181.35</w:t>
            </w:r>
          </w:p>
        </w:tc>
      </w:tr>
      <w:tr w:rsidR="004B1EC4" w:rsidRPr="005A284F" w14:paraId="16E79230" w14:textId="77777777" w:rsidTr="004B1EC4">
        <w:trPr>
          <w:gridAfter w:val="1"/>
          <w:wAfter w:w="7" w:type="dxa"/>
          <w:trHeight w:val="239"/>
          <w:jc w:val="center"/>
        </w:trPr>
        <w:tc>
          <w:tcPr>
            <w:tcW w:w="1081" w:type="dxa"/>
            <w:tcBorders>
              <w:top w:val="single" w:sz="2" w:space="0" w:color="auto"/>
              <w:left w:val="single" w:sz="2" w:space="0" w:color="auto"/>
              <w:bottom w:val="single" w:sz="2" w:space="0" w:color="auto"/>
              <w:right w:val="single" w:sz="2" w:space="0" w:color="auto"/>
            </w:tcBorders>
            <w:shd w:val="clear" w:color="auto" w:fill="D3D3D3"/>
            <w:vAlign w:val="center"/>
          </w:tcPr>
          <w:p w14:paraId="1C56FB31"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（三）利润分配</w:t>
            </w:r>
          </w:p>
        </w:tc>
        <w:tc>
          <w:tcPr>
            <w:tcW w:w="1418" w:type="dxa"/>
            <w:tcBorders>
              <w:top w:val="single" w:sz="2" w:space="0" w:color="auto"/>
              <w:left w:val="single" w:sz="2" w:space="0" w:color="auto"/>
              <w:bottom w:val="single" w:sz="2" w:space="0" w:color="auto"/>
              <w:right w:val="single" w:sz="2" w:space="0" w:color="auto"/>
            </w:tcBorders>
            <w:vAlign w:val="center"/>
          </w:tcPr>
          <w:p w14:paraId="4FEF478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2998509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357F04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FA94AE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4CAA5BF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E974F2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4DC5448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23E26D9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71" w:type="dxa"/>
            <w:tcBorders>
              <w:top w:val="single" w:sz="2" w:space="0" w:color="auto"/>
              <w:left w:val="single" w:sz="2" w:space="0" w:color="auto"/>
              <w:bottom w:val="single" w:sz="2" w:space="0" w:color="auto"/>
              <w:right w:val="single" w:sz="2" w:space="0" w:color="auto"/>
            </w:tcBorders>
            <w:vAlign w:val="center"/>
          </w:tcPr>
          <w:p w14:paraId="4094354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10CD517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FBC210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83" w:type="dxa"/>
            <w:tcBorders>
              <w:top w:val="single" w:sz="2" w:space="0" w:color="auto"/>
              <w:left w:val="single" w:sz="2" w:space="0" w:color="auto"/>
              <w:bottom w:val="single" w:sz="2" w:space="0" w:color="auto"/>
              <w:right w:val="single" w:sz="2" w:space="0" w:color="auto"/>
            </w:tcBorders>
            <w:vAlign w:val="center"/>
          </w:tcPr>
          <w:p w14:paraId="5F4C8DC4"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4B1EC4" w:rsidRPr="005A284F" w14:paraId="4247B2CF" w14:textId="77777777" w:rsidTr="004B1EC4">
        <w:trPr>
          <w:gridAfter w:val="1"/>
          <w:wAfter w:w="7" w:type="dxa"/>
          <w:trHeight w:val="239"/>
          <w:jc w:val="center"/>
        </w:trPr>
        <w:tc>
          <w:tcPr>
            <w:tcW w:w="1081" w:type="dxa"/>
            <w:tcBorders>
              <w:top w:val="single" w:sz="2" w:space="0" w:color="auto"/>
              <w:left w:val="single" w:sz="2" w:space="0" w:color="auto"/>
              <w:bottom w:val="single" w:sz="2" w:space="0" w:color="auto"/>
              <w:right w:val="single" w:sz="2" w:space="0" w:color="auto"/>
            </w:tcBorders>
            <w:shd w:val="clear" w:color="auto" w:fill="D3D3D3"/>
            <w:vAlign w:val="center"/>
          </w:tcPr>
          <w:p w14:paraId="4CE00A30"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．提取盈余公积</w:t>
            </w:r>
          </w:p>
        </w:tc>
        <w:tc>
          <w:tcPr>
            <w:tcW w:w="1418" w:type="dxa"/>
            <w:tcBorders>
              <w:top w:val="single" w:sz="2" w:space="0" w:color="auto"/>
              <w:left w:val="single" w:sz="2" w:space="0" w:color="auto"/>
              <w:bottom w:val="single" w:sz="2" w:space="0" w:color="auto"/>
              <w:right w:val="single" w:sz="2" w:space="0" w:color="auto"/>
            </w:tcBorders>
            <w:vAlign w:val="center"/>
          </w:tcPr>
          <w:p w14:paraId="49F3A99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23BE74C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C93BFF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B38BC0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A931D9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8E2B55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6C52DC9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41E6340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71" w:type="dxa"/>
            <w:tcBorders>
              <w:top w:val="single" w:sz="2" w:space="0" w:color="auto"/>
              <w:left w:val="single" w:sz="2" w:space="0" w:color="auto"/>
              <w:bottom w:val="single" w:sz="2" w:space="0" w:color="auto"/>
              <w:right w:val="single" w:sz="2" w:space="0" w:color="auto"/>
            </w:tcBorders>
            <w:vAlign w:val="center"/>
          </w:tcPr>
          <w:p w14:paraId="3765AA0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5239D4E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FAA228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83" w:type="dxa"/>
            <w:tcBorders>
              <w:top w:val="single" w:sz="2" w:space="0" w:color="auto"/>
              <w:left w:val="single" w:sz="2" w:space="0" w:color="auto"/>
              <w:bottom w:val="single" w:sz="2" w:space="0" w:color="auto"/>
              <w:right w:val="single" w:sz="2" w:space="0" w:color="auto"/>
            </w:tcBorders>
            <w:vAlign w:val="center"/>
          </w:tcPr>
          <w:p w14:paraId="0CFC3346"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4B1EC4" w:rsidRPr="005A284F" w14:paraId="1E7D0659" w14:textId="77777777" w:rsidTr="004B1EC4">
        <w:trPr>
          <w:gridAfter w:val="1"/>
          <w:wAfter w:w="7" w:type="dxa"/>
          <w:trHeight w:val="239"/>
          <w:jc w:val="center"/>
        </w:trPr>
        <w:tc>
          <w:tcPr>
            <w:tcW w:w="1081" w:type="dxa"/>
            <w:tcBorders>
              <w:top w:val="single" w:sz="2" w:space="0" w:color="auto"/>
              <w:left w:val="single" w:sz="2" w:space="0" w:color="auto"/>
              <w:bottom w:val="single" w:sz="2" w:space="0" w:color="auto"/>
              <w:right w:val="single" w:sz="2" w:space="0" w:color="auto"/>
            </w:tcBorders>
            <w:shd w:val="clear" w:color="auto" w:fill="D3D3D3"/>
            <w:vAlign w:val="center"/>
          </w:tcPr>
          <w:p w14:paraId="53A399BF"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．对所有者（或股东）的分配</w:t>
            </w:r>
          </w:p>
        </w:tc>
        <w:tc>
          <w:tcPr>
            <w:tcW w:w="1418" w:type="dxa"/>
            <w:tcBorders>
              <w:top w:val="single" w:sz="2" w:space="0" w:color="auto"/>
              <w:left w:val="single" w:sz="2" w:space="0" w:color="auto"/>
              <w:bottom w:val="single" w:sz="2" w:space="0" w:color="auto"/>
              <w:right w:val="single" w:sz="2" w:space="0" w:color="auto"/>
            </w:tcBorders>
            <w:vAlign w:val="center"/>
          </w:tcPr>
          <w:p w14:paraId="464E197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3D33C55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626960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155D12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445736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768ECA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F4C231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16EA90A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71" w:type="dxa"/>
            <w:tcBorders>
              <w:top w:val="single" w:sz="2" w:space="0" w:color="auto"/>
              <w:left w:val="single" w:sz="2" w:space="0" w:color="auto"/>
              <w:bottom w:val="single" w:sz="2" w:space="0" w:color="auto"/>
              <w:right w:val="single" w:sz="2" w:space="0" w:color="auto"/>
            </w:tcBorders>
            <w:vAlign w:val="center"/>
          </w:tcPr>
          <w:p w14:paraId="3FBB4C9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0F75865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AAE558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83" w:type="dxa"/>
            <w:tcBorders>
              <w:top w:val="single" w:sz="2" w:space="0" w:color="auto"/>
              <w:left w:val="single" w:sz="2" w:space="0" w:color="auto"/>
              <w:bottom w:val="single" w:sz="2" w:space="0" w:color="auto"/>
              <w:right w:val="single" w:sz="2" w:space="0" w:color="auto"/>
            </w:tcBorders>
            <w:vAlign w:val="center"/>
          </w:tcPr>
          <w:p w14:paraId="7D14B552"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4B1EC4" w:rsidRPr="005A284F" w14:paraId="53034067" w14:textId="77777777" w:rsidTr="004B1EC4">
        <w:trPr>
          <w:gridAfter w:val="1"/>
          <w:wAfter w:w="7" w:type="dxa"/>
          <w:trHeight w:val="239"/>
          <w:jc w:val="center"/>
        </w:trPr>
        <w:tc>
          <w:tcPr>
            <w:tcW w:w="1081" w:type="dxa"/>
            <w:tcBorders>
              <w:top w:val="single" w:sz="2" w:space="0" w:color="auto"/>
              <w:left w:val="single" w:sz="2" w:space="0" w:color="auto"/>
              <w:bottom w:val="single" w:sz="2" w:space="0" w:color="auto"/>
              <w:right w:val="single" w:sz="2" w:space="0" w:color="auto"/>
            </w:tcBorders>
            <w:shd w:val="clear" w:color="auto" w:fill="D3D3D3"/>
            <w:vAlign w:val="center"/>
          </w:tcPr>
          <w:p w14:paraId="3D694C0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3</w:t>
            </w:r>
            <w:r w:rsidRPr="005A284F">
              <w:rPr>
                <w:rFonts w:ascii="Times New Roman" w:eastAsia="宋体" w:hAnsi="Times New Roman" w:cs="Times New Roman"/>
                <w:sz w:val="18"/>
                <w:szCs w:val="18"/>
              </w:rPr>
              <w:t>．其他</w:t>
            </w:r>
          </w:p>
        </w:tc>
        <w:tc>
          <w:tcPr>
            <w:tcW w:w="1418" w:type="dxa"/>
            <w:tcBorders>
              <w:top w:val="single" w:sz="2" w:space="0" w:color="auto"/>
              <w:left w:val="single" w:sz="2" w:space="0" w:color="auto"/>
              <w:bottom w:val="single" w:sz="2" w:space="0" w:color="auto"/>
              <w:right w:val="single" w:sz="2" w:space="0" w:color="auto"/>
            </w:tcBorders>
            <w:vAlign w:val="center"/>
          </w:tcPr>
          <w:p w14:paraId="0B96EEF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3859DFE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AEEA16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FB24D5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564D347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AE2350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03196D8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018B334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71" w:type="dxa"/>
            <w:tcBorders>
              <w:top w:val="single" w:sz="2" w:space="0" w:color="auto"/>
              <w:left w:val="single" w:sz="2" w:space="0" w:color="auto"/>
              <w:bottom w:val="single" w:sz="2" w:space="0" w:color="auto"/>
              <w:right w:val="single" w:sz="2" w:space="0" w:color="auto"/>
            </w:tcBorders>
            <w:vAlign w:val="center"/>
          </w:tcPr>
          <w:p w14:paraId="543BDC5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17814F3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6C7E41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83" w:type="dxa"/>
            <w:tcBorders>
              <w:top w:val="single" w:sz="2" w:space="0" w:color="auto"/>
              <w:left w:val="single" w:sz="2" w:space="0" w:color="auto"/>
              <w:bottom w:val="single" w:sz="2" w:space="0" w:color="auto"/>
              <w:right w:val="single" w:sz="2" w:space="0" w:color="auto"/>
            </w:tcBorders>
            <w:vAlign w:val="center"/>
          </w:tcPr>
          <w:p w14:paraId="4D871A28"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4B1EC4" w:rsidRPr="005A284F" w14:paraId="431B6DCC" w14:textId="77777777" w:rsidTr="004B1EC4">
        <w:trPr>
          <w:gridAfter w:val="1"/>
          <w:wAfter w:w="7" w:type="dxa"/>
          <w:trHeight w:val="239"/>
          <w:jc w:val="center"/>
        </w:trPr>
        <w:tc>
          <w:tcPr>
            <w:tcW w:w="1081" w:type="dxa"/>
            <w:tcBorders>
              <w:top w:val="single" w:sz="2" w:space="0" w:color="auto"/>
              <w:left w:val="single" w:sz="2" w:space="0" w:color="auto"/>
              <w:bottom w:val="single" w:sz="2" w:space="0" w:color="auto"/>
              <w:right w:val="single" w:sz="2" w:space="0" w:color="auto"/>
            </w:tcBorders>
            <w:shd w:val="clear" w:color="auto" w:fill="D3D3D3"/>
            <w:vAlign w:val="center"/>
          </w:tcPr>
          <w:p w14:paraId="3ECAA162"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（四）所有者权益内部结转</w:t>
            </w:r>
          </w:p>
        </w:tc>
        <w:tc>
          <w:tcPr>
            <w:tcW w:w="1418" w:type="dxa"/>
            <w:tcBorders>
              <w:top w:val="single" w:sz="2" w:space="0" w:color="auto"/>
              <w:left w:val="single" w:sz="2" w:space="0" w:color="auto"/>
              <w:bottom w:val="single" w:sz="2" w:space="0" w:color="auto"/>
              <w:right w:val="single" w:sz="2" w:space="0" w:color="auto"/>
            </w:tcBorders>
            <w:vAlign w:val="center"/>
          </w:tcPr>
          <w:p w14:paraId="7E9E110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10FF3C7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AC05B4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079B04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476C10D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7D011A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441266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726C14B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71" w:type="dxa"/>
            <w:tcBorders>
              <w:top w:val="single" w:sz="2" w:space="0" w:color="auto"/>
              <w:left w:val="single" w:sz="2" w:space="0" w:color="auto"/>
              <w:bottom w:val="single" w:sz="2" w:space="0" w:color="auto"/>
              <w:right w:val="single" w:sz="2" w:space="0" w:color="auto"/>
            </w:tcBorders>
            <w:vAlign w:val="center"/>
          </w:tcPr>
          <w:p w14:paraId="37647B2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24D4DDE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1550FDB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83" w:type="dxa"/>
            <w:tcBorders>
              <w:top w:val="single" w:sz="2" w:space="0" w:color="auto"/>
              <w:left w:val="single" w:sz="2" w:space="0" w:color="auto"/>
              <w:bottom w:val="single" w:sz="2" w:space="0" w:color="auto"/>
              <w:right w:val="single" w:sz="2" w:space="0" w:color="auto"/>
            </w:tcBorders>
            <w:vAlign w:val="center"/>
          </w:tcPr>
          <w:p w14:paraId="5F2254C8"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4B1EC4" w:rsidRPr="005A284F" w14:paraId="05E2424A" w14:textId="77777777" w:rsidTr="004B1EC4">
        <w:trPr>
          <w:gridAfter w:val="1"/>
          <w:wAfter w:w="7" w:type="dxa"/>
          <w:trHeight w:val="239"/>
          <w:jc w:val="center"/>
        </w:trPr>
        <w:tc>
          <w:tcPr>
            <w:tcW w:w="1081" w:type="dxa"/>
            <w:tcBorders>
              <w:top w:val="single" w:sz="2" w:space="0" w:color="auto"/>
              <w:left w:val="single" w:sz="2" w:space="0" w:color="auto"/>
              <w:bottom w:val="single" w:sz="2" w:space="0" w:color="auto"/>
              <w:right w:val="single" w:sz="2" w:space="0" w:color="auto"/>
            </w:tcBorders>
            <w:shd w:val="clear" w:color="auto" w:fill="D3D3D3"/>
            <w:vAlign w:val="center"/>
          </w:tcPr>
          <w:p w14:paraId="0E500F97"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．资本公积转增资本（或股本）</w:t>
            </w:r>
          </w:p>
        </w:tc>
        <w:tc>
          <w:tcPr>
            <w:tcW w:w="1418" w:type="dxa"/>
            <w:tcBorders>
              <w:top w:val="single" w:sz="2" w:space="0" w:color="auto"/>
              <w:left w:val="single" w:sz="2" w:space="0" w:color="auto"/>
              <w:bottom w:val="single" w:sz="2" w:space="0" w:color="auto"/>
              <w:right w:val="single" w:sz="2" w:space="0" w:color="auto"/>
            </w:tcBorders>
            <w:vAlign w:val="center"/>
          </w:tcPr>
          <w:p w14:paraId="3072DD9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41AB932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E38A92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EBD947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9F61AC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16D69C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D7FE75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1ED9B0B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71" w:type="dxa"/>
            <w:tcBorders>
              <w:top w:val="single" w:sz="2" w:space="0" w:color="auto"/>
              <w:left w:val="single" w:sz="2" w:space="0" w:color="auto"/>
              <w:bottom w:val="single" w:sz="2" w:space="0" w:color="auto"/>
              <w:right w:val="single" w:sz="2" w:space="0" w:color="auto"/>
            </w:tcBorders>
            <w:vAlign w:val="center"/>
          </w:tcPr>
          <w:p w14:paraId="205E4A3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5C519D4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20BBEA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83" w:type="dxa"/>
            <w:tcBorders>
              <w:top w:val="single" w:sz="2" w:space="0" w:color="auto"/>
              <w:left w:val="single" w:sz="2" w:space="0" w:color="auto"/>
              <w:bottom w:val="single" w:sz="2" w:space="0" w:color="auto"/>
              <w:right w:val="single" w:sz="2" w:space="0" w:color="auto"/>
            </w:tcBorders>
            <w:vAlign w:val="center"/>
          </w:tcPr>
          <w:p w14:paraId="579EE5C9"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4B1EC4" w:rsidRPr="005A284F" w14:paraId="2DC39108" w14:textId="77777777" w:rsidTr="004B1EC4">
        <w:trPr>
          <w:gridAfter w:val="1"/>
          <w:wAfter w:w="7" w:type="dxa"/>
          <w:trHeight w:val="239"/>
          <w:jc w:val="center"/>
        </w:trPr>
        <w:tc>
          <w:tcPr>
            <w:tcW w:w="1081" w:type="dxa"/>
            <w:tcBorders>
              <w:top w:val="single" w:sz="2" w:space="0" w:color="auto"/>
              <w:left w:val="single" w:sz="2" w:space="0" w:color="auto"/>
              <w:bottom w:val="single" w:sz="2" w:space="0" w:color="auto"/>
              <w:right w:val="single" w:sz="2" w:space="0" w:color="auto"/>
            </w:tcBorders>
            <w:shd w:val="clear" w:color="auto" w:fill="D3D3D3"/>
            <w:vAlign w:val="center"/>
          </w:tcPr>
          <w:p w14:paraId="5415C46F"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．盈余公积转增资本（或股本）</w:t>
            </w:r>
          </w:p>
        </w:tc>
        <w:tc>
          <w:tcPr>
            <w:tcW w:w="1418" w:type="dxa"/>
            <w:tcBorders>
              <w:top w:val="single" w:sz="2" w:space="0" w:color="auto"/>
              <w:left w:val="single" w:sz="2" w:space="0" w:color="auto"/>
              <w:bottom w:val="single" w:sz="2" w:space="0" w:color="auto"/>
              <w:right w:val="single" w:sz="2" w:space="0" w:color="auto"/>
            </w:tcBorders>
            <w:vAlign w:val="center"/>
          </w:tcPr>
          <w:p w14:paraId="621DAEF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27CE0F0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722419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83B792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4CA4911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05EB56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C6159E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2DC1C81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71" w:type="dxa"/>
            <w:tcBorders>
              <w:top w:val="single" w:sz="2" w:space="0" w:color="auto"/>
              <w:left w:val="single" w:sz="2" w:space="0" w:color="auto"/>
              <w:bottom w:val="single" w:sz="2" w:space="0" w:color="auto"/>
              <w:right w:val="single" w:sz="2" w:space="0" w:color="auto"/>
            </w:tcBorders>
            <w:vAlign w:val="center"/>
          </w:tcPr>
          <w:p w14:paraId="7E25A21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04C7819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74C2DA1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83" w:type="dxa"/>
            <w:tcBorders>
              <w:top w:val="single" w:sz="2" w:space="0" w:color="auto"/>
              <w:left w:val="single" w:sz="2" w:space="0" w:color="auto"/>
              <w:bottom w:val="single" w:sz="2" w:space="0" w:color="auto"/>
              <w:right w:val="single" w:sz="2" w:space="0" w:color="auto"/>
            </w:tcBorders>
            <w:vAlign w:val="center"/>
          </w:tcPr>
          <w:p w14:paraId="72367215"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4B1EC4" w:rsidRPr="005A284F" w14:paraId="18A487BA" w14:textId="77777777" w:rsidTr="004B1EC4">
        <w:trPr>
          <w:gridAfter w:val="1"/>
          <w:wAfter w:w="7" w:type="dxa"/>
          <w:trHeight w:val="239"/>
          <w:jc w:val="center"/>
        </w:trPr>
        <w:tc>
          <w:tcPr>
            <w:tcW w:w="1081" w:type="dxa"/>
            <w:tcBorders>
              <w:top w:val="single" w:sz="2" w:space="0" w:color="auto"/>
              <w:left w:val="single" w:sz="2" w:space="0" w:color="auto"/>
              <w:bottom w:val="single" w:sz="2" w:space="0" w:color="auto"/>
              <w:right w:val="single" w:sz="2" w:space="0" w:color="auto"/>
            </w:tcBorders>
            <w:shd w:val="clear" w:color="auto" w:fill="D3D3D3"/>
            <w:vAlign w:val="center"/>
          </w:tcPr>
          <w:p w14:paraId="429FAE0E"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．盈余公积弥补亏损</w:t>
            </w:r>
          </w:p>
        </w:tc>
        <w:tc>
          <w:tcPr>
            <w:tcW w:w="1418" w:type="dxa"/>
            <w:tcBorders>
              <w:top w:val="single" w:sz="2" w:space="0" w:color="auto"/>
              <w:left w:val="single" w:sz="2" w:space="0" w:color="auto"/>
              <w:bottom w:val="single" w:sz="2" w:space="0" w:color="auto"/>
              <w:right w:val="single" w:sz="2" w:space="0" w:color="auto"/>
            </w:tcBorders>
            <w:vAlign w:val="center"/>
          </w:tcPr>
          <w:p w14:paraId="02E53A3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2EF7DFE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65534B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DD3A61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B96E1D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663FFF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55FFD4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E835B8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71" w:type="dxa"/>
            <w:tcBorders>
              <w:top w:val="single" w:sz="2" w:space="0" w:color="auto"/>
              <w:left w:val="single" w:sz="2" w:space="0" w:color="auto"/>
              <w:bottom w:val="single" w:sz="2" w:space="0" w:color="auto"/>
              <w:right w:val="single" w:sz="2" w:space="0" w:color="auto"/>
            </w:tcBorders>
            <w:vAlign w:val="center"/>
          </w:tcPr>
          <w:p w14:paraId="405A939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6DDC1FE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30C1C9C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83" w:type="dxa"/>
            <w:tcBorders>
              <w:top w:val="single" w:sz="2" w:space="0" w:color="auto"/>
              <w:left w:val="single" w:sz="2" w:space="0" w:color="auto"/>
              <w:bottom w:val="single" w:sz="2" w:space="0" w:color="auto"/>
              <w:right w:val="single" w:sz="2" w:space="0" w:color="auto"/>
            </w:tcBorders>
            <w:vAlign w:val="center"/>
          </w:tcPr>
          <w:p w14:paraId="15668261"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4B1EC4" w:rsidRPr="005A284F" w14:paraId="70DB69F7" w14:textId="77777777" w:rsidTr="004B1EC4">
        <w:trPr>
          <w:gridAfter w:val="1"/>
          <w:wAfter w:w="7" w:type="dxa"/>
          <w:trHeight w:val="239"/>
          <w:jc w:val="center"/>
        </w:trPr>
        <w:tc>
          <w:tcPr>
            <w:tcW w:w="1081" w:type="dxa"/>
            <w:tcBorders>
              <w:top w:val="single" w:sz="2" w:space="0" w:color="auto"/>
              <w:left w:val="single" w:sz="2" w:space="0" w:color="auto"/>
              <w:bottom w:val="single" w:sz="2" w:space="0" w:color="auto"/>
              <w:right w:val="single" w:sz="2" w:space="0" w:color="auto"/>
            </w:tcBorders>
            <w:shd w:val="clear" w:color="auto" w:fill="D3D3D3"/>
            <w:vAlign w:val="center"/>
          </w:tcPr>
          <w:p w14:paraId="7AF79ECB"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．设定受益计划变动额结转留存收益</w:t>
            </w:r>
          </w:p>
        </w:tc>
        <w:tc>
          <w:tcPr>
            <w:tcW w:w="1418" w:type="dxa"/>
            <w:tcBorders>
              <w:top w:val="single" w:sz="2" w:space="0" w:color="auto"/>
              <w:left w:val="single" w:sz="2" w:space="0" w:color="auto"/>
              <w:bottom w:val="single" w:sz="2" w:space="0" w:color="auto"/>
              <w:right w:val="single" w:sz="2" w:space="0" w:color="auto"/>
            </w:tcBorders>
            <w:vAlign w:val="center"/>
          </w:tcPr>
          <w:p w14:paraId="0893C2B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27A2A33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55BD3D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EDB942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58D0B32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976B8F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AA2999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0AEC43F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71" w:type="dxa"/>
            <w:tcBorders>
              <w:top w:val="single" w:sz="2" w:space="0" w:color="auto"/>
              <w:left w:val="single" w:sz="2" w:space="0" w:color="auto"/>
              <w:bottom w:val="single" w:sz="2" w:space="0" w:color="auto"/>
              <w:right w:val="single" w:sz="2" w:space="0" w:color="auto"/>
            </w:tcBorders>
            <w:vAlign w:val="center"/>
          </w:tcPr>
          <w:p w14:paraId="24F79D4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4A59FBD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791E7C4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83" w:type="dxa"/>
            <w:tcBorders>
              <w:top w:val="single" w:sz="2" w:space="0" w:color="auto"/>
              <w:left w:val="single" w:sz="2" w:space="0" w:color="auto"/>
              <w:bottom w:val="single" w:sz="2" w:space="0" w:color="auto"/>
              <w:right w:val="single" w:sz="2" w:space="0" w:color="auto"/>
            </w:tcBorders>
            <w:vAlign w:val="center"/>
          </w:tcPr>
          <w:p w14:paraId="2191C912"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4B1EC4" w:rsidRPr="005A284F" w14:paraId="65AFEDD6" w14:textId="77777777" w:rsidTr="004B1EC4">
        <w:trPr>
          <w:gridAfter w:val="1"/>
          <w:wAfter w:w="7" w:type="dxa"/>
          <w:trHeight w:val="239"/>
          <w:jc w:val="center"/>
        </w:trPr>
        <w:tc>
          <w:tcPr>
            <w:tcW w:w="1081" w:type="dxa"/>
            <w:tcBorders>
              <w:top w:val="single" w:sz="2" w:space="0" w:color="auto"/>
              <w:left w:val="single" w:sz="2" w:space="0" w:color="auto"/>
              <w:bottom w:val="single" w:sz="2" w:space="0" w:color="auto"/>
              <w:right w:val="single" w:sz="2" w:space="0" w:color="auto"/>
            </w:tcBorders>
            <w:shd w:val="clear" w:color="auto" w:fill="D3D3D3"/>
            <w:vAlign w:val="center"/>
          </w:tcPr>
          <w:p w14:paraId="2C7D0BF0"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5</w:t>
            </w:r>
            <w:r w:rsidRPr="005A284F">
              <w:rPr>
                <w:rFonts w:ascii="Times New Roman" w:eastAsia="宋体" w:hAnsi="Times New Roman" w:cs="Times New Roman"/>
                <w:sz w:val="18"/>
                <w:szCs w:val="18"/>
              </w:rPr>
              <w:t>．其他综合收益结转留存收益</w:t>
            </w:r>
          </w:p>
        </w:tc>
        <w:tc>
          <w:tcPr>
            <w:tcW w:w="1418" w:type="dxa"/>
            <w:tcBorders>
              <w:top w:val="single" w:sz="2" w:space="0" w:color="auto"/>
              <w:left w:val="single" w:sz="2" w:space="0" w:color="auto"/>
              <w:bottom w:val="single" w:sz="2" w:space="0" w:color="auto"/>
              <w:right w:val="single" w:sz="2" w:space="0" w:color="auto"/>
            </w:tcBorders>
            <w:vAlign w:val="center"/>
          </w:tcPr>
          <w:p w14:paraId="543FBC8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2C310FD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13981C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6354F0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0625397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D1ABBC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65A3E0C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5AF2C6F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71" w:type="dxa"/>
            <w:tcBorders>
              <w:top w:val="single" w:sz="2" w:space="0" w:color="auto"/>
              <w:left w:val="single" w:sz="2" w:space="0" w:color="auto"/>
              <w:bottom w:val="single" w:sz="2" w:space="0" w:color="auto"/>
              <w:right w:val="single" w:sz="2" w:space="0" w:color="auto"/>
            </w:tcBorders>
            <w:vAlign w:val="center"/>
          </w:tcPr>
          <w:p w14:paraId="2EC81D6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4E1C647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3247DD1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83" w:type="dxa"/>
            <w:tcBorders>
              <w:top w:val="single" w:sz="2" w:space="0" w:color="auto"/>
              <w:left w:val="single" w:sz="2" w:space="0" w:color="auto"/>
              <w:bottom w:val="single" w:sz="2" w:space="0" w:color="auto"/>
              <w:right w:val="single" w:sz="2" w:space="0" w:color="auto"/>
            </w:tcBorders>
            <w:vAlign w:val="center"/>
          </w:tcPr>
          <w:p w14:paraId="09FA62E0"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4B1EC4" w:rsidRPr="005A284F" w14:paraId="090378F7" w14:textId="77777777" w:rsidTr="004B1EC4">
        <w:trPr>
          <w:gridAfter w:val="1"/>
          <w:wAfter w:w="7" w:type="dxa"/>
          <w:trHeight w:val="239"/>
          <w:jc w:val="center"/>
        </w:trPr>
        <w:tc>
          <w:tcPr>
            <w:tcW w:w="1081" w:type="dxa"/>
            <w:tcBorders>
              <w:top w:val="single" w:sz="2" w:space="0" w:color="auto"/>
              <w:left w:val="single" w:sz="2" w:space="0" w:color="auto"/>
              <w:bottom w:val="single" w:sz="2" w:space="0" w:color="auto"/>
              <w:right w:val="single" w:sz="2" w:space="0" w:color="auto"/>
            </w:tcBorders>
            <w:shd w:val="clear" w:color="auto" w:fill="D3D3D3"/>
            <w:vAlign w:val="center"/>
          </w:tcPr>
          <w:p w14:paraId="29440901"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6</w:t>
            </w:r>
            <w:r w:rsidRPr="005A284F">
              <w:rPr>
                <w:rFonts w:ascii="Times New Roman" w:eastAsia="宋体" w:hAnsi="Times New Roman" w:cs="Times New Roman"/>
                <w:sz w:val="18"/>
                <w:szCs w:val="18"/>
              </w:rPr>
              <w:t>．其他</w:t>
            </w:r>
          </w:p>
        </w:tc>
        <w:tc>
          <w:tcPr>
            <w:tcW w:w="1418" w:type="dxa"/>
            <w:tcBorders>
              <w:top w:val="single" w:sz="2" w:space="0" w:color="auto"/>
              <w:left w:val="single" w:sz="2" w:space="0" w:color="auto"/>
              <w:bottom w:val="single" w:sz="2" w:space="0" w:color="auto"/>
              <w:right w:val="single" w:sz="2" w:space="0" w:color="auto"/>
            </w:tcBorders>
            <w:vAlign w:val="center"/>
          </w:tcPr>
          <w:p w14:paraId="321A322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32038E6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D7B367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AE5A21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6890A6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261D3E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E0B631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05E5544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71" w:type="dxa"/>
            <w:tcBorders>
              <w:top w:val="single" w:sz="2" w:space="0" w:color="auto"/>
              <w:left w:val="single" w:sz="2" w:space="0" w:color="auto"/>
              <w:bottom w:val="single" w:sz="2" w:space="0" w:color="auto"/>
              <w:right w:val="single" w:sz="2" w:space="0" w:color="auto"/>
            </w:tcBorders>
            <w:vAlign w:val="center"/>
          </w:tcPr>
          <w:p w14:paraId="49DF095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0C76883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3A5409C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83" w:type="dxa"/>
            <w:tcBorders>
              <w:top w:val="single" w:sz="2" w:space="0" w:color="auto"/>
              <w:left w:val="single" w:sz="2" w:space="0" w:color="auto"/>
              <w:bottom w:val="single" w:sz="2" w:space="0" w:color="auto"/>
              <w:right w:val="single" w:sz="2" w:space="0" w:color="auto"/>
            </w:tcBorders>
            <w:vAlign w:val="center"/>
          </w:tcPr>
          <w:p w14:paraId="450918A6"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4B1EC4" w:rsidRPr="005A284F" w14:paraId="69308946" w14:textId="77777777" w:rsidTr="004B1EC4">
        <w:trPr>
          <w:gridAfter w:val="1"/>
          <w:wAfter w:w="7" w:type="dxa"/>
          <w:trHeight w:val="239"/>
          <w:jc w:val="center"/>
        </w:trPr>
        <w:tc>
          <w:tcPr>
            <w:tcW w:w="1081" w:type="dxa"/>
            <w:tcBorders>
              <w:top w:val="single" w:sz="2" w:space="0" w:color="auto"/>
              <w:left w:val="single" w:sz="2" w:space="0" w:color="auto"/>
              <w:bottom w:val="single" w:sz="2" w:space="0" w:color="auto"/>
              <w:right w:val="single" w:sz="2" w:space="0" w:color="auto"/>
            </w:tcBorders>
            <w:shd w:val="clear" w:color="auto" w:fill="D3D3D3"/>
            <w:vAlign w:val="center"/>
          </w:tcPr>
          <w:p w14:paraId="65445B58"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（五）专项储备</w:t>
            </w:r>
          </w:p>
        </w:tc>
        <w:tc>
          <w:tcPr>
            <w:tcW w:w="1418" w:type="dxa"/>
            <w:tcBorders>
              <w:top w:val="single" w:sz="2" w:space="0" w:color="auto"/>
              <w:left w:val="single" w:sz="2" w:space="0" w:color="auto"/>
              <w:bottom w:val="single" w:sz="2" w:space="0" w:color="auto"/>
              <w:right w:val="single" w:sz="2" w:space="0" w:color="auto"/>
            </w:tcBorders>
            <w:vAlign w:val="center"/>
          </w:tcPr>
          <w:p w14:paraId="0A7120F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310AE0C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95DF07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3DF95B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63808BE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5846D7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5467754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200BB80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71" w:type="dxa"/>
            <w:tcBorders>
              <w:top w:val="single" w:sz="2" w:space="0" w:color="auto"/>
              <w:left w:val="single" w:sz="2" w:space="0" w:color="auto"/>
              <w:bottom w:val="single" w:sz="2" w:space="0" w:color="auto"/>
              <w:right w:val="single" w:sz="2" w:space="0" w:color="auto"/>
            </w:tcBorders>
            <w:vAlign w:val="center"/>
          </w:tcPr>
          <w:p w14:paraId="7C9EDE9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75CD699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6457DA7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83" w:type="dxa"/>
            <w:tcBorders>
              <w:top w:val="single" w:sz="2" w:space="0" w:color="auto"/>
              <w:left w:val="single" w:sz="2" w:space="0" w:color="auto"/>
              <w:bottom w:val="single" w:sz="2" w:space="0" w:color="auto"/>
              <w:right w:val="single" w:sz="2" w:space="0" w:color="auto"/>
            </w:tcBorders>
            <w:vAlign w:val="center"/>
          </w:tcPr>
          <w:p w14:paraId="196595CD"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4B1EC4" w:rsidRPr="005A284F" w14:paraId="0954E051" w14:textId="77777777" w:rsidTr="004B1EC4">
        <w:trPr>
          <w:gridAfter w:val="1"/>
          <w:wAfter w:w="7" w:type="dxa"/>
          <w:trHeight w:val="239"/>
          <w:jc w:val="center"/>
        </w:trPr>
        <w:tc>
          <w:tcPr>
            <w:tcW w:w="1081" w:type="dxa"/>
            <w:tcBorders>
              <w:top w:val="single" w:sz="2" w:space="0" w:color="auto"/>
              <w:left w:val="single" w:sz="2" w:space="0" w:color="auto"/>
              <w:bottom w:val="single" w:sz="2" w:space="0" w:color="auto"/>
              <w:right w:val="single" w:sz="2" w:space="0" w:color="auto"/>
            </w:tcBorders>
            <w:shd w:val="clear" w:color="auto" w:fill="D3D3D3"/>
            <w:vAlign w:val="center"/>
          </w:tcPr>
          <w:p w14:paraId="060F3E4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．本期提取</w:t>
            </w:r>
          </w:p>
        </w:tc>
        <w:tc>
          <w:tcPr>
            <w:tcW w:w="1418" w:type="dxa"/>
            <w:tcBorders>
              <w:top w:val="single" w:sz="2" w:space="0" w:color="auto"/>
              <w:left w:val="single" w:sz="2" w:space="0" w:color="auto"/>
              <w:bottom w:val="single" w:sz="2" w:space="0" w:color="auto"/>
              <w:right w:val="single" w:sz="2" w:space="0" w:color="auto"/>
            </w:tcBorders>
            <w:vAlign w:val="center"/>
          </w:tcPr>
          <w:p w14:paraId="11D55A0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40EB7A6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4C3ED0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B68178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35C746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CEAA11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5033752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1224C2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71" w:type="dxa"/>
            <w:tcBorders>
              <w:top w:val="single" w:sz="2" w:space="0" w:color="auto"/>
              <w:left w:val="single" w:sz="2" w:space="0" w:color="auto"/>
              <w:bottom w:val="single" w:sz="2" w:space="0" w:color="auto"/>
              <w:right w:val="single" w:sz="2" w:space="0" w:color="auto"/>
            </w:tcBorders>
            <w:vAlign w:val="center"/>
          </w:tcPr>
          <w:p w14:paraId="7BD179F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2E400EB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6A810ED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83" w:type="dxa"/>
            <w:tcBorders>
              <w:top w:val="single" w:sz="2" w:space="0" w:color="auto"/>
              <w:left w:val="single" w:sz="2" w:space="0" w:color="auto"/>
              <w:bottom w:val="single" w:sz="2" w:space="0" w:color="auto"/>
              <w:right w:val="single" w:sz="2" w:space="0" w:color="auto"/>
            </w:tcBorders>
            <w:vAlign w:val="center"/>
          </w:tcPr>
          <w:p w14:paraId="74234D2E"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4B1EC4" w:rsidRPr="005A284F" w14:paraId="0469E9A1" w14:textId="77777777" w:rsidTr="004B1EC4">
        <w:trPr>
          <w:gridAfter w:val="1"/>
          <w:wAfter w:w="7" w:type="dxa"/>
          <w:trHeight w:val="239"/>
          <w:jc w:val="center"/>
        </w:trPr>
        <w:tc>
          <w:tcPr>
            <w:tcW w:w="1081" w:type="dxa"/>
            <w:tcBorders>
              <w:top w:val="single" w:sz="2" w:space="0" w:color="auto"/>
              <w:left w:val="single" w:sz="2" w:space="0" w:color="auto"/>
              <w:bottom w:val="single" w:sz="2" w:space="0" w:color="auto"/>
              <w:right w:val="single" w:sz="2" w:space="0" w:color="auto"/>
            </w:tcBorders>
            <w:shd w:val="clear" w:color="auto" w:fill="D3D3D3"/>
            <w:vAlign w:val="center"/>
          </w:tcPr>
          <w:p w14:paraId="182E279E"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．本期使用</w:t>
            </w:r>
          </w:p>
        </w:tc>
        <w:tc>
          <w:tcPr>
            <w:tcW w:w="1418" w:type="dxa"/>
            <w:tcBorders>
              <w:top w:val="single" w:sz="2" w:space="0" w:color="auto"/>
              <w:left w:val="single" w:sz="2" w:space="0" w:color="auto"/>
              <w:bottom w:val="single" w:sz="2" w:space="0" w:color="auto"/>
              <w:right w:val="single" w:sz="2" w:space="0" w:color="auto"/>
            </w:tcBorders>
            <w:vAlign w:val="center"/>
          </w:tcPr>
          <w:p w14:paraId="3DB2A7F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09E2D18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D8DDCB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65A730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6FB1BF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A6BF54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AAE2B1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46B8F4D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71" w:type="dxa"/>
            <w:tcBorders>
              <w:top w:val="single" w:sz="2" w:space="0" w:color="auto"/>
              <w:left w:val="single" w:sz="2" w:space="0" w:color="auto"/>
              <w:bottom w:val="single" w:sz="2" w:space="0" w:color="auto"/>
              <w:right w:val="single" w:sz="2" w:space="0" w:color="auto"/>
            </w:tcBorders>
            <w:vAlign w:val="center"/>
          </w:tcPr>
          <w:p w14:paraId="4094C46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263E778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57C826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83" w:type="dxa"/>
            <w:tcBorders>
              <w:top w:val="single" w:sz="2" w:space="0" w:color="auto"/>
              <w:left w:val="single" w:sz="2" w:space="0" w:color="auto"/>
              <w:bottom w:val="single" w:sz="2" w:space="0" w:color="auto"/>
              <w:right w:val="single" w:sz="2" w:space="0" w:color="auto"/>
            </w:tcBorders>
            <w:vAlign w:val="center"/>
          </w:tcPr>
          <w:p w14:paraId="54A2CB9B"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4B1EC4" w:rsidRPr="005A284F" w14:paraId="61FF05FF" w14:textId="77777777" w:rsidTr="004B1EC4">
        <w:trPr>
          <w:gridAfter w:val="1"/>
          <w:wAfter w:w="7" w:type="dxa"/>
          <w:trHeight w:val="239"/>
          <w:jc w:val="center"/>
        </w:trPr>
        <w:tc>
          <w:tcPr>
            <w:tcW w:w="1081" w:type="dxa"/>
            <w:tcBorders>
              <w:top w:val="single" w:sz="2" w:space="0" w:color="auto"/>
              <w:left w:val="single" w:sz="2" w:space="0" w:color="auto"/>
              <w:bottom w:val="single" w:sz="2" w:space="0" w:color="auto"/>
              <w:right w:val="single" w:sz="2" w:space="0" w:color="auto"/>
            </w:tcBorders>
            <w:shd w:val="clear" w:color="auto" w:fill="D3D3D3"/>
            <w:vAlign w:val="center"/>
          </w:tcPr>
          <w:p w14:paraId="6E3483AD"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（六）其他</w:t>
            </w:r>
          </w:p>
        </w:tc>
        <w:tc>
          <w:tcPr>
            <w:tcW w:w="1418" w:type="dxa"/>
            <w:tcBorders>
              <w:top w:val="single" w:sz="2" w:space="0" w:color="auto"/>
              <w:left w:val="single" w:sz="2" w:space="0" w:color="auto"/>
              <w:bottom w:val="single" w:sz="2" w:space="0" w:color="auto"/>
              <w:right w:val="single" w:sz="2" w:space="0" w:color="auto"/>
            </w:tcBorders>
            <w:vAlign w:val="center"/>
          </w:tcPr>
          <w:p w14:paraId="6FAC7AE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46F4083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AED3D5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A5808E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E596F6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813060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5CDB04F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59599FE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571" w:type="dxa"/>
            <w:tcBorders>
              <w:top w:val="single" w:sz="2" w:space="0" w:color="auto"/>
              <w:left w:val="single" w:sz="2" w:space="0" w:color="auto"/>
              <w:bottom w:val="single" w:sz="2" w:space="0" w:color="auto"/>
              <w:right w:val="single" w:sz="2" w:space="0" w:color="auto"/>
            </w:tcBorders>
            <w:vAlign w:val="center"/>
          </w:tcPr>
          <w:p w14:paraId="5E58B25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64" w:type="dxa"/>
            <w:tcBorders>
              <w:top w:val="single" w:sz="2" w:space="0" w:color="auto"/>
              <w:left w:val="single" w:sz="2" w:space="0" w:color="auto"/>
              <w:bottom w:val="single" w:sz="2" w:space="0" w:color="auto"/>
              <w:right w:val="single" w:sz="2" w:space="0" w:color="auto"/>
            </w:tcBorders>
            <w:vAlign w:val="center"/>
          </w:tcPr>
          <w:p w14:paraId="0BBEA7B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C3612B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83" w:type="dxa"/>
            <w:tcBorders>
              <w:top w:val="single" w:sz="2" w:space="0" w:color="auto"/>
              <w:left w:val="single" w:sz="2" w:space="0" w:color="auto"/>
              <w:bottom w:val="single" w:sz="2" w:space="0" w:color="auto"/>
              <w:right w:val="single" w:sz="2" w:space="0" w:color="auto"/>
            </w:tcBorders>
            <w:vAlign w:val="center"/>
          </w:tcPr>
          <w:p w14:paraId="3177F501"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4B1EC4" w:rsidRPr="005A284F" w14:paraId="724E8D26" w14:textId="77777777" w:rsidTr="004B1EC4">
        <w:trPr>
          <w:gridAfter w:val="1"/>
          <w:wAfter w:w="7" w:type="dxa"/>
          <w:trHeight w:val="239"/>
          <w:jc w:val="center"/>
        </w:trPr>
        <w:tc>
          <w:tcPr>
            <w:tcW w:w="1081" w:type="dxa"/>
            <w:tcBorders>
              <w:top w:val="single" w:sz="2" w:space="0" w:color="auto"/>
              <w:left w:val="single" w:sz="2" w:space="0" w:color="auto"/>
              <w:bottom w:val="single" w:sz="2" w:space="0" w:color="auto"/>
              <w:right w:val="single" w:sz="2" w:space="0" w:color="auto"/>
            </w:tcBorders>
            <w:shd w:val="clear" w:color="auto" w:fill="D3D3D3"/>
            <w:vAlign w:val="center"/>
          </w:tcPr>
          <w:p w14:paraId="0F95F14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四、本期期末余额</w:t>
            </w:r>
          </w:p>
        </w:tc>
        <w:tc>
          <w:tcPr>
            <w:tcW w:w="1418" w:type="dxa"/>
            <w:tcBorders>
              <w:top w:val="single" w:sz="2" w:space="0" w:color="auto"/>
              <w:left w:val="single" w:sz="2" w:space="0" w:color="auto"/>
              <w:bottom w:val="single" w:sz="2" w:space="0" w:color="auto"/>
              <w:right w:val="single" w:sz="2" w:space="0" w:color="auto"/>
            </w:tcBorders>
            <w:vAlign w:val="center"/>
          </w:tcPr>
          <w:p w14:paraId="06565BB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1,079,159,939.00</w:t>
            </w:r>
          </w:p>
        </w:tc>
        <w:tc>
          <w:tcPr>
            <w:tcW w:w="992" w:type="dxa"/>
            <w:tcBorders>
              <w:top w:val="single" w:sz="2" w:space="0" w:color="auto"/>
              <w:left w:val="single" w:sz="2" w:space="0" w:color="auto"/>
              <w:bottom w:val="single" w:sz="2" w:space="0" w:color="auto"/>
              <w:right w:val="single" w:sz="2" w:space="0" w:color="auto"/>
            </w:tcBorders>
            <w:vAlign w:val="center"/>
          </w:tcPr>
          <w:p w14:paraId="3A08EE9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03B60DC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417" w:type="dxa"/>
            <w:tcBorders>
              <w:top w:val="single" w:sz="2" w:space="0" w:color="auto"/>
              <w:left w:val="single" w:sz="2" w:space="0" w:color="auto"/>
              <w:bottom w:val="single" w:sz="2" w:space="0" w:color="auto"/>
              <w:right w:val="single" w:sz="2" w:space="0" w:color="auto"/>
            </w:tcBorders>
            <w:vAlign w:val="center"/>
          </w:tcPr>
          <w:p w14:paraId="7A3AFC2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171,570,700.63</w:t>
            </w:r>
          </w:p>
        </w:tc>
        <w:tc>
          <w:tcPr>
            <w:tcW w:w="1418" w:type="dxa"/>
            <w:tcBorders>
              <w:top w:val="single" w:sz="2" w:space="0" w:color="auto"/>
              <w:left w:val="single" w:sz="2" w:space="0" w:color="auto"/>
              <w:bottom w:val="single" w:sz="2" w:space="0" w:color="auto"/>
              <w:right w:val="single" w:sz="2" w:space="0" w:color="auto"/>
            </w:tcBorders>
            <w:vAlign w:val="center"/>
          </w:tcPr>
          <w:p w14:paraId="43E8703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830,436,630.97</w:t>
            </w:r>
          </w:p>
        </w:tc>
        <w:tc>
          <w:tcPr>
            <w:tcW w:w="1417" w:type="dxa"/>
            <w:tcBorders>
              <w:top w:val="single" w:sz="2" w:space="0" w:color="auto"/>
              <w:left w:val="single" w:sz="2" w:space="0" w:color="auto"/>
              <w:bottom w:val="single" w:sz="2" w:space="0" w:color="auto"/>
              <w:right w:val="single" w:sz="2" w:space="0" w:color="auto"/>
            </w:tcBorders>
            <w:vAlign w:val="center"/>
          </w:tcPr>
          <w:p w14:paraId="47258DD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330,025,083.29</w:t>
            </w:r>
          </w:p>
        </w:tc>
        <w:tc>
          <w:tcPr>
            <w:tcW w:w="1418" w:type="dxa"/>
            <w:tcBorders>
              <w:top w:val="single" w:sz="2" w:space="0" w:color="auto"/>
              <w:left w:val="single" w:sz="2" w:space="0" w:color="auto"/>
              <w:bottom w:val="single" w:sz="2" w:space="0" w:color="auto"/>
              <w:right w:val="single" w:sz="2" w:space="0" w:color="auto"/>
            </w:tcBorders>
            <w:vAlign w:val="center"/>
          </w:tcPr>
          <w:p w14:paraId="06BEB91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-12,100,000.00</w:t>
            </w:r>
          </w:p>
        </w:tc>
        <w:tc>
          <w:tcPr>
            <w:tcW w:w="850" w:type="dxa"/>
            <w:tcBorders>
              <w:top w:val="single" w:sz="2" w:space="0" w:color="auto"/>
              <w:left w:val="single" w:sz="2" w:space="0" w:color="auto"/>
              <w:bottom w:val="single" w:sz="2" w:space="0" w:color="auto"/>
              <w:right w:val="single" w:sz="2" w:space="0" w:color="auto"/>
            </w:tcBorders>
            <w:vAlign w:val="center"/>
          </w:tcPr>
          <w:p w14:paraId="5DCE536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571" w:type="dxa"/>
            <w:tcBorders>
              <w:top w:val="single" w:sz="2" w:space="0" w:color="auto"/>
              <w:left w:val="single" w:sz="2" w:space="0" w:color="auto"/>
              <w:bottom w:val="single" w:sz="2" w:space="0" w:color="auto"/>
              <w:right w:val="single" w:sz="2" w:space="0" w:color="auto"/>
            </w:tcBorders>
            <w:vAlign w:val="center"/>
          </w:tcPr>
          <w:p w14:paraId="4F61B5C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263,717,929.16</w:t>
            </w:r>
          </w:p>
        </w:tc>
        <w:tc>
          <w:tcPr>
            <w:tcW w:w="1264" w:type="dxa"/>
            <w:tcBorders>
              <w:top w:val="single" w:sz="2" w:space="0" w:color="auto"/>
              <w:left w:val="single" w:sz="2" w:space="0" w:color="auto"/>
              <w:bottom w:val="single" w:sz="2" w:space="0" w:color="auto"/>
              <w:right w:val="single" w:sz="2" w:space="0" w:color="auto"/>
            </w:tcBorders>
            <w:vAlign w:val="center"/>
          </w:tcPr>
          <w:p w14:paraId="7286C78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-796,208,849.57</w:t>
            </w:r>
          </w:p>
        </w:tc>
        <w:tc>
          <w:tcPr>
            <w:tcW w:w="567" w:type="dxa"/>
            <w:tcBorders>
              <w:top w:val="single" w:sz="2" w:space="0" w:color="auto"/>
              <w:left w:val="single" w:sz="2" w:space="0" w:color="auto"/>
              <w:bottom w:val="single" w:sz="2" w:space="0" w:color="auto"/>
              <w:right w:val="single" w:sz="2" w:space="0" w:color="auto"/>
            </w:tcBorders>
            <w:vAlign w:val="center"/>
          </w:tcPr>
          <w:p w14:paraId="37A1E0D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83" w:type="dxa"/>
            <w:tcBorders>
              <w:top w:val="single" w:sz="2" w:space="0" w:color="auto"/>
              <w:left w:val="single" w:sz="2" w:space="0" w:color="auto"/>
              <w:bottom w:val="single" w:sz="2" w:space="0" w:color="auto"/>
              <w:right w:val="single" w:sz="2" w:space="0" w:color="auto"/>
            </w:tcBorders>
            <w:vAlign w:val="center"/>
          </w:tcPr>
          <w:p w14:paraId="583B343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1,206,551,266.90</w:t>
            </w:r>
          </w:p>
        </w:tc>
      </w:tr>
    </w:tbl>
    <w:p w14:paraId="204FE6AA" w14:textId="77777777" w:rsidR="00634AA8" w:rsidRDefault="00634AA8">
      <w:pPr>
        <w:pStyle w:val="2"/>
        <w:spacing w:before="300" w:after="300" w:line="320" w:lineRule="exact"/>
        <w:rPr>
          <w:rFonts w:ascii="Times New Roman" w:eastAsia="宋体" w:hAnsi="Times New Roman" w:cs="Times New Roman"/>
          <w:b/>
          <w:bCs/>
          <w:sz w:val="24"/>
          <w:szCs w:val="24"/>
        </w:rPr>
        <w:sectPr w:rsidR="00634AA8" w:rsidSect="00634AA8">
          <w:pgSz w:w="16840" w:h="11905" w:orient="landscape"/>
          <w:pgMar w:top="1134" w:right="1440" w:bottom="1134" w:left="1440" w:header="850" w:footer="992" w:gutter="0"/>
          <w:cols w:space="720"/>
          <w:docGrid w:type="linesAndChars" w:linePitch="312"/>
        </w:sectPr>
      </w:pPr>
      <w:bookmarkStart w:id="110" w:name="_Toc988999"/>
    </w:p>
    <w:p w14:paraId="4A89D7FA"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r w:rsidRPr="005A284F">
        <w:rPr>
          <w:rFonts w:ascii="Times New Roman" w:eastAsia="宋体" w:hAnsi="Times New Roman" w:cs="Times New Roman"/>
          <w:b/>
          <w:bCs/>
          <w:sz w:val="24"/>
          <w:szCs w:val="24"/>
        </w:rPr>
        <w:lastRenderedPageBreak/>
        <w:t>三、公司基本情况</w:t>
      </w:r>
      <w:bookmarkEnd w:id="110"/>
    </w:p>
    <w:p w14:paraId="252F5E53" w14:textId="77777777" w:rsidR="000309B5" w:rsidRPr="005A284F" w:rsidRDefault="00000000" w:rsidP="004B1EC4">
      <w:pPr>
        <w:pStyle w:val="a3"/>
        <w:spacing w:before="0" w:beforeAutospacing="0" w:after="0" w:afterAutospacing="0" w:line="276" w:lineRule="auto"/>
        <w:ind w:firstLineChars="200" w:firstLine="360"/>
        <w:jc w:val="both"/>
        <w:divId w:val="1652635978"/>
        <w:rPr>
          <w:rFonts w:ascii="Times New Roman" w:hAnsi="Times New Roman" w:cs="Times New Roman"/>
        </w:rPr>
      </w:pPr>
      <w:r w:rsidRPr="005A284F">
        <w:rPr>
          <w:rFonts w:ascii="Times New Roman" w:hAnsi="Times New Roman" w:cs="Times New Roman"/>
          <w:sz w:val="18"/>
          <w:szCs w:val="18"/>
        </w:rPr>
        <w:t>山东龙大美食股份有限公司（以下简称</w:t>
      </w:r>
      <w:r w:rsidRPr="005A284F">
        <w:rPr>
          <w:rFonts w:ascii="Times New Roman" w:hAnsi="Times New Roman" w:cs="Times New Roman"/>
          <w:sz w:val="18"/>
          <w:szCs w:val="18"/>
        </w:rPr>
        <w:t>“</w:t>
      </w:r>
      <w:r w:rsidRPr="005A284F">
        <w:rPr>
          <w:rFonts w:ascii="Times New Roman" w:hAnsi="Times New Roman" w:cs="Times New Roman"/>
          <w:sz w:val="18"/>
          <w:szCs w:val="18"/>
        </w:rPr>
        <w:t>本公司</w:t>
      </w:r>
      <w:r w:rsidRPr="005A284F">
        <w:rPr>
          <w:rFonts w:ascii="Times New Roman" w:hAnsi="Times New Roman" w:cs="Times New Roman"/>
          <w:sz w:val="18"/>
          <w:szCs w:val="18"/>
        </w:rPr>
        <w:t>”</w:t>
      </w:r>
      <w:r w:rsidRPr="005A284F">
        <w:rPr>
          <w:rFonts w:ascii="Times New Roman" w:hAnsi="Times New Roman" w:cs="Times New Roman"/>
          <w:sz w:val="18"/>
          <w:szCs w:val="18"/>
        </w:rPr>
        <w:t>或</w:t>
      </w:r>
      <w:r w:rsidRPr="005A284F">
        <w:rPr>
          <w:rFonts w:ascii="Times New Roman" w:hAnsi="Times New Roman" w:cs="Times New Roman"/>
          <w:sz w:val="18"/>
          <w:szCs w:val="18"/>
        </w:rPr>
        <w:t>“</w:t>
      </w:r>
      <w:r w:rsidRPr="005A284F">
        <w:rPr>
          <w:rFonts w:ascii="Times New Roman" w:hAnsi="Times New Roman" w:cs="Times New Roman"/>
          <w:sz w:val="18"/>
          <w:szCs w:val="18"/>
        </w:rPr>
        <w:t>公司</w:t>
      </w:r>
      <w:r w:rsidRPr="005A284F">
        <w:rPr>
          <w:rFonts w:ascii="Times New Roman" w:hAnsi="Times New Roman" w:cs="Times New Roman"/>
          <w:sz w:val="18"/>
          <w:szCs w:val="18"/>
        </w:rPr>
        <w:t>”</w:t>
      </w:r>
      <w:r w:rsidRPr="005A284F">
        <w:rPr>
          <w:rFonts w:ascii="Times New Roman" w:hAnsi="Times New Roman" w:cs="Times New Roman"/>
          <w:sz w:val="18"/>
          <w:szCs w:val="18"/>
        </w:rPr>
        <w:t>）为境内公开发行</w:t>
      </w:r>
      <w:r w:rsidRPr="005A284F">
        <w:rPr>
          <w:rFonts w:ascii="Times New Roman" w:hAnsi="Times New Roman" w:cs="Times New Roman"/>
          <w:sz w:val="18"/>
          <w:szCs w:val="18"/>
        </w:rPr>
        <w:t>A</w:t>
      </w:r>
      <w:r w:rsidRPr="005A284F">
        <w:rPr>
          <w:rFonts w:ascii="Times New Roman" w:hAnsi="Times New Roman" w:cs="Times New Roman"/>
          <w:sz w:val="18"/>
          <w:szCs w:val="18"/>
        </w:rPr>
        <w:t>股并在深圳证券交易所上市的股份有限公司。本公司于</w:t>
      </w:r>
      <w:r w:rsidRPr="005A284F">
        <w:rPr>
          <w:rFonts w:ascii="Times New Roman" w:hAnsi="Times New Roman" w:cs="Times New Roman"/>
          <w:sz w:val="18"/>
          <w:szCs w:val="18"/>
        </w:rPr>
        <w:t>2003</w:t>
      </w:r>
      <w:r w:rsidRPr="005A284F">
        <w:rPr>
          <w:rFonts w:ascii="Times New Roman" w:hAnsi="Times New Roman" w:cs="Times New Roman"/>
          <w:sz w:val="18"/>
          <w:szCs w:val="18"/>
        </w:rPr>
        <w:t>年</w:t>
      </w:r>
      <w:r w:rsidRPr="005A284F">
        <w:rPr>
          <w:rFonts w:ascii="Times New Roman" w:hAnsi="Times New Roman" w:cs="Times New Roman"/>
          <w:sz w:val="18"/>
          <w:szCs w:val="18"/>
        </w:rPr>
        <w:t>7</w:t>
      </w:r>
      <w:r w:rsidRPr="005A284F">
        <w:rPr>
          <w:rFonts w:ascii="Times New Roman" w:hAnsi="Times New Roman" w:cs="Times New Roman"/>
          <w:sz w:val="18"/>
          <w:szCs w:val="18"/>
        </w:rPr>
        <w:t>月在山东省莱阳市食品工业园注册成立。总部位于山东省莱阳市龙门东路</w:t>
      </w:r>
      <w:r w:rsidRPr="005A284F">
        <w:rPr>
          <w:rFonts w:ascii="Times New Roman" w:hAnsi="Times New Roman" w:cs="Times New Roman"/>
          <w:sz w:val="18"/>
          <w:szCs w:val="18"/>
        </w:rPr>
        <w:t>99</w:t>
      </w:r>
      <w:r w:rsidRPr="005A284F">
        <w:rPr>
          <w:rFonts w:ascii="Times New Roman" w:hAnsi="Times New Roman" w:cs="Times New Roman"/>
          <w:sz w:val="18"/>
          <w:szCs w:val="18"/>
        </w:rPr>
        <w:t>号。</w:t>
      </w:r>
    </w:p>
    <w:p w14:paraId="25425B17" w14:textId="77777777" w:rsidR="000309B5" w:rsidRPr="005A284F" w:rsidRDefault="00000000" w:rsidP="004B1EC4">
      <w:pPr>
        <w:pStyle w:val="a3"/>
        <w:spacing w:before="0" w:beforeAutospacing="0" w:after="0" w:afterAutospacing="0" w:line="276" w:lineRule="auto"/>
        <w:ind w:firstLineChars="200" w:firstLine="360"/>
        <w:jc w:val="both"/>
        <w:divId w:val="1652635978"/>
        <w:rPr>
          <w:rFonts w:ascii="Times New Roman" w:hAnsi="Times New Roman" w:cs="Times New Roman"/>
        </w:rPr>
      </w:pPr>
      <w:r w:rsidRPr="005A284F">
        <w:rPr>
          <w:rFonts w:ascii="Times New Roman" w:hAnsi="Times New Roman" w:cs="Times New Roman"/>
          <w:sz w:val="18"/>
          <w:szCs w:val="18"/>
        </w:rPr>
        <w:t>本公司及各子公司（统称</w:t>
      </w:r>
      <w:r w:rsidRPr="005A284F">
        <w:rPr>
          <w:rFonts w:ascii="Times New Roman" w:hAnsi="Times New Roman" w:cs="Times New Roman"/>
          <w:sz w:val="18"/>
          <w:szCs w:val="18"/>
        </w:rPr>
        <w:t>“</w:t>
      </w:r>
      <w:r w:rsidRPr="005A284F">
        <w:rPr>
          <w:rFonts w:ascii="Times New Roman" w:hAnsi="Times New Roman" w:cs="Times New Roman"/>
          <w:sz w:val="18"/>
          <w:szCs w:val="18"/>
        </w:rPr>
        <w:t>本集团</w:t>
      </w:r>
      <w:r w:rsidRPr="005A284F">
        <w:rPr>
          <w:rFonts w:ascii="Times New Roman" w:hAnsi="Times New Roman" w:cs="Times New Roman"/>
          <w:sz w:val="18"/>
          <w:szCs w:val="18"/>
        </w:rPr>
        <w:t>”</w:t>
      </w:r>
      <w:r w:rsidRPr="005A284F">
        <w:rPr>
          <w:rFonts w:ascii="Times New Roman" w:hAnsi="Times New Roman" w:cs="Times New Roman"/>
          <w:sz w:val="18"/>
          <w:szCs w:val="18"/>
        </w:rPr>
        <w:t>）主要从事屠宰、肉类加工业及进口贸易。</w:t>
      </w:r>
    </w:p>
    <w:p w14:paraId="7DAD3906" w14:textId="77777777" w:rsidR="000309B5" w:rsidRPr="005A284F" w:rsidRDefault="00000000" w:rsidP="004B1EC4">
      <w:pPr>
        <w:pStyle w:val="a3"/>
        <w:spacing w:before="0" w:beforeAutospacing="0" w:after="0" w:afterAutospacing="0" w:line="276" w:lineRule="auto"/>
        <w:ind w:firstLineChars="200" w:firstLine="360"/>
        <w:jc w:val="both"/>
        <w:divId w:val="1652635978"/>
        <w:rPr>
          <w:rFonts w:ascii="Times New Roman" w:hAnsi="Times New Roman" w:cs="Times New Roman"/>
        </w:rPr>
      </w:pPr>
      <w:r w:rsidRPr="005A284F">
        <w:rPr>
          <w:rFonts w:ascii="Times New Roman" w:hAnsi="Times New Roman" w:cs="Times New Roman"/>
          <w:sz w:val="18"/>
          <w:szCs w:val="18"/>
        </w:rPr>
        <w:t>本财务报表业经本公司董事会于</w:t>
      </w:r>
      <w:r w:rsidRPr="005A284F">
        <w:rPr>
          <w:rFonts w:ascii="Times New Roman" w:hAnsi="Times New Roman" w:cs="Times New Roman"/>
          <w:sz w:val="18"/>
          <w:szCs w:val="18"/>
        </w:rPr>
        <w:t>2025</w:t>
      </w:r>
      <w:r w:rsidRPr="005A284F">
        <w:rPr>
          <w:rFonts w:ascii="Times New Roman" w:hAnsi="Times New Roman" w:cs="Times New Roman"/>
          <w:sz w:val="18"/>
          <w:szCs w:val="18"/>
        </w:rPr>
        <w:t>年</w:t>
      </w:r>
      <w:r w:rsidRPr="005A284F">
        <w:rPr>
          <w:rFonts w:ascii="Times New Roman" w:hAnsi="Times New Roman" w:cs="Times New Roman"/>
          <w:sz w:val="18"/>
          <w:szCs w:val="18"/>
        </w:rPr>
        <w:t>08</w:t>
      </w:r>
      <w:r w:rsidRPr="005A284F">
        <w:rPr>
          <w:rFonts w:ascii="Times New Roman" w:hAnsi="Times New Roman" w:cs="Times New Roman"/>
          <w:sz w:val="18"/>
          <w:szCs w:val="18"/>
        </w:rPr>
        <w:t>月</w:t>
      </w:r>
      <w:r w:rsidRPr="005A284F">
        <w:rPr>
          <w:rFonts w:ascii="Times New Roman" w:hAnsi="Times New Roman" w:cs="Times New Roman"/>
          <w:sz w:val="18"/>
          <w:szCs w:val="18"/>
        </w:rPr>
        <w:t>28</w:t>
      </w:r>
      <w:r w:rsidRPr="005A284F">
        <w:rPr>
          <w:rFonts w:ascii="Times New Roman" w:hAnsi="Times New Roman" w:cs="Times New Roman"/>
          <w:sz w:val="18"/>
          <w:szCs w:val="18"/>
        </w:rPr>
        <w:t>日决议批准报出。</w:t>
      </w:r>
    </w:p>
    <w:p w14:paraId="797199CE" w14:textId="77777777" w:rsidR="000309B5" w:rsidRPr="005A284F" w:rsidRDefault="00000000" w:rsidP="004B1EC4">
      <w:pPr>
        <w:pStyle w:val="a3"/>
        <w:spacing w:before="0" w:beforeAutospacing="0" w:after="0" w:afterAutospacing="0" w:line="276" w:lineRule="auto"/>
        <w:ind w:firstLineChars="200" w:firstLine="356"/>
        <w:jc w:val="both"/>
        <w:divId w:val="1652635978"/>
        <w:rPr>
          <w:rFonts w:ascii="Times New Roman" w:hAnsi="Times New Roman" w:cs="Times New Roman"/>
        </w:rPr>
      </w:pPr>
      <w:r w:rsidRPr="005A284F">
        <w:rPr>
          <w:rFonts w:ascii="Times New Roman" w:hAnsi="Times New Roman" w:cs="Times New Roman"/>
          <w:color w:val="000000"/>
          <w:spacing w:val="-2"/>
          <w:sz w:val="18"/>
          <w:szCs w:val="18"/>
        </w:rPr>
        <w:t>截至</w:t>
      </w:r>
      <w:r w:rsidRPr="005A284F">
        <w:rPr>
          <w:rFonts w:ascii="Times New Roman" w:hAnsi="Times New Roman" w:cs="Times New Roman"/>
          <w:color w:val="000000"/>
          <w:spacing w:val="-2"/>
          <w:sz w:val="18"/>
          <w:szCs w:val="18"/>
        </w:rPr>
        <w:t>2025</w:t>
      </w:r>
      <w:r w:rsidRPr="005A284F">
        <w:rPr>
          <w:rFonts w:ascii="Times New Roman" w:hAnsi="Times New Roman" w:cs="Times New Roman"/>
          <w:color w:val="000000"/>
          <w:spacing w:val="-2"/>
          <w:sz w:val="18"/>
          <w:szCs w:val="18"/>
        </w:rPr>
        <w:t>年</w:t>
      </w:r>
      <w:r w:rsidRPr="005A284F">
        <w:rPr>
          <w:rFonts w:ascii="Times New Roman" w:hAnsi="Times New Roman" w:cs="Times New Roman"/>
          <w:color w:val="000000"/>
          <w:spacing w:val="-2"/>
          <w:sz w:val="18"/>
          <w:szCs w:val="18"/>
        </w:rPr>
        <w:t>06</w:t>
      </w:r>
      <w:r w:rsidRPr="005A284F">
        <w:rPr>
          <w:rFonts w:ascii="Times New Roman" w:hAnsi="Times New Roman" w:cs="Times New Roman"/>
          <w:color w:val="000000"/>
          <w:spacing w:val="-2"/>
          <w:sz w:val="18"/>
          <w:szCs w:val="18"/>
        </w:rPr>
        <w:t>月</w:t>
      </w:r>
      <w:r w:rsidRPr="005A284F">
        <w:rPr>
          <w:rFonts w:ascii="Times New Roman" w:hAnsi="Times New Roman" w:cs="Times New Roman"/>
          <w:color w:val="000000"/>
          <w:spacing w:val="-2"/>
          <w:sz w:val="18"/>
          <w:szCs w:val="18"/>
        </w:rPr>
        <w:t>30</w:t>
      </w:r>
      <w:r w:rsidRPr="005A284F">
        <w:rPr>
          <w:rFonts w:ascii="Times New Roman" w:hAnsi="Times New Roman" w:cs="Times New Roman"/>
          <w:color w:val="000000"/>
          <w:spacing w:val="-2"/>
          <w:sz w:val="18"/>
          <w:szCs w:val="18"/>
        </w:rPr>
        <w:t>日，本集团纳入合并范围的子公司共</w:t>
      </w:r>
      <w:r w:rsidRPr="005A284F">
        <w:rPr>
          <w:rFonts w:ascii="Times New Roman" w:hAnsi="Times New Roman" w:cs="Times New Roman"/>
          <w:color w:val="000000"/>
          <w:spacing w:val="-2"/>
          <w:sz w:val="18"/>
          <w:szCs w:val="18"/>
        </w:rPr>
        <w:t>37</w:t>
      </w:r>
      <w:r w:rsidRPr="005A284F">
        <w:rPr>
          <w:rFonts w:ascii="Times New Roman" w:hAnsi="Times New Roman" w:cs="Times New Roman"/>
          <w:color w:val="000000"/>
          <w:spacing w:val="-2"/>
          <w:sz w:val="18"/>
          <w:szCs w:val="18"/>
        </w:rPr>
        <w:t>户，详见本附注十</w:t>
      </w:r>
      <w:r w:rsidRPr="005A284F">
        <w:rPr>
          <w:rFonts w:ascii="Times New Roman" w:hAnsi="Times New Roman" w:cs="Times New Roman"/>
          <w:color w:val="000000"/>
          <w:spacing w:val="-2"/>
          <w:sz w:val="18"/>
          <w:szCs w:val="18"/>
        </w:rPr>
        <w:t>“</w:t>
      </w:r>
      <w:r w:rsidRPr="005A284F">
        <w:rPr>
          <w:rFonts w:ascii="Times New Roman" w:hAnsi="Times New Roman" w:cs="Times New Roman"/>
          <w:color w:val="000000"/>
          <w:spacing w:val="-2"/>
          <w:sz w:val="18"/>
          <w:szCs w:val="18"/>
        </w:rPr>
        <w:t>在其他主体中的权益</w:t>
      </w:r>
      <w:r w:rsidRPr="005A284F">
        <w:rPr>
          <w:rFonts w:ascii="Times New Roman" w:hAnsi="Times New Roman" w:cs="Times New Roman"/>
          <w:color w:val="000000"/>
          <w:spacing w:val="-2"/>
          <w:sz w:val="18"/>
          <w:szCs w:val="18"/>
        </w:rPr>
        <w:t>”</w:t>
      </w:r>
      <w:r w:rsidRPr="005A284F">
        <w:rPr>
          <w:rFonts w:ascii="Times New Roman" w:hAnsi="Times New Roman" w:cs="Times New Roman"/>
          <w:color w:val="000000"/>
          <w:spacing w:val="-2"/>
          <w:sz w:val="18"/>
          <w:szCs w:val="18"/>
        </w:rPr>
        <w:t>。本集</w:t>
      </w:r>
      <w:r w:rsidRPr="005A284F">
        <w:rPr>
          <w:rFonts w:ascii="Times New Roman" w:hAnsi="Times New Roman" w:cs="Times New Roman"/>
          <w:color w:val="000000"/>
          <w:spacing w:val="-3"/>
          <w:sz w:val="18"/>
          <w:szCs w:val="18"/>
        </w:rPr>
        <w:t>团本年</w:t>
      </w:r>
      <w:r w:rsidRPr="005A284F">
        <w:rPr>
          <w:rFonts w:ascii="Times New Roman" w:hAnsi="Times New Roman" w:cs="Times New Roman"/>
          <w:color w:val="000000"/>
          <w:spacing w:val="-2"/>
          <w:sz w:val="18"/>
          <w:szCs w:val="18"/>
        </w:rPr>
        <w:t>合并范围比上年增加</w:t>
      </w:r>
      <w:r w:rsidRPr="005A284F">
        <w:rPr>
          <w:rFonts w:ascii="Times New Roman" w:hAnsi="Times New Roman" w:cs="Times New Roman"/>
          <w:color w:val="000000"/>
          <w:spacing w:val="-2"/>
          <w:sz w:val="18"/>
          <w:szCs w:val="18"/>
        </w:rPr>
        <w:t>1</w:t>
      </w:r>
      <w:r w:rsidRPr="005A284F">
        <w:rPr>
          <w:rFonts w:ascii="Times New Roman" w:hAnsi="Times New Roman" w:cs="Times New Roman"/>
          <w:color w:val="000000"/>
          <w:spacing w:val="-2"/>
          <w:sz w:val="18"/>
          <w:szCs w:val="18"/>
        </w:rPr>
        <w:t>户，减少</w:t>
      </w:r>
      <w:r w:rsidRPr="005A284F">
        <w:rPr>
          <w:rFonts w:ascii="Times New Roman" w:hAnsi="Times New Roman" w:cs="Times New Roman"/>
          <w:color w:val="000000"/>
          <w:spacing w:val="-2"/>
          <w:sz w:val="18"/>
          <w:szCs w:val="18"/>
        </w:rPr>
        <w:t>1</w:t>
      </w:r>
      <w:r w:rsidRPr="005A284F">
        <w:rPr>
          <w:rFonts w:ascii="Times New Roman" w:hAnsi="Times New Roman" w:cs="Times New Roman"/>
          <w:color w:val="000000"/>
          <w:spacing w:val="-2"/>
          <w:sz w:val="18"/>
          <w:szCs w:val="18"/>
        </w:rPr>
        <w:t>户，详见本附注九</w:t>
      </w:r>
      <w:r w:rsidRPr="005A284F">
        <w:rPr>
          <w:rFonts w:ascii="Times New Roman" w:hAnsi="Times New Roman" w:cs="Times New Roman"/>
          <w:color w:val="000000"/>
          <w:spacing w:val="-2"/>
          <w:sz w:val="18"/>
          <w:szCs w:val="18"/>
        </w:rPr>
        <w:t>“</w:t>
      </w:r>
      <w:r w:rsidRPr="005A284F">
        <w:rPr>
          <w:rFonts w:ascii="Times New Roman" w:hAnsi="Times New Roman" w:cs="Times New Roman"/>
          <w:color w:val="000000"/>
          <w:spacing w:val="-2"/>
          <w:sz w:val="18"/>
          <w:szCs w:val="18"/>
        </w:rPr>
        <w:t>合并范围的变更</w:t>
      </w:r>
      <w:r w:rsidRPr="005A284F">
        <w:rPr>
          <w:rFonts w:ascii="Times New Roman" w:hAnsi="Times New Roman" w:cs="Times New Roman"/>
          <w:color w:val="000000"/>
          <w:spacing w:val="-2"/>
          <w:sz w:val="18"/>
          <w:szCs w:val="18"/>
        </w:rPr>
        <w:t>”</w:t>
      </w:r>
      <w:r w:rsidRPr="005A284F">
        <w:rPr>
          <w:rFonts w:ascii="Times New Roman" w:hAnsi="Times New Roman" w:cs="Times New Roman"/>
          <w:color w:val="000000"/>
          <w:spacing w:val="-2"/>
          <w:sz w:val="18"/>
          <w:szCs w:val="18"/>
        </w:rPr>
        <w:t>。</w:t>
      </w:r>
    </w:p>
    <w:p w14:paraId="16267324"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111" w:name="_Toc989000"/>
      <w:r w:rsidRPr="005A284F">
        <w:rPr>
          <w:rFonts w:ascii="Times New Roman" w:eastAsia="宋体" w:hAnsi="Times New Roman" w:cs="Times New Roman"/>
          <w:b/>
          <w:bCs/>
          <w:sz w:val="24"/>
          <w:szCs w:val="24"/>
        </w:rPr>
        <w:t>四、财务报表的编制基础</w:t>
      </w:r>
      <w:bookmarkEnd w:id="111"/>
    </w:p>
    <w:p w14:paraId="5C1BF6EE" w14:textId="77777777" w:rsidR="006C011D" w:rsidRPr="005A284F" w:rsidRDefault="00000000">
      <w:pPr>
        <w:pStyle w:val="3"/>
        <w:spacing w:line="280" w:lineRule="exact"/>
        <w:jc w:val="left"/>
        <w:rPr>
          <w:rFonts w:ascii="Times New Roman" w:hAnsi="Times New Roman" w:cs="Times New Roman"/>
          <w:b/>
          <w:bCs/>
        </w:rPr>
      </w:pPr>
      <w:bookmarkStart w:id="112" w:name="_Toc989001"/>
      <w:r w:rsidRPr="005A284F">
        <w:rPr>
          <w:rFonts w:ascii="Times New Roman" w:hAnsi="Times New Roman" w:cs="Times New Roman"/>
          <w:b/>
          <w:bCs/>
        </w:rPr>
        <w:t>1</w:t>
      </w:r>
      <w:r w:rsidRPr="005A284F">
        <w:rPr>
          <w:rFonts w:ascii="Times New Roman" w:hAnsi="Times New Roman" w:cs="Times New Roman"/>
          <w:b/>
          <w:bCs/>
        </w:rPr>
        <w:t>、编制基础</w:t>
      </w:r>
      <w:bookmarkEnd w:id="112"/>
    </w:p>
    <w:p w14:paraId="37DCF3E9" w14:textId="77777777" w:rsidR="000309B5" w:rsidRPr="0078003E" w:rsidRDefault="00000000" w:rsidP="0078003E">
      <w:pPr>
        <w:pStyle w:val="a3"/>
        <w:spacing w:before="0" w:beforeAutospacing="0" w:after="0" w:afterAutospacing="0" w:line="276" w:lineRule="auto"/>
        <w:ind w:firstLineChars="200" w:firstLine="360"/>
        <w:jc w:val="both"/>
        <w:divId w:val="496462849"/>
        <w:rPr>
          <w:rFonts w:ascii="Times New Roman" w:hAnsi="Times New Roman" w:cs="Times New Roman"/>
          <w:sz w:val="18"/>
          <w:szCs w:val="18"/>
        </w:rPr>
      </w:pPr>
      <w:r w:rsidRPr="005A284F">
        <w:rPr>
          <w:rFonts w:ascii="Times New Roman" w:hAnsi="Times New Roman" w:cs="Times New Roman"/>
          <w:sz w:val="18"/>
          <w:szCs w:val="18"/>
        </w:rPr>
        <w:t>本集团财务报表以持续经营假设为基础，根据实际发生的交易和事项，按照财政部发布的《企业会计准则</w:t>
      </w:r>
      <w:r w:rsidRPr="005A284F">
        <w:rPr>
          <w:rFonts w:ascii="Times New Roman" w:hAnsi="Times New Roman" w:cs="Times New Roman"/>
          <w:sz w:val="18"/>
          <w:szCs w:val="18"/>
        </w:rPr>
        <w:t>——</w:t>
      </w:r>
      <w:r w:rsidRPr="005A284F">
        <w:rPr>
          <w:rFonts w:ascii="Times New Roman" w:hAnsi="Times New Roman" w:cs="Times New Roman"/>
          <w:sz w:val="18"/>
          <w:szCs w:val="18"/>
        </w:rPr>
        <w:t>基本准则》（财政部令第</w:t>
      </w:r>
      <w:r w:rsidRPr="005A284F">
        <w:rPr>
          <w:rFonts w:ascii="Times New Roman" w:hAnsi="Times New Roman" w:cs="Times New Roman"/>
          <w:sz w:val="18"/>
          <w:szCs w:val="18"/>
        </w:rPr>
        <w:t>33</w:t>
      </w:r>
      <w:r w:rsidRPr="005A284F">
        <w:rPr>
          <w:rFonts w:ascii="Times New Roman" w:hAnsi="Times New Roman" w:cs="Times New Roman"/>
          <w:sz w:val="18"/>
          <w:szCs w:val="18"/>
        </w:rPr>
        <w:t>号发布、财政部令第</w:t>
      </w:r>
      <w:r w:rsidRPr="005A284F">
        <w:rPr>
          <w:rFonts w:ascii="Times New Roman" w:hAnsi="Times New Roman" w:cs="Times New Roman"/>
          <w:sz w:val="18"/>
          <w:szCs w:val="18"/>
        </w:rPr>
        <w:t>76</w:t>
      </w:r>
      <w:r w:rsidRPr="005A284F">
        <w:rPr>
          <w:rFonts w:ascii="Times New Roman" w:hAnsi="Times New Roman" w:cs="Times New Roman"/>
          <w:sz w:val="18"/>
          <w:szCs w:val="18"/>
        </w:rPr>
        <w:t>号修订）、于</w:t>
      </w:r>
      <w:r w:rsidRPr="005A284F">
        <w:rPr>
          <w:rFonts w:ascii="Times New Roman" w:hAnsi="Times New Roman" w:cs="Times New Roman"/>
          <w:sz w:val="18"/>
          <w:szCs w:val="18"/>
        </w:rPr>
        <w:t>2006</w:t>
      </w:r>
      <w:r w:rsidRPr="005A284F">
        <w:rPr>
          <w:rFonts w:ascii="Times New Roman" w:hAnsi="Times New Roman" w:cs="Times New Roman"/>
          <w:sz w:val="18"/>
          <w:szCs w:val="18"/>
        </w:rPr>
        <w:t>年</w:t>
      </w:r>
      <w:r w:rsidRPr="005A284F">
        <w:rPr>
          <w:rFonts w:ascii="Times New Roman" w:hAnsi="Times New Roman" w:cs="Times New Roman"/>
          <w:sz w:val="18"/>
          <w:szCs w:val="18"/>
        </w:rPr>
        <w:t>2</w:t>
      </w:r>
      <w:r w:rsidRPr="005A284F">
        <w:rPr>
          <w:rFonts w:ascii="Times New Roman" w:hAnsi="Times New Roman" w:cs="Times New Roman"/>
          <w:sz w:val="18"/>
          <w:szCs w:val="18"/>
        </w:rPr>
        <w:t>月</w:t>
      </w:r>
      <w:r w:rsidRPr="005A284F">
        <w:rPr>
          <w:rFonts w:ascii="Times New Roman" w:hAnsi="Times New Roman" w:cs="Times New Roman"/>
          <w:sz w:val="18"/>
          <w:szCs w:val="18"/>
        </w:rPr>
        <w:t>15</w:t>
      </w:r>
      <w:r w:rsidRPr="005A284F">
        <w:rPr>
          <w:rFonts w:ascii="Times New Roman" w:hAnsi="Times New Roman" w:cs="Times New Roman"/>
          <w:sz w:val="18"/>
          <w:szCs w:val="18"/>
        </w:rPr>
        <w:t>日及其后颁布和修订的</w:t>
      </w:r>
      <w:r w:rsidRPr="005A284F">
        <w:rPr>
          <w:rFonts w:ascii="Times New Roman" w:hAnsi="Times New Roman" w:cs="Times New Roman"/>
          <w:sz w:val="18"/>
          <w:szCs w:val="18"/>
        </w:rPr>
        <w:t>41</w:t>
      </w:r>
      <w:r w:rsidRPr="005A284F">
        <w:rPr>
          <w:rFonts w:ascii="Times New Roman" w:hAnsi="Times New Roman" w:cs="Times New Roman"/>
          <w:sz w:val="18"/>
          <w:szCs w:val="18"/>
        </w:rPr>
        <w:t>项具体会计准则、企业会计准则应用指南、企业会计准则解释及其他相关规定（以下合称</w:t>
      </w:r>
      <w:r w:rsidRPr="005A284F">
        <w:rPr>
          <w:rFonts w:ascii="Times New Roman" w:hAnsi="Times New Roman" w:cs="Times New Roman"/>
          <w:sz w:val="18"/>
          <w:szCs w:val="18"/>
        </w:rPr>
        <w:t>“</w:t>
      </w:r>
      <w:r w:rsidRPr="005A284F">
        <w:rPr>
          <w:rFonts w:ascii="Times New Roman" w:hAnsi="Times New Roman" w:cs="Times New Roman"/>
          <w:sz w:val="18"/>
          <w:szCs w:val="18"/>
        </w:rPr>
        <w:t>企业会计准则</w:t>
      </w:r>
      <w:r w:rsidRPr="005A284F">
        <w:rPr>
          <w:rFonts w:ascii="Times New Roman" w:hAnsi="Times New Roman" w:cs="Times New Roman"/>
          <w:sz w:val="18"/>
          <w:szCs w:val="18"/>
        </w:rPr>
        <w:t>”</w:t>
      </w:r>
      <w:r w:rsidRPr="005A284F">
        <w:rPr>
          <w:rFonts w:ascii="Times New Roman" w:hAnsi="Times New Roman" w:cs="Times New Roman"/>
          <w:sz w:val="18"/>
          <w:szCs w:val="18"/>
        </w:rPr>
        <w:t>），以及中国证券监督管理委员会《公开发行证券的公司信息披露编报规则第</w:t>
      </w:r>
      <w:r w:rsidRPr="005A284F">
        <w:rPr>
          <w:rFonts w:ascii="Times New Roman" w:hAnsi="Times New Roman" w:cs="Times New Roman"/>
          <w:sz w:val="18"/>
          <w:szCs w:val="18"/>
        </w:rPr>
        <w:t>15</w:t>
      </w:r>
      <w:r w:rsidRPr="005A284F">
        <w:rPr>
          <w:rFonts w:ascii="Times New Roman" w:hAnsi="Times New Roman" w:cs="Times New Roman"/>
          <w:sz w:val="18"/>
          <w:szCs w:val="18"/>
        </w:rPr>
        <w:t>号</w:t>
      </w:r>
      <w:r w:rsidRPr="005A284F">
        <w:rPr>
          <w:rFonts w:ascii="Times New Roman" w:hAnsi="Times New Roman" w:cs="Times New Roman"/>
          <w:sz w:val="18"/>
          <w:szCs w:val="18"/>
        </w:rPr>
        <w:t>——</w:t>
      </w:r>
      <w:r w:rsidRPr="005A284F">
        <w:rPr>
          <w:rFonts w:ascii="Times New Roman" w:hAnsi="Times New Roman" w:cs="Times New Roman"/>
          <w:sz w:val="18"/>
          <w:szCs w:val="18"/>
        </w:rPr>
        <w:t>财务报告的一般规定（</w:t>
      </w:r>
      <w:r w:rsidRPr="005A284F">
        <w:rPr>
          <w:rFonts w:ascii="Times New Roman" w:hAnsi="Times New Roman" w:cs="Times New Roman"/>
          <w:sz w:val="18"/>
          <w:szCs w:val="18"/>
        </w:rPr>
        <w:t>2023</w:t>
      </w:r>
      <w:r w:rsidRPr="005A284F">
        <w:rPr>
          <w:rFonts w:ascii="Times New Roman" w:hAnsi="Times New Roman" w:cs="Times New Roman"/>
          <w:sz w:val="18"/>
          <w:szCs w:val="18"/>
        </w:rPr>
        <w:t>年修订）》的披露规定编制。</w:t>
      </w:r>
    </w:p>
    <w:p w14:paraId="3285F741" w14:textId="77777777" w:rsidR="000309B5" w:rsidRPr="0078003E" w:rsidRDefault="00000000" w:rsidP="0078003E">
      <w:pPr>
        <w:pStyle w:val="a3"/>
        <w:spacing w:before="0" w:beforeAutospacing="0" w:after="0" w:afterAutospacing="0" w:line="276" w:lineRule="auto"/>
        <w:ind w:firstLineChars="200" w:firstLine="360"/>
        <w:jc w:val="both"/>
        <w:divId w:val="496462849"/>
        <w:rPr>
          <w:rFonts w:ascii="Times New Roman" w:hAnsi="Times New Roman" w:cs="Times New Roman"/>
          <w:sz w:val="18"/>
          <w:szCs w:val="18"/>
        </w:rPr>
      </w:pPr>
      <w:r w:rsidRPr="005A284F">
        <w:rPr>
          <w:rFonts w:ascii="Times New Roman" w:hAnsi="Times New Roman" w:cs="Times New Roman"/>
          <w:sz w:val="18"/>
          <w:szCs w:val="18"/>
        </w:rPr>
        <w:t>根据企业会计准则的相关规定，本集团会计核算以权责发生制为基础。除某些金融工具外，本财务报表均以历史成本为计量基础。持有待售的非流动资产，按公允价值减去预计费用后的金额，以及符合持有待售条件时的原账面价值，取两者孰低计价。资产如果发生减值，则按照相关规定计提相应的减值准备。</w:t>
      </w:r>
    </w:p>
    <w:p w14:paraId="586B48A3" w14:textId="77777777" w:rsidR="006C011D" w:rsidRPr="005A284F" w:rsidRDefault="00000000">
      <w:pPr>
        <w:pStyle w:val="3"/>
        <w:spacing w:line="280" w:lineRule="exact"/>
        <w:jc w:val="left"/>
        <w:rPr>
          <w:rFonts w:ascii="Times New Roman" w:hAnsi="Times New Roman" w:cs="Times New Roman"/>
          <w:b/>
          <w:bCs/>
        </w:rPr>
      </w:pPr>
      <w:bookmarkStart w:id="113" w:name="_Toc989002"/>
      <w:r w:rsidRPr="005A284F">
        <w:rPr>
          <w:rFonts w:ascii="Times New Roman" w:hAnsi="Times New Roman" w:cs="Times New Roman"/>
          <w:b/>
          <w:bCs/>
        </w:rPr>
        <w:t>2</w:t>
      </w:r>
      <w:r w:rsidRPr="005A284F">
        <w:rPr>
          <w:rFonts w:ascii="Times New Roman" w:hAnsi="Times New Roman" w:cs="Times New Roman"/>
          <w:b/>
          <w:bCs/>
        </w:rPr>
        <w:t>、持续经营</w:t>
      </w:r>
      <w:bookmarkEnd w:id="113"/>
    </w:p>
    <w:p w14:paraId="26CE6EC2" w14:textId="77777777" w:rsidR="000309B5" w:rsidRPr="0078003E" w:rsidRDefault="00000000" w:rsidP="0078003E">
      <w:pPr>
        <w:pStyle w:val="a3"/>
        <w:spacing w:before="0" w:beforeAutospacing="0" w:after="0" w:afterAutospacing="0" w:line="276" w:lineRule="auto"/>
        <w:ind w:firstLineChars="200" w:firstLine="360"/>
        <w:jc w:val="both"/>
        <w:divId w:val="1560018976"/>
        <w:rPr>
          <w:rFonts w:ascii="Times New Roman" w:hAnsi="Times New Roman" w:cs="Times New Roman"/>
          <w:sz w:val="18"/>
          <w:szCs w:val="18"/>
        </w:rPr>
      </w:pPr>
      <w:r w:rsidRPr="005A284F">
        <w:rPr>
          <w:rFonts w:ascii="Times New Roman" w:hAnsi="Times New Roman" w:cs="Times New Roman"/>
          <w:sz w:val="18"/>
          <w:szCs w:val="18"/>
        </w:rPr>
        <w:t>经本公司评估，自本报告期末起的</w:t>
      </w:r>
      <w:r w:rsidRPr="005A284F">
        <w:rPr>
          <w:rFonts w:ascii="Times New Roman" w:hAnsi="Times New Roman" w:cs="Times New Roman"/>
          <w:sz w:val="18"/>
          <w:szCs w:val="18"/>
        </w:rPr>
        <w:t>12</w:t>
      </w:r>
      <w:r w:rsidRPr="005A284F">
        <w:rPr>
          <w:rFonts w:ascii="Times New Roman" w:hAnsi="Times New Roman" w:cs="Times New Roman"/>
          <w:sz w:val="18"/>
          <w:szCs w:val="18"/>
        </w:rPr>
        <w:t>个月内，本公司持续经营能力良好，不存在导致对本公司持续经营能力产生重大怀疑的因素。</w:t>
      </w:r>
    </w:p>
    <w:p w14:paraId="587BBE46" w14:textId="77777777" w:rsidR="006C011D" w:rsidRPr="005A284F" w:rsidRDefault="00000000">
      <w:pPr>
        <w:pStyle w:val="2"/>
        <w:spacing w:before="300" w:after="300" w:line="560" w:lineRule="exact"/>
        <w:rPr>
          <w:rFonts w:ascii="Times New Roman" w:eastAsia="宋体" w:hAnsi="Times New Roman" w:cs="Times New Roman"/>
          <w:b/>
          <w:bCs/>
          <w:sz w:val="24"/>
          <w:szCs w:val="24"/>
        </w:rPr>
      </w:pPr>
      <w:bookmarkStart w:id="114" w:name="_Toc989003"/>
      <w:r w:rsidRPr="005A284F">
        <w:rPr>
          <w:rFonts w:ascii="Times New Roman" w:eastAsia="宋体" w:hAnsi="Times New Roman" w:cs="Times New Roman"/>
          <w:b/>
          <w:bCs/>
          <w:sz w:val="24"/>
          <w:szCs w:val="24"/>
        </w:rPr>
        <w:t>五、重要会计政策及会计估计</w:t>
      </w:r>
      <w:bookmarkEnd w:id="114"/>
    </w:p>
    <w:p w14:paraId="1E3F6D4E"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公司需遵守《深圳证券交易所上市公司自律监管指引第</w:t>
      </w: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号</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行业信息披露》中的</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食品及酒制造相关业务</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的披露要求</w:t>
      </w:r>
    </w:p>
    <w:p w14:paraId="02511611" w14:textId="77777777" w:rsidR="000309B5" w:rsidRPr="0078003E" w:rsidRDefault="00000000" w:rsidP="0078003E">
      <w:pPr>
        <w:pStyle w:val="a3"/>
        <w:spacing w:before="0" w:beforeAutospacing="0" w:after="0" w:afterAutospacing="0" w:line="276" w:lineRule="auto"/>
        <w:ind w:firstLineChars="200" w:firstLine="360"/>
        <w:jc w:val="both"/>
        <w:divId w:val="833764334"/>
        <w:rPr>
          <w:rFonts w:ascii="Times New Roman" w:hAnsi="Times New Roman" w:cs="Times New Roman"/>
          <w:sz w:val="18"/>
          <w:szCs w:val="18"/>
        </w:rPr>
      </w:pPr>
      <w:r w:rsidRPr="005A284F">
        <w:rPr>
          <w:rFonts w:ascii="Times New Roman" w:hAnsi="Times New Roman" w:cs="Times New Roman"/>
          <w:sz w:val="18"/>
          <w:szCs w:val="18"/>
        </w:rPr>
        <w:t>本集团根据实际生产经营特点，依据相关企业会计准则的规定，对收入确认等交易和事项制定了若干项具体会计政策和会计估计，详见本附注五、</w:t>
      </w:r>
      <w:r w:rsidRPr="005A284F">
        <w:rPr>
          <w:rFonts w:ascii="Times New Roman" w:hAnsi="Times New Roman" w:cs="Times New Roman"/>
          <w:sz w:val="18"/>
          <w:szCs w:val="18"/>
        </w:rPr>
        <w:t>37“</w:t>
      </w:r>
      <w:r w:rsidRPr="005A284F">
        <w:rPr>
          <w:rFonts w:ascii="Times New Roman" w:hAnsi="Times New Roman" w:cs="Times New Roman"/>
          <w:sz w:val="18"/>
          <w:szCs w:val="18"/>
        </w:rPr>
        <w:t>收入</w:t>
      </w:r>
      <w:r w:rsidRPr="005A284F">
        <w:rPr>
          <w:rFonts w:ascii="Times New Roman" w:hAnsi="Times New Roman" w:cs="Times New Roman"/>
          <w:sz w:val="18"/>
          <w:szCs w:val="18"/>
        </w:rPr>
        <w:t>”</w:t>
      </w:r>
      <w:r w:rsidRPr="005A284F">
        <w:rPr>
          <w:rFonts w:ascii="Times New Roman" w:hAnsi="Times New Roman" w:cs="Times New Roman"/>
          <w:sz w:val="18"/>
          <w:szCs w:val="18"/>
        </w:rPr>
        <w:t>各项描述。关于管理层所作出的重大会计判断和估计的说明，请参阅附注五、</w:t>
      </w:r>
      <w:r w:rsidRPr="005A284F">
        <w:rPr>
          <w:rFonts w:ascii="Times New Roman" w:hAnsi="Times New Roman" w:cs="Times New Roman"/>
          <w:sz w:val="18"/>
          <w:szCs w:val="18"/>
        </w:rPr>
        <w:t>44 “</w:t>
      </w:r>
      <w:r w:rsidRPr="005A284F">
        <w:rPr>
          <w:rFonts w:ascii="Times New Roman" w:hAnsi="Times New Roman" w:cs="Times New Roman"/>
          <w:sz w:val="18"/>
          <w:szCs w:val="18"/>
        </w:rPr>
        <w:t>其他</w:t>
      </w:r>
      <w:r w:rsidRPr="005A284F">
        <w:rPr>
          <w:rFonts w:ascii="Times New Roman" w:hAnsi="Times New Roman" w:cs="Times New Roman"/>
          <w:sz w:val="18"/>
          <w:szCs w:val="18"/>
        </w:rPr>
        <w:t>”</w:t>
      </w:r>
      <w:r w:rsidRPr="005A284F">
        <w:rPr>
          <w:rFonts w:ascii="Times New Roman" w:hAnsi="Times New Roman" w:cs="Times New Roman"/>
          <w:sz w:val="18"/>
          <w:szCs w:val="18"/>
        </w:rPr>
        <w:t>。</w:t>
      </w:r>
    </w:p>
    <w:p w14:paraId="7BC83DA6" w14:textId="77777777" w:rsidR="006C011D" w:rsidRPr="005A284F" w:rsidRDefault="00000000">
      <w:pPr>
        <w:pStyle w:val="3"/>
        <w:spacing w:line="280" w:lineRule="exact"/>
        <w:jc w:val="left"/>
        <w:rPr>
          <w:rFonts w:ascii="Times New Roman" w:hAnsi="Times New Roman" w:cs="Times New Roman"/>
          <w:b/>
          <w:bCs/>
        </w:rPr>
      </w:pPr>
      <w:bookmarkStart w:id="115" w:name="_Toc989004"/>
      <w:r w:rsidRPr="005A284F">
        <w:rPr>
          <w:rFonts w:ascii="Times New Roman" w:hAnsi="Times New Roman" w:cs="Times New Roman"/>
          <w:b/>
          <w:bCs/>
        </w:rPr>
        <w:t>1</w:t>
      </w:r>
      <w:r w:rsidRPr="005A284F">
        <w:rPr>
          <w:rFonts w:ascii="Times New Roman" w:hAnsi="Times New Roman" w:cs="Times New Roman"/>
          <w:b/>
          <w:bCs/>
        </w:rPr>
        <w:t>、遵循企业会计准则的声明</w:t>
      </w:r>
      <w:bookmarkEnd w:id="115"/>
    </w:p>
    <w:p w14:paraId="4BF20157" w14:textId="6507676F" w:rsidR="000309B5" w:rsidRPr="0078003E" w:rsidRDefault="00000000" w:rsidP="0078003E">
      <w:pPr>
        <w:pStyle w:val="a3"/>
        <w:spacing w:before="0" w:beforeAutospacing="0" w:after="0" w:afterAutospacing="0" w:line="276" w:lineRule="auto"/>
        <w:ind w:firstLineChars="200" w:firstLine="360"/>
        <w:jc w:val="both"/>
        <w:divId w:val="1630823729"/>
        <w:rPr>
          <w:rFonts w:ascii="Times New Roman" w:hAnsi="Times New Roman" w:cs="Times New Roman"/>
          <w:sz w:val="18"/>
          <w:szCs w:val="18"/>
        </w:rPr>
      </w:pPr>
      <w:r w:rsidRPr="005A284F">
        <w:rPr>
          <w:rFonts w:ascii="Times New Roman" w:hAnsi="Times New Roman" w:cs="Times New Roman"/>
          <w:sz w:val="18"/>
          <w:szCs w:val="18"/>
        </w:rPr>
        <w:t>本公司编制的财务报表符合企业会计准则的要求，真实、完整地反映了本公司及本集团</w:t>
      </w:r>
      <w:r w:rsidRPr="005A284F">
        <w:rPr>
          <w:rFonts w:ascii="Times New Roman" w:hAnsi="Times New Roman" w:cs="Times New Roman"/>
          <w:sz w:val="18"/>
          <w:szCs w:val="18"/>
        </w:rPr>
        <w:t>2025</w:t>
      </w:r>
      <w:r w:rsidRPr="005A284F">
        <w:rPr>
          <w:rFonts w:ascii="Times New Roman" w:hAnsi="Times New Roman" w:cs="Times New Roman"/>
          <w:sz w:val="18"/>
          <w:szCs w:val="18"/>
        </w:rPr>
        <w:t>年</w:t>
      </w:r>
      <w:r w:rsidRPr="005A284F">
        <w:rPr>
          <w:rFonts w:ascii="Times New Roman" w:hAnsi="Times New Roman" w:cs="Times New Roman"/>
          <w:sz w:val="18"/>
          <w:szCs w:val="18"/>
        </w:rPr>
        <w:t>06</w:t>
      </w:r>
      <w:r w:rsidRPr="005A284F">
        <w:rPr>
          <w:rFonts w:ascii="Times New Roman" w:hAnsi="Times New Roman" w:cs="Times New Roman"/>
          <w:sz w:val="18"/>
          <w:szCs w:val="18"/>
        </w:rPr>
        <w:t>月</w:t>
      </w:r>
      <w:r w:rsidRPr="005A284F">
        <w:rPr>
          <w:rFonts w:ascii="Times New Roman" w:hAnsi="Times New Roman" w:cs="Times New Roman"/>
          <w:sz w:val="18"/>
          <w:szCs w:val="18"/>
        </w:rPr>
        <w:t>30</w:t>
      </w:r>
      <w:r w:rsidRPr="005A284F">
        <w:rPr>
          <w:rFonts w:ascii="Times New Roman" w:hAnsi="Times New Roman" w:cs="Times New Roman"/>
          <w:sz w:val="18"/>
          <w:szCs w:val="18"/>
        </w:rPr>
        <w:t>日的财务状况及</w:t>
      </w:r>
      <w:r w:rsidRPr="005A284F">
        <w:rPr>
          <w:rFonts w:ascii="Times New Roman" w:hAnsi="Times New Roman" w:cs="Times New Roman"/>
          <w:sz w:val="18"/>
          <w:szCs w:val="18"/>
        </w:rPr>
        <w:t>2025</w:t>
      </w:r>
      <w:r w:rsidRPr="005A284F">
        <w:rPr>
          <w:rFonts w:ascii="Times New Roman" w:hAnsi="Times New Roman" w:cs="Times New Roman"/>
          <w:sz w:val="18"/>
          <w:szCs w:val="18"/>
        </w:rPr>
        <w:t>年上半年度的经营成果和现金流量等有关信息。此外，本公司及本集团的财务报表在所有重大方面符合中国证券监督管理委员会</w:t>
      </w:r>
      <w:r w:rsidRPr="005A284F">
        <w:rPr>
          <w:rFonts w:ascii="Times New Roman" w:hAnsi="Times New Roman" w:cs="Times New Roman"/>
          <w:sz w:val="18"/>
          <w:szCs w:val="18"/>
        </w:rPr>
        <w:t>2023</w:t>
      </w:r>
      <w:r w:rsidRPr="005A284F">
        <w:rPr>
          <w:rFonts w:ascii="Times New Roman" w:hAnsi="Times New Roman" w:cs="Times New Roman"/>
          <w:sz w:val="18"/>
          <w:szCs w:val="18"/>
        </w:rPr>
        <w:t>年修订的《公开发行证券的公司信息披露编报规则第</w:t>
      </w:r>
      <w:r w:rsidRPr="005A284F">
        <w:rPr>
          <w:rFonts w:ascii="Times New Roman" w:hAnsi="Times New Roman" w:cs="Times New Roman"/>
          <w:sz w:val="18"/>
          <w:szCs w:val="18"/>
        </w:rPr>
        <w:t>15</w:t>
      </w:r>
      <w:r w:rsidRPr="005A284F">
        <w:rPr>
          <w:rFonts w:ascii="Times New Roman" w:hAnsi="Times New Roman" w:cs="Times New Roman"/>
          <w:sz w:val="18"/>
          <w:szCs w:val="18"/>
        </w:rPr>
        <w:t>号</w:t>
      </w:r>
      <w:r w:rsidRPr="005A284F">
        <w:rPr>
          <w:rFonts w:ascii="Times New Roman" w:hAnsi="Times New Roman" w:cs="Times New Roman"/>
          <w:sz w:val="18"/>
          <w:szCs w:val="18"/>
        </w:rPr>
        <w:t>——</w:t>
      </w:r>
      <w:r w:rsidRPr="005A284F">
        <w:rPr>
          <w:rFonts w:ascii="Times New Roman" w:hAnsi="Times New Roman" w:cs="Times New Roman"/>
          <w:sz w:val="18"/>
          <w:szCs w:val="18"/>
        </w:rPr>
        <w:t>财务报告的一般规定》有关财务报表及其附注的披露要求。</w:t>
      </w:r>
    </w:p>
    <w:p w14:paraId="1E2A5713" w14:textId="77777777" w:rsidR="006C011D" w:rsidRPr="005A284F" w:rsidRDefault="00000000">
      <w:pPr>
        <w:pStyle w:val="3"/>
        <w:spacing w:line="280" w:lineRule="exact"/>
        <w:jc w:val="left"/>
        <w:rPr>
          <w:rFonts w:ascii="Times New Roman" w:hAnsi="Times New Roman" w:cs="Times New Roman"/>
          <w:b/>
          <w:bCs/>
        </w:rPr>
      </w:pPr>
      <w:bookmarkStart w:id="116" w:name="_Toc989005"/>
      <w:r w:rsidRPr="005A284F">
        <w:rPr>
          <w:rFonts w:ascii="Times New Roman" w:hAnsi="Times New Roman" w:cs="Times New Roman"/>
          <w:b/>
          <w:bCs/>
        </w:rPr>
        <w:lastRenderedPageBreak/>
        <w:t>2</w:t>
      </w:r>
      <w:r w:rsidRPr="005A284F">
        <w:rPr>
          <w:rFonts w:ascii="Times New Roman" w:hAnsi="Times New Roman" w:cs="Times New Roman"/>
          <w:b/>
          <w:bCs/>
        </w:rPr>
        <w:t>、会计期间</w:t>
      </w:r>
      <w:bookmarkEnd w:id="116"/>
    </w:p>
    <w:p w14:paraId="595B4007" w14:textId="77777777" w:rsidR="000309B5" w:rsidRPr="005A284F" w:rsidRDefault="00000000">
      <w:pPr>
        <w:pStyle w:val="a3"/>
        <w:spacing w:before="0" w:beforeAutospacing="0" w:after="0" w:afterAutospacing="0" w:line="271" w:lineRule="auto"/>
        <w:ind w:firstLine="360"/>
        <w:jc w:val="both"/>
        <w:divId w:val="84109265"/>
        <w:rPr>
          <w:rFonts w:ascii="Times New Roman" w:hAnsi="Times New Roman" w:cs="Times New Roman"/>
        </w:rPr>
      </w:pPr>
      <w:r w:rsidRPr="005A284F">
        <w:rPr>
          <w:rFonts w:ascii="Times New Roman" w:hAnsi="Times New Roman" w:cs="Times New Roman"/>
          <w:sz w:val="18"/>
          <w:szCs w:val="18"/>
        </w:rPr>
        <w:t>本集团的会计期间分为年度和中期，会计中期指短于一个完整的会计年度的报告期间。本集团会计年度采用公历年度，即每年自</w:t>
      </w:r>
      <w:r w:rsidRPr="005A284F">
        <w:rPr>
          <w:rFonts w:ascii="Times New Roman" w:hAnsi="Times New Roman" w:cs="Times New Roman"/>
          <w:sz w:val="18"/>
          <w:szCs w:val="18"/>
        </w:rPr>
        <w:t>1</w:t>
      </w:r>
      <w:r w:rsidRPr="005A284F">
        <w:rPr>
          <w:rFonts w:ascii="Times New Roman" w:hAnsi="Times New Roman" w:cs="Times New Roman"/>
          <w:sz w:val="18"/>
          <w:szCs w:val="18"/>
        </w:rPr>
        <w:t>月</w:t>
      </w:r>
      <w:r w:rsidRPr="005A284F">
        <w:rPr>
          <w:rFonts w:ascii="Times New Roman" w:hAnsi="Times New Roman" w:cs="Times New Roman"/>
          <w:sz w:val="18"/>
          <w:szCs w:val="18"/>
        </w:rPr>
        <w:t>1</w:t>
      </w:r>
      <w:r w:rsidRPr="005A284F">
        <w:rPr>
          <w:rFonts w:ascii="Times New Roman" w:hAnsi="Times New Roman" w:cs="Times New Roman"/>
          <w:sz w:val="18"/>
          <w:szCs w:val="18"/>
        </w:rPr>
        <w:t>日起至</w:t>
      </w:r>
      <w:r w:rsidRPr="005A284F">
        <w:rPr>
          <w:rFonts w:ascii="Times New Roman" w:hAnsi="Times New Roman" w:cs="Times New Roman"/>
          <w:sz w:val="18"/>
          <w:szCs w:val="18"/>
        </w:rPr>
        <w:t>12</w:t>
      </w:r>
      <w:r w:rsidRPr="005A284F">
        <w:rPr>
          <w:rFonts w:ascii="Times New Roman" w:hAnsi="Times New Roman" w:cs="Times New Roman"/>
          <w:sz w:val="18"/>
          <w:szCs w:val="18"/>
        </w:rPr>
        <w:t>月</w:t>
      </w:r>
      <w:r w:rsidRPr="005A284F">
        <w:rPr>
          <w:rFonts w:ascii="Times New Roman" w:hAnsi="Times New Roman" w:cs="Times New Roman"/>
          <w:sz w:val="18"/>
          <w:szCs w:val="18"/>
        </w:rPr>
        <w:t>31</w:t>
      </w:r>
      <w:r w:rsidRPr="005A284F">
        <w:rPr>
          <w:rFonts w:ascii="Times New Roman" w:hAnsi="Times New Roman" w:cs="Times New Roman"/>
          <w:sz w:val="18"/>
          <w:szCs w:val="18"/>
        </w:rPr>
        <w:t>日止。</w:t>
      </w:r>
    </w:p>
    <w:p w14:paraId="1CB43B5D" w14:textId="77777777" w:rsidR="006C011D" w:rsidRPr="005A284F" w:rsidRDefault="00000000">
      <w:pPr>
        <w:pStyle w:val="3"/>
        <w:spacing w:line="280" w:lineRule="exact"/>
        <w:jc w:val="left"/>
        <w:rPr>
          <w:rFonts w:ascii="Times New Roman" w:hAnsi="Times New Roman" w:cs="Times New Roman"/>
          <w:b/>
          <w:bCs/>
        </w:rPr>
      </w:pPr>
      <w:bookmarkStart w:id="117" w:name="_Toc989006"/>
      <w:r w:rsidRPr="005A284F">
        <w:rPr>
          <w:rFonts w:ascii="Times New Roman" w:hAnsi="Times New Roman" w:cs="Times New Roman"/>
          <w:b/>
          <w:bCs/>
        </w:rPr>
        <w:t>3</w:t>
      </w:r>
      <w:r w:rsidRPr="005A284F">
        <w:rPr>
          <w:rFonts w:ascii="Times New Roman" w:hAnsi="Times New Roman" w:cs="Times New Roman"/>
          <w:b/>
          <w:bCs/>
        </w:rPr>
        <w:t>、营业周期</w:t>
      </w:r>
      <w:bookmarkEnd w:id="117"/>
    </w:p>
    <w:p w14:paraId="49562B10" w14:textId="77777777" w:rsidR="000309B5" w:rsidRPr="005A284F" w:rsidRDefault="00000000">
      <w:pPr>
        <w:pStyle w:val="a3"/>
        <w:spacing w:before="0" w:beforeAutospacing="0" w:after="0" w:afterAutospacing="0" w:line="271" w:lineRule="auto"/>
        <w:ind w:firstLine="360"/>
        <w:jc w:val="both"/>
        <w:divId w:val="1003971069"/>
        <w:rPr>
          <w:rFonts w:ascii="Times New Roman" w:hAnsi="Times New Roman" w:cs="Times New Roman"/>
        </w:rPr>
      </w:pPr>
      <w:r w:rsidRPr="005A284F">
        <w:rPr>
          <w:rFonts w:ascii="Times New Roman" w:hAnsi="Times New Roman" w:cs="Times New Roman"/>
          <w:sz w:val="18"/>
          <w:szCs w:val="18"/>
        </w:rPr>
        <w:t>正常营业周期是指本集团从购买用于加工的资产起至实现现金或现金等价物的期间。本集团以</w:t>
      </w:r>
      <w:r w:rsidRPr="005A284F">
        <w:rPr>
          <w:rFonts w:ascii="Times New Roman" w:hAnsi="Times New Roman" w:cs="Times New Roman"/>
          <w:sz w:val="18"/>
          <w:szCs w:val="18"/>
        </w:rPr>
        <w:t>12</w:t>
      </w:r>
      <w:r w:rsidRPr="005A284F">
        <w:rPr>
          <w:rFonts w:ascii="Times New Roman" w:hAnsi="Times New Roman" w:cs="Times New Roman"/>
          <w:sz w:val="18"/>
          <w:szCs w:val="18"/>
        </w:rPr>
        <w:t>个月作为一个营业周期，并以其作为资产和负债的流动性划分标准。</w:t>
      </w:r>
    </w:p>
    <w:p w14:paraId="09BEDB35" w14:textId="77777777" w:rsidR="006C011D" w:rsidRPr="005A284F" w:rsidRDefault="00000000">
      <w:pPr>
        <w:pStyle w:val="3"/>
        <w:spacing w:line="280" w:lineRule="exact"/>
        <w:jc w:val="left"/>
        <w:rPr>
          <w:rFonts w:ascii="Times New Roman" w:hAnsi="Times New Roman" w:cs="Times New Roman"/>
          <w:b/>
          <w:bCs/>
        </w:rPr>
      </w:pPr>
      <w:bookmarkStart w:id="118" w:name="_Toc989007"/>
      <w:r w:rsidRPr="005A284F">
        <w:rPr>
          <w:rFonts w:ascii="Times New Roman" w:hAnsi="Times New Roman" w:cs="Times New Roman"/>
          <w:b/>
          <w:bCs/>
        </w:rPr>
        <w:t>4</w:t>
      </w:r>
      <w:r w:rsidRPr="005A284F">
        <w:rPr>
          <w:rFonts w:ascii="Times New Roman" w:hAnsi="Times New Roman" w:cs="Times New Roman"/>
          <w:b/>
          <w:bCs/>
        </w:rPr>
        <w:t>、记账本位币</w:t>
      </w:r>
      <w:bookmarkEnd w:id="118"/>
    </w:p>
    <w:p w14:paraId="79EC4449" w14:textId="77777777" w:rsidR="000309B5" w:rsidRPr="005A284F" w:rsidRDefault="00000000">
      <w:pPr>
        <w:pStyle w:val="a3"/>
        <w:spacing w:before="0" w:beforeAutospacing="0" w:after="0" w:afterAutospacing="0" w:line="271" w:lineRule="auto"/>
        <w:ind w:firstLine="360"/>
        <w:divId w:val="557087607"/>
        <w:rPr>
          <w:rFonts w:ascii="Times New Roman" w:hAnsi="Times New Roman" w:cs="Times New Roman"/>
        </w:rPr>
      </w:pPr>
      <w:r w:rsidRPr="005A284F">
        <w:rPr>
          <w:rFonts w:ascii="Times New Roman" w:hAnsi="Times New Roman" w:cs="Times New Roman"/>
          <w:sz w:val="18"/>
          <w:szCs w:val="18"/>
        </w:rPr>
        <w:t>人民币为本公司及境内子公司经营所处的主要经济环境中的货币，本公司及境内子公司以人民币为记账本位币。本集团编制本财务报表时所采用的货币为人民币。</w:t>
      </w:r>
    </w:p>
    <w:p w14:paraId="7804A205" w14:textId="77777777" w:rsidR="006C011D" w:rsidRPr="005A284F" w:rsidRDefault="00000000">
      <w:pPr>
        <w:pStyle w:val="3"/>
        <w:spacing w:line="280" w:lineRule="exact"/>
        <w:jc w:val="left"/>
        <w:rPr>
          <w:rFonts w:ascii="Times New Roman" w:hAnsi="Times New Roman" w:cs="Times New Roman"/>
          <w:b/>
          <w:bCs/>
        </w:rPr>
      </w:pPr>
      <w:bookmarkStart w:id="119" w:name="_Toc989008"/>
      <w:r w:rsidRPr="005A284F">
        <w:rPr>
          <w:rFonts w:ascii="Times New Roman" w:hAnsi="Times New Roman" w:cs="Times New Roman"/>
          <w:b/>
          <w:bCs/>
        </w:rPr>
        <w:t>5</w:t>
      </w:r>
      <w:r w:rsidRPr="005A284F">
        <w:rPr>
          <w:rFonts w:ascii="Times New Roman" w:hAnsi="Times New Roman" w:cs="Times New Roman"/>
          <w:b/>
          <w:bCs/>
        </w:rPr>
        <w:t>、重要性标准确定方法和选择依据</w:t>
      </w:r>
      <w:bookmarkEnd w:id="119"/>
    </w:p>
    <w:p w14:paraId="64C8A39C" w14:textId="77777777" w:rsidR="006C011D" w:rsidRPr="0078003E" w:rsidRDefault="00000000">
      <w:pPr>
        <w:spacing w:before="100" w:after="100" w:line="240" w:lineRule="exact"/>
        <w:rPr>
          <w:rFonts w:ascii="宋体" w:eastAsia="宋体" w:hAnsi="宋体" w:cs="Times New Roman" w:hint="eastAsia"/>
          <w:sz w:val="18"/>
          <w:szCs w:val="18"/>
        </w:rPr>
      </w:pPr>
      <w:r w:rsidRPr="0078003E">
        <w:rPr>
          <w:rFonts w:ascii="宋体" w:eastAsia="宋体" w:hAnsi="宋体" w:cs="Times New Roman"/>
          <w:sz w:val="18"/>
          <w:szCs w:val="18"/>
        </w:rPr>
        <w:sym w:font="Wingdings 2" w:char="F052"/>
      </w:r>
      <w:r w:rsidRPr="0078003E">
        <w:rPr>
          <w:rFonts w:ascii="宋体" w:eastAsia="宋体" w:hAnsi="宋体" w:cs="Times New Roman"/>
          <w:sz w:val="18"/>
          <w:szCs w:val="18"/>
        </w:rPr>
        <w:t>适用 □不适用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6C011D" w:rsidRPr="005A284F" w14:paraId="48F9A98B"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039730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6FDFDA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重要性标准</w:t>
            </w:r>
          </w:p>
        </w:tc>
      </w:tr>
      <w:tr w:rsidR="006C011D" w:rsidRPr="005A284F" w14:paraId="08BCE46C"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CEA1D9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重要的单项计提坏账准备的应收款项</w:t>
            </w:r>
          </w:p>
        </w:tc>
        <w:tc>
          <w:tcPr>
            <w:tcW w:w="4820" w:type="dxa"/>
            <w:tcBorders>
              <w:top w:val="single" w:sz="2" w:space="0" w:color="auto"/>
              <w:left w:val="single" w:sz="2" w:space="0" w:color="auto"/>
              <w:bottom w:val="single" w:sz="2" w:space="0" w:color="auto"/>
              <w:right w:val="single" w:sz="2" w:space="0" w:color="auto"/>
            </w:tcBorders>
            <w:vAlign w:val="center"/>
          </w:tcPr>
          <w:p w14:paraId="2C7E6A3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等于或超过</w:t>
            </w:r>
            <w:r w:rsidRPr="005A284F">
              <w:rPr>
                <w:rFonts w:ascii="Times New Roman" w:eastAsia="宋体" w:hAnsi="Times New Roman" w:cs="Times New Roman"/>
                <w:sz w:val="18"/>
                <w:szCs w:val="18"/>
              </w:rPr>
              <w:t>300</w:t>
            </w:r>
            <w:r w:rsidRPr="005A284F">
              <w:rPr>
                <w:rFonts w:ascii="Times New Roman" w:eastAsia="宋体" w:hAnsi="Times New Roman" w:cs="Times New Roman"/>
                <w:sz w:val="18"/>
                <w:szCs w:val="18"/>
              </w:rPr>
              <w:t>万以上</w:t>
            </w:r>
          </w:p>
        </w:tc>
      </w:tr>
      <w:tr w:rsidR="006C011D" w:rsidRPr="005A284F" w14:paraId="1170D1CF"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193B80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重要的非全资子公司</w:t>
            </w:r>
          </w:p>
        </w:tc>
        <w:tc>
          <w:tcPr>
            <w:tcW w:w="4820" w:type="dxa"/>
            <w:tcBorders>
              <w:top w:val="single" w:sz="2" w:space="0" w:color="auto"/>
              <w:left w:val="single" w:sz="2" w:space="0" w:color="auto"/>
              <w:bottom w:val="single" w:sz="2" w:space="0" w:color="auto"/>
              <w:right w:val="single" w:sz="2" w:space="0" w:color="auto"/>
            </w:tcBorders>
            <w:vAlign w:val="center"/>
          </w:tcPr>
          <w:p w14:paraId="2B08F37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非全资子公司收入金额占集团总收入</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以上或利润总额绝对值占集团利润总额</w:t>
            </w:r>
            <w:r w:rsidRPr="005A284F">
              <w:rPr>
                <w:rFonts w:ascii="Times New Roman" w:eastAsia="宋体" w:hAnsi="Times New Roman" w:cs="Times New Roman"/>
                <w:sz w:val="18"/>
                <w:szCs w:val="18"/>
              </w:rPr>
              <w:t>5%</w:t>
            </w:r>
            <w:r w:rsidRPr="005A284F">
              <w:rPr>
                <w:rFonts w:ascii="Times New Roman" w:eastAsia="宋体" w:hAnsi="Times New Roman" w:cs="Times New Roman"/>
                <w:sz w:val="18"/>
                <w:szCs w:val="18"/>
              </w:rPr>
              <w:t>以上</w:t>
            </w:r>
          </w:p>
        </w:tc>
      </w:tr>
      <w:tr w:rsidR="006C011D" w:rsidRPr="005A284F" w14:paraId="5A2E77D0"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02DA0C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重要在建工程</w:t>
            </w:r>
          </w:p>
        </w:tc>
        <w:tc>
          <w:tcPr>
            <w:tcW w:w="4820" w:type="dxa"/>
            <w:tcBorders>
              <w:top w:val="single" w:sz="2" w:space="0" w:color="auto"/>
              <w:left w:val="single" w:sz="2" w:space="0" w:color="auto"/>
              <w:bottom w:val="single" w:sz="2" w:space="0" w:color="auto"/>
              <w:right w:val="single" w:sz="2" w:space="0" w:color="auto"/>
            </w:tcBorders>
            <w:vAlign w:val="center"/>
          </w:tcPr>
          <w:p w14:paraId="617ED7E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等于或超过</w:t>
            </w:r>
            <w:r w:rsidRPr="005A284F">
              <w:rPr>
                <w:rFonts w:ascii="Times New Roman" w:eastAsia="宋体" w:hAnsi="Times New Roman" w:cs="Times New Roman"/>
                <w:sz w:val="18"/>
                <w:szCs w:val="18"/>
              </w:rPr>
              <w:t>100</w:t>
            </w:r>
            <w:r w:rsidRPr="005A284F">
              <w:rPr>
                <w:rFonts w:ascii="Times New Roman" w:eastAsia="宋体" w:hAnsi="Times New Roman" w:cs="Times New Roman"/>
                <w:sz w:val="18"/>
                <w:szCs w:val="18"/>
              </w:rPr>
              <w:t>万以上</w:t>
            </w:r>
          </w:p>
        </w:tc>
      </w:tr>
    </w:tbl>
    <w:p w14:paraId="43B742CD" w14:textId="77777777" w:rsidR="006C011D" w:rsidRPr="005A284F" w:rsidRDefault="00000000">
      <w:pPr>
        <w:pStyle w:val="3"/>
        <w:spacing w:line="280" w:lineRule="exact"/>
        <w:jc w:val="left"/>
        <w:rPr>
          <w:rFonts w:ascii="Times New Roman" w:hAnsi="Times New Roman" w:cs="Times New Roman"/>
          <w:b/>
          <w:bCs/>
        </w:rPr>
      </w:pPr>
      <w:bookmarkStart w:id="120" w:name="_Toc989009"/>
      <w:r w:rsidRPr="005A284F">
        <w:rPr>
          <w:rFonts w:ascii="Times New Roman" w:hAnsi="Times New Roman" w:cs="Times New Roman"/>
          <w:b/>
          <w:bCs/>
        </w:rPr>
        <w:t>6</w:t>
      </w:r>
      <w:r w:rsidRPr="005A284F">
        <w:rPr>
          <w:rFonts w:ascii="Times New Roman" w:hAnsi="Times New Roman" w:cs="Times New Roman"/>
          <w:b/>
          <w:bCs/>
        </w:rPr>
        <w:t>、同一控制下和非同一控制下企业合并的会计处理方法</w:t>
      </w:r>
      <w:bookmarkEnd w:id="120"/>
    </w:p>
    <w:p w14:paraId="688A7CF3" w14:textId="77777777" w:rsidR="000309B5" w:rsidRPr="0078003E" w:rsidRDefault="00000000" w:rsidP="0078003E">
      <w:pPr>
        <w:pStyle w:val="a3"/>
        <w:spacing w:before="0" w:beforeAutospacing="0" w:after="0" w:afterAutospacing="0" w:line="276" w:lineRule="auto"/>
        <w:ind w:firstLineChars="200" w:firstLine="360"/>
        <w:jc w:val="both"/>
        <w:divId w:val="2094352785"/>
        <w:rPr>
          <w:rFonts w:ascii="Times New Roman" w:hAnsi="Times New Roman" w:cs="Times New Roman"/>
        </w:rPr>
      </w:pPr>
      <w:r w:rsidRPr="0078003E">
        <w:rPr>
          <w:rFonts w:ascii="Times New Roman" w:hAnsi="Times New Roman" w:cs="Times New Roman"/>
          <w:sz w:val="18"/>
          <w:szCs w:val="18"/>
        </w:rPr>
        <w:t>企业合并，是指将两个或两个以上单独的企业合并形成一个报告主体的交易或事项。企业合并分为同一控制下企业合并和非同一控制下企业合并。</w:t>
      </w:r>
    </w:p>
    <w:p w14:paraId="23E86540" w14:textId="77777777" w:rsidR="000309B5" w:rsidRPr="0078003E" w:rsidRDefault="00000000" w:rsidP="0078003E">
      <w:pPr>
        <w:pStyle w:val="a3"/>
        <w:spacing w:before="0" w:beforeAutospacing="0" w:after="0" w:afterAutospacing="0" w:line="276" w:lineRule="auto"/>
        <w:ind w:firstLineChars="200" w:firstLine="360"/>
        <w:jc w:val="both"/>
        <w:divId w:val="2094352785"/>
        <w:rPr>
          <w:rFonts w:ascii="Times New Roman" w:hAnsi="Times New Roman" w:cs="Times New Roman"/>
        </w:rPr>
      </w:pPr>
      <w:r w:rsidRPr="0078003E">
        <w:rPr>
          <w:rFonts w:ascii="Times New Roman" w:hAnsi="Times New Roman" w:cs="Times New Roman"/>
          <w:sz w:val="18"/>
          <w:szCs w:val="18"/>
        </w:rPr>
        <w:t>同一控制下企业合并</w:t>
      </w:r>
    </w:p>
    <w:p w14:paraId="2580FC1A" w14:textId="77777777" w:rsidR="000309B5" w:rsidRPr="0078003E" w:rsidRDefault="00000000" w:rsidP="0078003E">
      <w:pPr>
        <w:pStyle w:val="a3"/>
        <w:spacing w:before="0" w:beforeAutospacing="0" w:after="0" w:afterAutospacing="0" w:line="276" w:lineRule="auto"/>
        <w:ind w:firstLineChars="200" w:firstLine="360"/>
        <w:jc w:val="both"/>
        <w:divId w:val="2094352785"/>
        <w:rPr>
          <w:rFonts w:ascii="Times New Roman" w:hAnsi="Times New Roman" w:cs="Times New Roman"/>
        </w:rPr>
      </w:pPr>
      <w:r w:rsidRPr="0078003E">
        <w:rPr>
          <w:rFonts w:ascii="Times New Roman" w:hAnsi="Times New Roman" w:cs="Times New Roman"/>
          <w:sz w:val="18"/>
          <w:szCs w:val="18"/>
        </w:rPr>
        <w:t>参与合并的企业在合并前后均受同一方或相同的多方最终控制，且该控制并非暂时性的，为同一控制下的企业合并。同一控制下的企业合并，在合并日取得对其他参与合并企业控制权的一方为合并方，参与合并的其他企业为被合并方。合并日，是指合并方实际取得对被合并方控制权的日期。</w:t>
      </w:r>
    </w:p>
    <w:p w14:paraId="60543F98" w14:textId="77777777" w:rsidR="000309B5" w:rsidRPr="0078003E" w:rsidRDefault="00000000" w:rsidP="0078003E">
      <w:pPr>
        <w:pStyle w:val="a3"/>
        <w:spacing w:before="0" w:beforeAutospacing="0" w:after="0" w:afterAutospacing="0" w:line="276" w:lineRule="auto"/>
        <w:ind w:firstLineChars="200" w:firstLine="360"/>
        <w:jc w:val="both"/>
        <w:divId w:val="2094352785"/>
        <w:rPr>
          <w:rFonts w:ascii="Times New Roman" w:hAnsi="Times New Roman" w:cs="Times New Roman"/>
        </w:rPr>
      </w:pPr>
      <w:r w:rsidRPr="0078003E">
        <w:rPr>
          <w:rFonts w:ascii="Times New Roman" w:hAnsi="Times New Roman" w:cs="Times New Roman"/>
          <w:sz w:val="18"/>
          <w:szCs w:val="18"/>
        </w:rPr>
        <w:t>合并方取得的资产和负债均按合并日在被合并方的账面价值计量。合并方取得的净资产账面价值与支付的合并对价账面价值（或发行股份面值总额）的差额，调整资本公积（股本溢价）；资本公积（股本溢价）不足以冲减的，调整留存收益。</w:t>
      </w:r>
    </w:p>
    <w:p w14:paraId="1B18955E" w14:textId="77777777" w:rsidR="000309B5" w:rsidRPr="0078003E" w:rsidRDefault="00000000" w:rsidP="0078003E">
      <w:pPr>
        <w:pStyle w:val="a3"/>
        <w:spacing w:before="0" w:beforeAutospacing="0" w:after="0" w:afterAutospacing="0" w:line="276" w:lineRule="auto"/>
        <w:ind w:firstLineChars="200" w:firstLine="360"/>
        <w:jc w:val="both"/>
        <w:divId w:val="2094352785"/>
        <w:rPr>
          <w:rFonts w:ascii="Times New Roman" w:hAnsi="Times New Roman" w:cs="Times New Roman"/>
        </w:rPr>
      </w:pPr>
      <w:r w:rsidRPr="0078003E">
        <w:rPr>
          <w:rFonts w:ascii="Times New Roman" w:hAnsi="Times New Roman" w:cs="Times New Roman"/>
          <w:sz w:val="18"/>
          <w:szCs w:val="18"/>
        </w:rPr>
        <w:t>合并方为企业合并发生的审计、法律服务、评估咨询等中介费用以及其他相关管理费用，于发生时计入当期损益。</w:t>
      </w:r>
    </w:p>
    <w:p w14:paraId="19270740" w14:textId="77777777" w:rsidR="000309B5" w:rsidRPr="0078003E" w:rsidRDefault="00000000" w:rsidP="0078003E">
      <w:pPr>
        <w:pStyle w:val="a3"/>
        <w:spacing w:before="0" w:beforeAutospacing="0" w:after="0" w:afterAutospacing="0" w:line="276" w:lineRule="auto"/>
        <w:ind w:firstLineChars="200" w:firstLine="360"/>
        <w:jc w:val="both"/>
        <w:divId w:val="2094352785"/>
        <w:rPr>
          <w:rFonts w:ascii="Times New Roman" w:hAnsi="Times New Roman" w:cs="Times New Roman"/>
        </w:rPr>
      </w:pPr>
      <w:r w:rsidRPr="0078003E">
        <w:rPr>
          <w:rFonts w:ascii="Times New Roman" w:hAnsi="Times New Roman" w:cs="Times New Roman"/>
          <w:sz w:val="18"/>
          <w:szCs w:val="18"/>
        </w:rPr>
        <w:t>非同一控制下企业合并</w:t>
      </w:r>
    </w:p>
    <w:p w14:paraId="094DDC66" w14:textId="77777777" w:rsidR="000309B5" w:rsidRPr="0078003E" w:rsidRDefault="00000000" w:rsidP="0078003E">
      <w:pPr>
        <w:pStyle w:val="a3"/>
        <w:spacing w:before="0" w:beforeAutospacing="0" w:after="0" w:afterAutospacing="0" w:line="276" w:lineRule="auto"/>
        <w:ind w:firstLineChars="200" w:firstLine="360"/>
        <w:jc w:val="both"/>
        <w:divId w:val="2094352785"/>
        <w:rPr>
          <w:rFonts w:ascii="Times New Roman" w:hAnsi="Times New Roman" w:cs="Times New Roman"/>
        </w:rPr>
      </w:pPr>
      <w:r w:rsidRPr="0078003E">
        <w:rPr>
          <w:rFonts w:ascii="Times New Roman" w:hAnsi="Times New Roman" w:cs="Times New Roman"/>
          <w:sz w:val="18"/>
          <w:szCs w:val="18"/>
        </w:rPr>
        <w:t>参与合并的企业在合并前后不受同一方或相同的多方最终控制的，为非同一控制下的企业合并。非同一控制下的企业合并，在购买日取得对其他参与合并企业控制权的一方为购买方，参与合并的其他企业为被购买方。购买日，是指为购买方实际取得对被购买方控制权的日期。</w:t>
      </w:r>
    </w:p>
    <w:p w14:paraId="0B0CE6BC" w14:textId="77777777" w:rsidR="000309B5" w:rsidRPr="0078003E" w:rsidRDefault="00000000" w:rsidP="0078003E">
      <w:pPr>
        <w:pStyle w:val="a3"/>
        <w:spacing w:before="0" w:beforeAutospacing="0" w:after="0" w:afterAutospacing="0" w:line="276" w:lineRule="auto"/>
        <w:ind w:firstLineChars="200" w:firstLine="360"/>
        <w:jc w:val="both"/>
        <w:divId w:val="2094352785"/>
        <w:rPr>
          <w:rFonts w:ascii="Times New Roman" w:hAnsi="Times New Roman" w:cs="Times New Roman"/>
        </w:rPr>
      </w:pPr>
      <w:r w:rsidRPr="0078003E">
        <w:rPr>
          <w:rFonts w:ascii="Times New Roman" w:hAnsi="Times New Roman" w:cs="Times New Roman"/>
          <w:sz w:val="18"/>
          <w:szCs w:val="18"/>
        </w:rPr>
        <w:t>对于非同一控制下的企业合并，合并成本包含购买日购买方为取得对被购买方的控制权而付出的资产、发生或承担的负债以及发行的权益性证券的公允价值，为企业合并发生的审计、法律服务、评估咨询等中介费用以及其他管理费用于发生时计入当期损益。购买方作为合并对价发行的权益性证券或债务性证券的交易费用，计入权益性证券或债务性证券的初</w:t>
      </w:r>
      <w:r w:rsidRPr="0078003E">
        <w:rPr>
          <w:rFonts w:ascii="Times New Roman" w:hAnsi="Times New Roman" w:cs="Times New Roman"/>
          <w:sz w:val="18"/>
          <w:szCs w:val="18"/>
        </w:rPr>
        <w:lastRenderedPageBreak/>
        <w:t>始确认金额。所涉及的或有对价按其在购买日的公允价值计入合并成本，购买日后</w:t>
      </w:r>
      <w:r w:rsidRPr="0078003E">
        <w:rPr>
          <w:rFonts w:ascii="Times New Roman" w:hAnsi="Times New Roman" w:cs="Times New Roman"/>
          <w:sz w:val="18"/>
          <w:szCs w:val="18"/>
        </w:rPr>
        <w:t>12</w:t>
      </w:r>
      <w:r w:rsidRPr="0078003E">
        <w:rPr>
          <w:rFonts w:ascii="Times New Roman" w:hAnsi="Times New Roman" w:cs="Times New Roman"/>
          <w:sz w:val="18"/>
          <w:szCs w:val="18"/>
        </w:rPr>
        <w:t>个月内出现对购买日已存在情况的新的或进一步证据而需要调整或有对价的，相应调整合并商誉。购买方发生的合并成本及在合并中取得的可辨认净资产按购买日的公允价值计量。合并成本大于合并中取得的被购买方于购买日可辨认净资产公允价值份额的差额，确认为商誉。合并成本小于合并中取得的被购买方可辨认净资产公允价值份额的，首先对取得的被购买方各项可辨认资产、负债及或有负债的公允价值以及合并成本的计量进行复核，复核后合并成本仍小于合并中取得的被购买方可辨认净资产公允价值份额的，其差额计入当期损益。</w:t>
      </w:r>
    </w:p>
    <w:p w14:paraId="08FC7E30" w14:textId="77777777" w:rsidR="000309B5" w:rsidRPr="0078003E" w:rsidRDefault="00000000" w:rsidP="0078003E">
      <w:pPr>
        <w:pStyle w:val="a3"/>
        <w:spacing w:before="0" w:beforeAutospacing="0" w:after="0" w:afterAutospacing="0" w:line="276" w:lineRule="auto"/>
        <w:ind w:firstLineChars="200" w:firstLine="360"/>
        <w:jc w:val="both"/>
        <w:divId w:val="2094352785"/>
        <w:rPr>
          <w:rFonts w:ascii="Times New Roman" w:hAnsi="Times New Roman" w:cs="Times New Roman"/>
        </w:rPr>
      </w:pPr>
      <w:r w:rsidRPr="0078003E">
        <w:rPr>
          <w:rFonts w:ascii="Times New Roman" w:hAnsi="Times New Roman" w:cs="Times New Roman"/>
          <w:sz w:val="18"/>
          <w:szCs w:val="18"/>
        </w:rPr>
        <w:t>购买方取得被购买方的可抵扣暂时性差异，在购买日因不符合递延所得税资产确认条件而未予确认的，在购买日后</w:t>
      </w:r>
      <w:r w:rsidRPr="0078003E">
        <w:rPr>
          <w:rFonts w:ascii="Times New Roman" w:hAnsi="Times New Roman" w:cs="Times New Roman"/>
          <w:sz w:val="18"/>
          <w:szCs w:val="18"/>
        </w:rPr>
        <w:t>12</w:t>
      </w:r>
      <w:r w:rsidRPr="0078003E">
        <w:rPr>
          <w:rFonts w:ascii="Times New Roman" w:hAnsi="Times New Roman" w:cs="Times New Roman"/>
          <w:sz w:val="18"/>
          <w:szCs w:val="18"/>
        </w:rPr>
        <w:t>个月内，如取得新的或进一步的信息表明购买日的相关情况已经存在，预期被购买方在购买日可抵扣暂时性差异带来的经济利益能够实现的，则确认相关的递延所得税资产，同时减少商誉，商誉不足冲减的，差额部分确认为当期损益；除上述情况以外，确认与企业合并相关的递延所得税资产的，计入当期损益。</w:t>
      </w:r>
    </w:p>
    <w:p w14:paraId="59819A47" w14:textId="77777777" w:rsidR="000309B5" w:rsidRPr="0078003E" w:rsidRDefault="00000000" w:rsidP="0078003E">
      <w:pPr>
        <w:pStyle w:val="a3"/>
        <w:spacing w:before="0" w:beforeAutospacing="0" w:after="0" w:afterAutospacing="0" w:line="276" w:lineRule="auto"/>
        <w:ind w:firstLineChars="200" w:firstLine="360"/>
        <w:jc w:val="both"/>
        <w:divId w:val="2094352785"/>
        <w:rPr>
          <w:rFonts w:ascii="Times New Roman" w:hAnsi="Times New Roman" w:cs="Times New Roman"/>
        </w:rPr>
      </w:pPr>
      <w:r w:rsidRPr="0078003E">
        <w:rPr>
          <w:rFonts w:ascii="Times New Roman" w:hAnsi="Times New Roman" w:cs="Times New Roman"/>
          <w:sz w:val="18"/>
          <w:szCs w:val="18"/>
        </w:rPr>
        <w:t>通过多次交易分步实现的非同一控制下企业合并，根据《财政部关于印发企业会计准则解释第</w:t>
      </w:r>
      <w:r w:rsidRPr="0078003E">
        <w:rPr>
          <w:rFonts w:ascii="Times New Roman" w:hAnsi="Times New Roman" w:cs="Times New Roman"/>
          <w:sz w:val="18"/>
          <w:szCs w:val="18"/>
        </w:rPr>
        <w:t>5</w:t>
      </w:r>
      <w:r w:rsidRPr="0078003E">
        <w:rPr>
          <w:rFonts w:ascii="Times New Roman" w:hAnsi="Times New Roman" w:cs="Times New Roman"/>
          <w:sz w:val="18"/>
          <w:szCs w:val="18"/>
        </w:rPr>
        <w:t>号的通知》（财会</w:t>
      </w:r>
      <w:r w:rsidRPr="0078003E">
        <w:rPr>
          <w:rFonts w:ascii="Times New Roman" w:hAnsi="Times New Roman" w:cs="Times New Roman"/>
          <w:sz w:val="18"/>
          <w:szCs w:val="18"/>
        </w:rPr>
        <w:t>[2012]19</w:t>
      </w:r>
      <w:r w:rsidRPr="0078003E">
        <w:rPr>
          <w:rFonts w:ascii="Times New Roman" w:hAnsi="Times New Roman" w:cs="Times New Roman"/>
          <w:sz w:val="18"/>
          <w:szCs w:val="18"/>
        </w:rPr>
        <w:t>号）和《企业会计准则第</w:t>
      </w:r>
      <w:r w:rsidRPr="0078003E">
        <w:rPr>
          <w:rFonts w:ascii="Times New Roman" w:hAnsi="Times New Roman" w:cs="Times New Roman"/>
          <w:sz w:val="18"/>
          <w:szCs w:val="18"/>
        </w:rPr>
        <w:t>33</w:t>
      </w:r>
      <w:r w:rsidRPr="0078003E">
        <w:rPr>
          <w:rFonts w:ascii="Times New Roman" w:hAnsi="Times New Roman" w:cs="Times New Roman"/>
          <w:sz w:val="18"/>
          <w:szCs w:val="18"/>
        </w:rPr>
        <w:t>号</w:t>
      </w:r>
      <w:r w:rsidRPr="0078003E">
        <w:rPr>
          <w:rFonts w:ascii="Times New Roman" w:hAnsi="Times New Roman" w:cs="Times New Roman"/>
          <w:sz w:val="18"/>
          <w:szCs w:val="18"/>
        </w:rPr>
        <w:t>——</w:t>
      </w:r>
      <w:r w:rsidRPr="0078003E">
        <w:rPr>
          <w:rFonts w:ascii="Times New Roman" w:hAnsi="Times New Roman" w:cs="Times New Roman"/>
          <w:sz w:val="18"/>
          <w:szCs w:val="18"/>
        </w:rPr>
        <w:t>合并财务报表》第五十一条关于</w:t>
      </w:r>
      <w:r w:rsidRPr="0078003E">
        <w:rPr>
          <w:rFonts w:ascii="Times New Roman" w:hAnsi="Times New Roman" w:cs="Times New Roman"/>
          <w:sz w:val="18"/>
          <w:szCs w:val="18"/>
        </w:rPr>
        <w:t>“</w:t>
      </w:r>
      <w:r w:rsidRPr="0078003E">
        <w:rPr>
          <w:rFonts w:ascii="Times New Roman" w:hAnsi="Times New Roman" w:cs="Times New Roman"/>
          <w:sz w:val="18"/>
          <w:szCs w:val="18"/>
        </w:rPr>
        <w:t>一揽子交易</w:t>
      </w:r>
      <w:r w:rsidRPr="0078003E">
        <w:rPr>
          <w:rFonts w:ascii="Times New Roman" w:hAnsi="Times New Roman" w:cs="Times New Roman"/>
          <w:sz w:val="18"/>
          <w:szCs w:val="18"/>
        </w:rPr>
        <w:t>”</w:t>
      </w:r>
      <w:r w:rsidRPr="0078003E">
        <w:rPr>
          <w:rFonts w:ascii="Times New Roman" w:hAnsi="Times New Roman" w:cs="Times New Roman"/>
          <w:sz w:val="18"/>
          <w:szCs w:val="18"/>
        </w:rPr>
        <w:t>的判断标准（参见本附注五、</w:t>
      </w:r>
      <w:r w:rsidRPr="0078003E">
        <w:rPr>
          <w:rFonts w:ascii="Times New Roman" w:hAnsi="Times New Roman" w:cs="Times New Roman"/>
          <w:sz w:val="18"/>
          <w:szCs w:val="18"/>
        </w:rPr>
        <w:t>7“</w:t>
      </w:r>
      <w:r w:rsidRPr="0078003E">
        <w:rPr>
          <w:rFonts w:ascii="Times New Roman" w:hAnsi="Times New Roman" w:cs="Times New Roman"/>
          <w:sz w:val="18"/>
          <w:szCs w:val="18"/>
        </w:rPr>
        <w:t>控制的判断标准和合并财务报表的编制方法</w:t>
      </w:r>
      <w:r w:rsidRPr="0078003E">
        <w:rPr>
          <w:rFonts w:ascii="Times New Roman" w:hAnsi="Times New Roman" w:cs="Times New Roman"/>
          <w:sz w:val="18"/>
          <w:szCs w:val="18"/>
        </w:rPr>
        <w:t xml:space="preserve"> ”</w:t>
      </w:r>
      <w:r w:rsidRPr="0078003E">
        <w:rPr>
          <w:rFonts w:ascii="Times New Roman" w:hAnsi="Times New Roman" w:cs="Times New Roman"/>
          <w:sz w:val="18"/>
          <w:szCs w:val="18"/>
        </w:rPr>
        <w:t>（</w:t>
      </w:r>
      <w:r w:rsidRPr="0078003E">
        <w:rPr>
          <w:rFonts w:ascii="Times New Roman" w:hAnsi="Times New Roman" w:cs="Times New Roman"/>
          <w:sz w:val="18"/>
          <w:szCs w:val="18"/>
        </w:rPr>
        <w:t>2</w:t>
      </w:r>
      <w:r w:rsidRPr="0078003E">
        <w:rPr>
          <w:rFonts w:ascii="Times New Roman" w:hAnsi="Times New Roman" w:cs="Times New Roman"/>
          <w:sz w:val="18"/>
          <w:szCs w:val="18"/>
        </w:rPr>
        <w:t>）），判断该多次交易是否属于</w:t>
      </w:r>
      <w:r w:rsidRPr="0078003E">
        <w:rPr>
          <w:rFonts w:ascii="Times New Roman" w:hAnsi="Times New Roman" w:cs="Times New Roman"/>
          <w:sz w:val="18"/>
          <w:szCs w:val="18"/>
        </w:rPr>
        <w:t>“</w:t>
      </w:r>
      <w:r w:rsidRPr="0078003E">
        <w:rPr>
          <w:rFonts w:ascii="Times New Roman" w:hAnsi="Times New Roman" w:cs="Times New Roman"/>
          <w:sz w:val="18"/>
          <w:szCs w:val="18"/>
        </w:rPr>
        <w:t>一揽子交易</w:t>
      </w:r>
      <w:r w:rsidRPr="0078003E">
        <w:rPr>
          <w:rFonts w:ascii="Times New Roman" w:hAnsi="Times New Roman" w:cs="Times New Roman"/>
          <w:sz w:val="18"/>
          <w:szCs w:val="18"/>
        </w:rPr>
        <w:t>”</w:t>
      </w:r>
      <w:r w:rsidRPr="0078003E">
        <w:rPr>
          <w:rFonts w:ascii="Times New Roman" w:hAnsi="Times New Roman" w:cs="Times New Roman"/>
          <w:sz w:val="18"/>
          <w:szCs w:val="18"/>
        </w:rPr>
        <w:t>。属于</w:t>
      </w:r>
      <w:r w:rsidRPr="0078003E">
        <w:rPr>
          <w:rFonts w:ascii="Times New Roman" w:hAnsi="Times New Roman" w:cs="Times New Roman"/>
          <w:sz w:val="18"/>
          <w:szCs w:val="18"/>
        </w:rPr>
        <w:t>“</w:t>
      </w:r>
      <w:r w:rsidRPr="0078003E">
        <w:rPr>
          <w:rFonts w:ascii="Times New Roman" w:hAnsi="Times New Roman" w:cs="Times New Roman"/>
          <w:sz w:val="18"/>
          <w:szCs w:val="18"/>
        </w:rPr>
        <w:t>一揽子交易</w:t>
      </w:r>
      <w:r w:rsidRPr="0078003E">
        <w:rPr>
          <w:rFonts w:ascii="Times New Roman" w:hAnsi="Times New Roman" w:cs="Times New Roman"/>
          <w:sz w:val="18"/>
          <w:szCs w:val="18"/>
        </w:rPr>
        <w:t>”</w:t>
      </w:r>
      <w:r w:rsidRPr="0078003E">
        <w:rPr>
          <w:rFonts w:ascii="Times New Roman" w:hAnsi="Times New Roman" w:cs="Times New Roman"/>
          <w:sz w:val="18"/>
          <w:szCs w:val="18"/>
        </w:rPr>
        <w:t>的，参考本部分前面各段描述及本附注五、</w:t>
      </w:r>
      <w:r w:rsidRPr="0078003E">
        <w:rPr>
          <w:rFonts w:ascii="Times New Roman" w:hAnsi="Times New Roman" w:cs="Times New Roman"/>
          <w:sz w:val="18"/>
          <w:szCs w:val="18"/>
        </w:rPr>
        <w:t>22“</w:t>
      </w:r>
      <w:r w:rsidRPr="0078003E">
        <w:rPr>
          <w:rFonts w:ascii="Times New Roman" w:hAnsi="Times New Roman" w:cs="Times New Roman"/>
          <w:sz w:val="18"/>
          <w:szCs w:val="18"/>
        </w:rPr>
        <w:t>长期股权投资</w:t>
      </w:r>
      <w:r w:rsidRPr="0078003E">
        <w:rPr>
          <w:rFonts w:ascii="Times New Roman" w:hAnsi="Times New Roman" w:cs="Times New Roman"/>
          <w:sz w:val="18"/>
          <w:szCs w:val="18"/>
        </w:rPr>
        <w:t xml:space="preserve"> ”</w:t>
      </w:r>
      <w:r w:rsidRPr="0078003E">
        <w:rPr>
          <w:rFonts w:ascii="Times New Roman" w:hAnsi="Times New Roman" w:cs="Times New Roman"/>
          <w:sz w:val="18"/>
          <w:szCs w:val="18"/>
        </w:rPr>
        <w:t>进行会计处理；不属于</w:t>
      </w:r>
      <w:r w:rsidRPr="0078003E">
        <w:rPr>
          <w:rFonts w:ascii="Times New Roman" w:hAnsi="Times New Roman" w:cs="Times New Roman"/>
          <w:sz w:val="18"/>
          <w:szCs w:val="18"/>
        </w:rPr>
        <w:t>“</w:t>
      </w:r>
      <w:r w:rsidRPr="0078003E">
        <w:rPr>
          <w:rFonts w:ascii="Times New Roman" w:hAnsi="Times New Roman" w:cs="Times New Roman"/>
          <w:sz w:val="18"/>
          <w:szCs w:val="18"/>
        </w:rPr>
        <w:t>一揽子交易</w:t>
      </w:r>
      <w:r w:rsidRPr="0078003E">
        <w:rPr>
          <w:rFonts w:ascii="Times New Roman" w:hAnsi="Times New Roman" w:cs="Times New Roman"/>
          <w:sz w:val="18"/>
          <w:szCs w:val="18"/>
        </w:rPr>
        <w:t>”</w:t>
      </w:r>
      <w:r w:rsidRPr="0078003E">
        <w:rPr>
          <w:rFonts w:ascii="Times New Roman" w:hAnsi="Times New Roman" w:cs="Times New Roman"/>
          <w:sz w:val="18"/>
          <w:szCs w:val="18"/>
        </w:rPr>
        <w:t>的，区分个别财务报表和合并财务报表进行相关会计处理：</w:t>
      </w:r>
    </w:p>
    <w:p w14:paraId="5C088163" w14:textId="77777777" w:rsidR="000309B5" w:rsidRPr="0078003E" w:rsidRDefault="00000000" w:rsidP="0078003E">
      <w:pPr>
        <w:pStyle w:val="a3"/>
        <w:spacing w:before="0" w:beforeAutospacing="0" w:after="0" w:afterAutospacing="0" w:line="276" w:lineRule="auto"/>
        <w:ind w:firstLineChars="200" w:firstLine="360"/>
        <w:jc w:val="both"/>
        <w:divId w:val="2094352785"/>
        <w:rPr>
          <w:rFonts w:ascii="Times New Roman" w:hAnsi="Times New Roman" w:cs="Times New Roman"/>
        </w:rPr>
      </w:pPr>
      <w:r w:rsidRPr="0078003E">
        <w:rPr>
          <w:rFonts w:ascii="Times New Roman" w:hAnsi="Times New Roman" w:cs="Times New Roman"/>
          <w:sz w:val="18"/>
          <w:szCs w:val="18"/>
        </w:rPr>
        <w:t>在个别财务报表中，以购买日之前所持被购买方的股权投资的账面价值与购买日新增投资成本之和，作为该项投资的初始投资成本；购买日之前持有的被购买方的股权涉及其他综合收益的，在处置该项投资时将与其相关的其他综合收益采用与被购买方直接处置相关资产或负债相同的基础进行会计处理。</w:t>
      </w:r>
    </w:p>
    <w:p w14:paraId="4D58ACDF" w14:textId="77777777" w:rsidR="000309B5" w:rsidRPr="0078003E" w:rsidRDefault="00000000" w:rsidP="0078003E">
      <w:pPr>
        <w:pStyle w:val="a3"/>
        <w:spacing w:before="0" w:beforeAutospacing="0" w:after="0" w:afterAutospacing="0" w:line="276" w:lineRule="auto"/>
        <w:ind w:firstLineChars="200" w:firstLine="360"/>
        <w:jc w:val="both"/>
        <w:divId w:val="2094352785"/>
        <w:rPr>
          <w:rFonts w:ascii="Times New Roman" w:hAnsi="Times New Roman" w:cs="Times New Roman"/>
        </w:rPr>
      </w:pPr>
      <w:r w:rsidRPr="0078003E">
        <w:rPr>
          <w:rFonts w:ascii="Times New Roman" w:hAnsi="Times New Roman" w:cs="Times New Roman"/>
          <w:sz w:val="18"/>
          <w:szCs w:val="18"/>
        </w:rPr>
        <w:t xml:space="preserve">  </w:t>
      </w:r>
      <w:r w:rsidRPr="0078003E">
        <w:rPr>
          <w:rFonts w:ascii="Times New Roman" w:hAnsi="Times New Roman" w:cs="Times New Roman"/>
          <w:sz w:val="18"/>
          <w:szCs w:val="18"/>
        </w:rPr>
        <w:t>在合并财务报表中，对于购买日之前持有的被购买方的股权，按照该股权在购买日的公允价值进行重新计量，公允价值与其账面价值的差额计入当期投资收益；购买日之前持有的被购买方的股权涉及其他综合收益的，与其相关的其他综合收益应当采用与被购买方直接处置相关资产或负债相同的基础进行会计处理。</w:t>
      </w:r>
    </w:p>
    <w:p w14:paraId="5DECD528" w14:textId="77777777" w:rsidR="006C011D" w:rsidRPr="005A284F" w:rsidRDefault="00000000">
      <w:pPr>
        <w:pStyle w:val="3"/>
        <w:spacing w:line="280" w:lineRule="exact"/>
        <w:jc w:val="left"/>
        <w:rPr>
          <w:rFonts w:ascii="Times New Roman" w:hAnsi="Times New Roman" w:cs="Times New Roman"/>
          <w:b/>
          <w:bCs/>
        </w:rPr>
      </w:pPr>
      <w:bookmarkStart w:id="121" w:name="_Toc989010"/>
      <w:r w:rsidRPr="005A284F">
        <w:rPr>
          <w:rFonts w:ascii="Times New Roman" w:hAnsi="Times New Roman" w:cs="Times New Roman"/>
          <w:b/>
          <w:bCs/>
        </w:rPr>
        <w:t>7</w:t>
      </w:r>
      <w:r w:rsidRPr="005A284F">
        <w:rPr>
          <w:rFonts w:ascii="Times New Roman" w:hAnsi="Times New Roman" w:cs="Times New Roman"/>
          <w:b/>
          <w:bCs/>
        </w:rPr>
        <w:t>、控制的判断标准和合并财务报表的编制方法</w:t>
      </w:r>
      <w:bookmarkEnd w:id="121"/>
    </w:p>
    <w:p w14:paraId="61BA39D1" w14:textId="77777777" w:rsidR="000309B5" w:rsidRPr="0078003E" w:rsidRDefault="00000000" w:rsidP="0078003E">
      <w:pPr>
        <w:pStyle w:val="a3"/>
        <w:spacing w:before="0" w:beforeAutospacing="0" w:after="0" w:afterAutospacing="0" w:line="276" w:lineRule="auto"/>
        <w:ind w:firstLineChars="200" w:firstLine="360"/>
        <w:jc w:val="both"/>
        <w:divId w:val="1749426644"/>
        <w:rPr>
          <w:rFonts w:ascii="Times New Roman" w:hAnsi="Times New Roman" w:cs="Times New Roman"/>
          <w:sz w:val="18"/>
          <w:szCs w:val="18"/>
        </w:rPr>
      </w:pPr>
      <w:r w:rsidRPr="005A284F">
        <w:rPr>
          <w:rFonts w:ascii="Times New Roman" w:hAnsi="Times New Roman" w:cs="Times New Roman"/>
          <w:sz w:val="18"/>
          <w:szCs w:val="18"/>
        </w:rPr>
        <w:t>合并财务报表范围的确定原则</w:t>
      </w:r>
    </w:p>
    <w:p w14:paraId="40490268" w14:textId="77777777" w:rsidR="000309B5" w:rsidRPr="0078003E" w:rsidRDefault="00000000" w:rsidP="0078003E">
      <w:pPr>
        <w:pStyle w:val="a3"/>
        <w:spacing w:before="0" w:beforeAutospacing="0" w:after="0" w:afterAutospacing="0" w:line="276" w:lineRule="auto"/>
        <w:ind w:firstLineChars="200" w:firstLine="360"/>
        <w:jc w:val="both"/>
        <w:divId w:val="1749426644"/>
        <w:rPr>
          <w:rFonts w:ascii="Times New Roman" w:hAnsi="Times New Roman" w:cs="Times New Roman"/>
          <w:sz w:val="18"/>
          <w:szCs w:val="18"/>
        </w:rPr>
      </w:pPr>
      <w:r w:rsidRPr="005A284F">
        <w:rPr>
          <w:rFonts w:ascii="Times New Roman" w:hAnsi="Times New Roman" w:cs="Times New Roman"/>
          <w:sz w:val="18"/>
          <w:szCs w:val="18"/>
        </w:rPr>
        <w:t>合并财务报表的合并范围以控制为基础予以确定。控制是指本集团拥有对被投资方的权力，通过参与被投资方的相关活动而享有可变回报，并且有能力运用对被投资方的权力影响该回报金额。合并范围包括本公司及全部子公司。子公司，是指被本集团控制的主体。</w:t>
      </w:r>
    </w:p>
    <w:p w14:paraId="4BEE36CF" w14:textId="77777777" w:rsidR="000309B5" w:rsidRPr="0078003E" w:rsidRDefault="00000000" w:rsidP="0078003E">
      <w:pPr>
        <w:pStyle w:val="a3"/>
        <w:spacing w:before="0" w:beforeAutospacing="0" w:after="0" w:afterAutospacing="0" w:line="276" w:lineRule="auto"/>
        <w:ind w:firstLineChars="200" w:firstLine="360"/>
        <w:jc w:val="both"/>
        <w:divId w:val="1749426644"/>
        <w:rPr>
          <w:rFonts w:ascii="Times New Roman" w:hAnsi="Times New Roman" w:cs="Times New Roman"/>
          <w:sz w:val="18"/>
          <w:szCs w:val="18"/>
        </w:rPr>
      </w:pPr>
      <w:r w:rsidRPr="005A284F">
        <w:rPr>
          <w:rFonts w:ascii="Times New Roman" w:hAnsi="Times New Roman" w:cs="Times New Roman"/>
          <w:sz w:val="18"/>
          <w:szCs w:val="18"/>
        </w:rPr>
        <w:t>一旦相关事实和情况的变化导致上述控制定义涉及的相关要素发生了变化，本集团将进行重新评估。</w:t>
      </w:r>
    </w:p>
    <w:p w14:paraId="0CB973AD" w14:textId="77777777" w:rsidR="000309B5" w:rsidRPr="0078003E" w:rsidRDefault="00000000" w:rsidP="0078003E">
      <w:pPr>
        <w:pStyle w:val="a3"/>
        <w:spacing w:before="0" w:beforeAutospacing="0" w:after="0" w:afterAutospacing="0" w:line="276" w:lineRule="auto"/>
        <w:ind w:firstLineChars="200" w:firstLine="360"/>
        <w:jc w:val="both"/>
        <w:divId w:val="1749426644"/>
        <w:rPr>
          <w:rFonts w:ascii="Times New Roman" w:hAnsi="Times New Roman" w:cs="Times New Roman"/>
          <w:sz w:val="18"/>
          <w:szCs w:val="18"/>
        </w:rPr>
      </w:pPr>
      <w:r w:rsidRPr="005A284F">
        <w:rPr>
          <w:rFonts w:ascii="Times New Roman" w:hAnsi="Times New Roman" w:cs="Times New Roman"/>
          <w:sz w:val="18"/>
          <w:szCs w:val="18"/>
        </w:rPr>
        <w:t>合并财务报表编制的方法</w:t>
      </w:r>
    </w:p>
    <w:p w14:paraId="41976A78" w14:textId="77777777" w:rsidR="000309B5" w:rsidRPr="0078003E" w:rsidRDefault="00000000" w:rsidP="0078003E">
      <w:pPr>
        <w:pStyle w:val="a3"/>
        <w:spacing w:before="0" w:beforeAutospacing="0" w:after="0" w:afterAutospacing="0" w:line="276" w:lineRule="auto"/>
        <w:ind w:firstLineChars="200" w:firstLine="360"/>
        <w:jc w:val="both"/>
        <w:divId w:val="1749426644"/>
        <w:rPr>
          <w:rFonts w:ascii="Times New Roman" w:hAnsi="Times New Roman" w:cs="Times New Roman"/>
          <w:sz w:val="18"/>
          <w:szCs w:val="18"/>
        </w:rPr>
      </w:pPr>
      <w:r w:rsidRPr="005A284F">
        <w:rPr>
          <w:rFonts w:ascii="Times New Roman" w:hAnsi="Times New Roman" w:cs="Times New Roman"/>
          <w:sz w:val="18"/>
          <w:szCs w:val="18"/>
        </w:rPr>
        <w:t>从取得子公司的净资产和生产经营决策的实际控制权之日起，本集团开始将其纳入合并范围；从丧失实际控制权之日起停止纳入合并范围。对于处置的子公司，处置日前的经营成果和现金流量已经适当地包括在合并利润表和合并现金流量表中；当期处置的子公司，不调整合并资产负债表的期初数。非同一控制下企业合并增加的子公司，其购买日后的经营成果及现金流量已经适当地包括在合并利润表和合并现金流量表中，且不调整合并财务报表的期初数和对比数。同一控制下企业合并增加的子公司及吸收合并下的被合并方，其自合并当期期初至合并日的经营成果和现金流量已经适当地包括在合并利润表和合并现金流量表中，并且同时调整合并财务报表的对比数。</w:t>
      </w:r>
    </w:p>
    <w:p w14:paraId="68DC6764" w14:textId="77777777" w:rsidR="000309B5" w:rsidRPr="0078003E" w:rsidRDefault="00000000" w:rsidP="0078003E">
      <w:pPr>
        <w:pStyle w:val="a3"/>
        <w:spacing w:before="0" w:beforeAutospacing="0" w:after="0" w:afterAutospacing="0" w:line="276" w:lineRule="auto"/>
        <w:ind w:firstLineChars="200" w:firstLine="360"/>
        <w:jc w:val="both"/>
        <w:divId w:val="1749426644"/>
        <w:rPr>
          <w:rFonts w:ascii="Times New Roman" w:hAnsi="Times New Roman" w:cs="Times New Roman"/>
          <w:sz w:val="18"/>
          <w:szCs w:val="18"/>
        </w:rPr>
      </w:pPr>
      <w:r w:rsidRPr="005A284F">
        <w:rPr>
          <w:rFonts w:ascii="Times New Roman" w:hAnsi="Times New Roman" w:cs="Times New Roman"/>
          <w:sz w:val="18"/>
          <w:szCs w:val="18"/>
        </w:rPr>
        <w:t>在编制合并财务报表时，子公司与本公司采用的会计政策或会计期间不一致的，按照本公司的会计政策和会计期间对子公司财务报表进行必要的调整。对于非同一控制下企业合并取得的子公司，以购买日可辨认净资产公允价值为基础对其财务报表进行调整。</w:t>
      </w:r>
    </w:p>
    <w:p w14:paraId="6A775373" w14:textId="77777777" w:rsidR="000309B5" w:rsidRPr="0078003E" w:rsidRDefault="00000000" w:rsidP="0078003E">
      <w:pPr>
        <w:pStyle w:val="a3"/>
        <w:spacing w:before="0" w:beforeAutospacing="0" w:after="0" w:afterAutospacing="0" w:line="276" w:lineRule="auto"/>
        <w:ind w:firstLineChars="200" w:firstLine="360"/>
        <w:jc w:val="both"/>
        <w:divId w:val="1749426644"/>
        <w:rPr>
          <w:rFonts w:ascii="Times New Roman" w:hAnsi="Times New Roman" w:cs="Times New Roman"/>
          <w:sz w:val="18"/>
          <w:szCs w:val="18"/>
        </w:rPr>
      </w:pPr>
      <w:r w:rsidRPr="005A284F">
        <w:rPr>
          <w:rFonts w:ascii="Times New Roman" w:hAnsi="Times New Roman" w:cs="Times New Roman"/>
          <w:sz w:val="18"/>
          <w:szCs w:val="18"/>
        </w:rPr>
        <w:lastRenderedPageBreak/>
        <w:t>集团内所有重大往来余额、交易及未实现利润在合并财务报表编制时予以抵销。</w:t>
      </w:r>
    </w:p>
    <w:p w14:paraId="7EC940BC" w14:textId="77777777" w:rsidR="000309B5" w:rsidRPr="0078003E" w:rsidRDefault="00000000" w:rsidP="0078003E">
      <w:pPr>
        <w:pStyle w:val="a3"/>
        <w:spacing w:before="0" w:beforeAutospacing="0" w:after="0" w:afterAutospacing="0" w:line="276" w:lineRule="auto"/>
        <w:ind w:firstLineChars="200" w:firstLine="360"/>
        <w:jc w:val="both"/>
        <w:divId w:val="1749426644"/>
        <w:rPr>
          <w:rFonts w:ascii="Times New Roman" w:hAnsi="Times New Roman" w:cs="Times New Roman"/>
          <w:sz w:val="18"/>
          <w:szCs w:val="18"/>
        </w:rPr>
      </w:pPr>
      <w:r w:rsidRPr="005A284F">
        <w:rPr>
          <w:rFonts w:ascii="Times New Roman" w:hAnsi="Times New Roman" w:cs="Times New Roman"/>
          <w:sz w:val="18"/>
          <w:szCs w:val="18"/>
        </w:rPr>
        <w:t>子公司的股东权益及当期净损益中不属于本公司所拥有的部分分别作为少数股东权益及少数股东损益在合并财务报表中股东权益及净利润项下单独列示。子公司当期净损益中属于少数股东权益的份额，在合并利润表中净利润项目下以</w:t>
      </w:r>
      <w:r w:rsidRPr="005A284F">
        <w:rPr>
          <w:rFonts w:ascii="Times New Roman" w:hAnsi="Times New Roman" w:cs="Times New Roman"/>
          <w:sz w:val="18"/>
          <w:szCs w:val="18"/>
        </w:rPr>
        <w:t>“</w:t>
      </w:r>
      <w:r w:rsidRPr="005A284F">
        <w:rPr>
          <w:rFonts w:ascii="Times New Roman" w:hAnsi="Times New Roman" w:cs="Times New Roman"/>
          <w:sz w:val="18"/>
          <w:szCs w:val="18"/>
        </w:rPr>
        <w:t>少数股东损益</w:t>
      </w:r>
      <w:r w:rsidRPr="005A284F">
        <w:rPr>
          <w:rFonts w:ascii="Times New Roman" w:hAnsi="Times New Roman" w:cs="Times New Roman"/>
          <w:sz w:val="18"/>
          <w:szCs w:val="18"/>
        </w:rPr>
        <w:t>”</w:t>
      </w:r>
      <w:r w:rsidRPr="005A284F">
        <w:rPr>
          <w:rFonts w:ascii="Times New Roman" w:hAnsi="Times New Roman" w:cs="Times New Roman"/>
          <w:sz w:val="18"/>
          <w:szCs w:val="18"/>
        </w:rPr>
        <w:t>项目列示。少数股东分担的子公司的亏损超过了少数股东在该子公司期初股东权益中所享有的份额，仍冲减少数股东权益。</w:t>
      </w:r>
    </w:p>
    <w:p w14:paraId="09C563F6" w14:textId="77777777" w:rsidR="000309B5" w:rsidRPr="0078003E" w:rsidRDefault="00000000" w:rsidP="0078003E">
      <w:pPr>
        <w:pStyle w:val="a3"/>
        <w:spacing w:before="0" w:beforeAutospacing="0" w:after="0" w:afterAutospacing="0" w:line="276" w:lineRule="auto"/>
        <w:ind w:firstLineChars="200" w:firstLine="360"/>
        <w:jc w:val="both"/>
        <w:divId w:val="1749426644"/>
        <w:rPr>
          <w:rFonts w:ascii="Times New Roman" w:hAnsi="Times New Roman" w:cs="Times New Roman"/>
          <w:sz w:val="18"/>
          <w:szCs w:val="18"/>
        </w:rPr>
      </w:pPr>
      <w:r w:rsidRPr="005A284F">
        <w:rPr>
          <w:rFonts w:ascii="Times New Roman" w:hAnsi="Times New Roman" w:cs="Times New Roman"/>
          <w:sz w:val="18"/>
          <w:szCs w:val="18"/>
        </w:rPr>
        <w:t>当因处置部分股权投资或其他原因丧失了对原有子公司的控制权时，对于剩余股权，按照其在丧失控制权日的公允价值进行重新计量。处置股权取得的对价与剩余股权公允价值之和，减去按原持股比例计算应享有原有子公司自购买日开始持续计算的净资产的份额之间的差额，计入丧失控制权当期的投资收益。与原有子公司股权投资相关的其他综合收益，在丧失控制权时采用与该子公司直接处置相关资产或负债相同的基础进行会计处理。其后，对该部分剩余股权按照《企业会计准则第</w:t>
      </w:r>
      <w:r w:rsidRPr="005A284F">
        <w:rPr>
          <w:rFonts w:ascii="Times New Roman" w:hAnsi="Times New Roman" w:cs="Times New Roman"/>
          <w:sz w:val="18"/>
          <w:szCs w:val="18"/>
        </w:rPr>
        <w:t>2</w:t>
      </w:r>
      <w:r w:rsidRPr="005A284F">
        <w:rPr>
          <w:rFonts w:ascii="Times New Roman" w:hAnsi="Times New Roman" w:cs="Times New Roman"/>
          <w:sz w:val="18"/>
          <w:szCs w:val="18"/>
        </w:rPr>
        <w:t>号</w:t>
      </w:r>
      <w:r w:rsidRPr="005A284F">
        <w:rPr>
          <w:rFonts w:ascii="Times New Roman" w:hAnsi="Times New Roman" w:cs="Times New Roman"/>
          <w:sz w:val="18"/>
          <w:szCs w:val="18"/>
        </w:rPr>
        <w:t>——</w:t>
      </w:r>
      <w:r w:rsidRPr="005A284F">
        <w:rPr>
          <w:rFonts w:ascii="Times New Roman" w:hAnsi="Times New Roman" w:cs="Times New Roman"/>
          <w:sz w:val="18"/>
          <w:szCs w:val="18"/>
        </w:rPr>
        <w:t>长期股权投资》或《企业会计准则第</w:t>
      </w:r>
      <w:r w:rsidRPr="005A284F">
        <w:rPr>
          <w:rFonts w:ascii="Times New Roman" w:hAnsi="Times New Roman" w:cs="Times New Roman"/>
          <w:sz w:val="18"/>
          <w:szCs w:val="18"/>
        </w:rPr>
        <w:t>22</w:t>
      </w:r>
      <w:r w:rsidRPr="005A284F">
        <w:rPr>
          <w:rFonts w:ascii="Times New Roman" w:hAnsi="Times New Roman" w:cs="Times New Roman"/>
          <w:sz w:val="18"/>
          <w:szCs w:val="18"/>
        </w:rPr>
        <w:t>号</w:t>
      </w:r>
      <w:r w:rsidRPr="005A284F">
        <w:rPr>
          <w:rFonts w:ascii="Times New Roman" w:hAnsi="Times New Roman" w:cs="Times New Roman"/>
          <w:sz w:val="18"/>
          <w:szCs w:val="18"/>
        </w:rPr>
        <w:t>——</w:t>
      </w:r>
      <w:r w:rsidRPr="005A284F">
        <w:rPr>
          <w:rFonts w:ascii="Times New Roman" w:hAnsi="Times New Roman" w:cs="Times New Roman"/>
          <w:sz w:val="18"/>
          <w:szCs w:val="18"/>
        </w:rPr>
        <w:t>金融工具确认和计量》等相关规定进行后续计量，详见本附注五、</w:t>
      </w:r>
      <w:r w:rsidRPr="005A284F">
        <w:rPr>
          <w:rFonts w:ascii="Times New Roman" w:hAnsi="Times New Roman" w:cs="Times New Roman"/>
          <w:sz w:val="18"/>
          <w:szCs w:val="18"/>
        </w:rPr>
        <w:t>22“</w:t>
      </w:r>
      <w:r w:rsidRPr="005A284F">
        <w:rPr>
          <w:rFonts w:ascii="Times New Roman" w:hAnsi="Times New Roman" w:cs="Times New Roman"/>
          <w:sz w:val="18"/>
          <w:szCs w:val="18"/>
        </w:rPr>
        <w:t>长期股权投资</w:t>
      </w:r>
      <w:r w:rsidRPr="005A284F">
        <w:rPr>
          <w:rFonts w:ascii="Times New Roman" w:hAnsi="Times New Roman" w:cs="Times New Roman"/>
          <w:sz w:val="18"/>
          <w:szCs w:val="18"/>
        </w:rPr>
        <w:t xml:space="preserve"> ”</w:t>
      </w:r>
      <w:r w:rsidRPr="005A284F">
        <w:rPr>
          <w:rFonts w:ascii="Times New Roman" w:hAnsi="Times New Roman" w:cs="Times New Roman"/>
          <w:sz w:val="18"/>
          <w:szCs w:val="18"/>
        </w:rPr>
        <w:t>或本附注五、</w:t>
      </w:r>
      <w:r w:rsidRPr="005A284F">
        <w:rPr>
          <w:rFonts w:ascii="Times New Roman" w:hAnsi="Times New Roman" w:cs="Times New Roman"/>
          <w:sz w:val="18"/>
          <w:szCs w:val="18"/>
        </w:rPr>
        <w:t>11“</w:t>
      </w:r>
      <w:r w:rsidRPr="005A284F">
        <w:rPr>
          <w:rFonts w:ascii="Times New Roman" w:hAnsi="Times New Roman" w:cs="Times New Roman"/>
          <w:sz w:val="18"/>
          <w:szCs w:val="18"/>
        </w:rPr>
        <w:t>金融工具</w:t>
      </w:r>
      <w:r w:rsidRPr="005A284F">
        <w:rPr>
          <w:rFonts w:ascii="Times New Roman" w:hAnsi="Times New Roman" w:cs="Times New Roman"/>
          <w:sz w:val="18"/>
          <w:szCs w:val="18"/>
        </w:rPr>
        <w:t xml:space="preserve"> ”</w:t>
      </w:r>
      <w:r w:rsidRPr="005A284F">
        <w:rPr>
          <w:rFonts w:ascii="Times New Roman" w:hAnsi="Times New Roman" w:cs="Times New Roman"/>
          <w:sz w:val="18"/>
          <w:szCs w:val="18"/>
        </w:rPr>
        <w:t>。</w:t>
      </w:r>
    </w:p>
    <w:p w14:paraId="74988AFD" w14:textId="579BD129" w:rsidR="000309B5" w:rsidRPr="0078003E" w:rsidRDefault="00000000" w:rsidP="0078003E">
      <w:pPr>
        <w:pStyle w:val="a3"/>
        <w:spacing w:before="0" w:beforeAutospacing="0" w:after="0" w:afterAutospacing="0" w:line="276" w:lineRule="auto"/>
        <w:ind w:firstLineChars="200" w:firstLine="360"/>
        <w:jc w:val="both"/>
        <w:divId w:val="1749426644"/>
        <w:rPr>
          <w:rFonts w:ascii="Times New Roman" w:hAnsi="Times New Roman" w:cs="Times New Roman"/>
          <w:sz w:val="18"/>
          <w:szCs w:val="18"/>
        </w:rPr>
      </w:pPr>
      <w:r w:rsidRPr="005A284F">
        <w:rPr>
          <w:rFonts w:ascii="Times New Roman" w:hAnsi="Times New Roman" w:cs="Times New Roman"/>
          <w:sz w:val="18"/>
          <w:szCs w:val="18"/>
        </w:rPr>
        <w:t>本集团通过多次交易分步处置对子公司股权投资直至丧失控制权的，需区分处置对子公司股权投资直至丧失控制权的各项交易是否属于一揽子交易。处置对子公司股权投资的各项交易的条款、条件以及经济影响符合以下一种或多种情况，通常表明应将多次交易事项作为一揽子交易进行会计处理：</w:t>
      </w:r>
      <w:r w:rsidRPr="0078003E">
        <w:rPr>
          <w:rFonts w:ascii="Cambria Math" w:hAnsi="Cambria Math" w:cs="Cambria Math"/>
          <w:sz w:val="18"/>
          <w:szCs w:val="18"/>
        </w:rPr>
        <w:t>①</w:t>
      </w:r>
      <w:r w:rsidRPr="005A284F">
        <w:rPr>
          <w:rFonts w:ascii="Times New Roman" w:hAnsi="Times New Roman" w:cs="Times New Roman"/>
          <w:sz w:val="18"/>
          <w:szCs w:val="18"/>
        </w:rPr>
        <w:t>这些交易是同时或者在考虑了彼此影响的情况下订立的；</w:t>
      </w:r>
      <w:r w:rsidRPr="0078003E">
        <w:rPr>
          <w:rFonts w:ascii="Cambria Math" w:hAnsi="Cambria Math" w:cs="Cambria Math"/>
          <w:sz w:val="18"/>
          <w:szCs w:val="18"/>
        </w:rPr>
        <w:t>②</w:t>
      </w:r>
      <w:r w:rsidRPr="005A284F">
        <w:rPr>
          <w:rFonts w:ascii="Times New Roman" w:hAnsi="Times New Roman" w:cs="Times New Roman"/>
          <w:sz w:val="18"/>
          <w:szCs w:val="18"/>
        </w:rPr>
        <w:t>这些交易整体才能达成一项完整的商业结果；</w:t>
      </w:r>
      <w:r w:rsidRPr="0078003E">
        <w:rPr>
          <w:rFonts w:ascii="Cambria Math" w:hAnsi="Cambria Math" w:cs="Cambria Math"/>
          <w:sz w:val="18"/>
          <w:szCs w:val="18"/>
        </w:rPr>
        <w:t>③</w:t>
      </w:r>
      <w:r w:rsidRPr="005A284F">
        <w:rPr>
          <w:rFonts w:ascii="Times New Roman" w:hAnsi="Times New Roman" w:cs="Times New Roman"/>
          <w:sz w:val="18"/>
          <w:szCs w:val="18"/>
        </w:rPr>
        <w:t>一项交易的发生取决于其他至少一项交易的发生；</w:t>
      </w:r>
      <w:r w:rsidRPr="0078003E">
        <w:rPr>
          <w:rFonts w:ascii="Cambria Math" w:hAnsi="Cambria Math" w:cs="Cambria Math"/>
          <w:sz w:val="18"/>
          <w:szCs w:val="18"/>
        </w:rPr>
        <w:t>④</w:t>
      </w:r>
      <w:r w:rsidRPr="005A284F">
        <w:rPr>
          <w:rFonts w:ascii="Times New Roman" w:hAnsi="Times New Roman" w:cs="Times New Roman"/>
          <w:sz w:val="18"/>
          <w:szCs w:val="18"/>
        </w:rPr>
        <w:t>一项交易单独看是不经济的，但是和其他交易一并考虑时是经济的。不属于一揽子交易的，对其中的每一项交易视情况分别按照</w:t>
      </w:r>
      <w:r w:rsidRPr="005A284F">
        <w:rPr>
          <w:rFonts w:ascii="Times New Roman" w:hAnsi="Times New Roman" w:cs="Times New Roman"/>
          <w:sz w:val="18"/>
          <w:szCs w:val="18"/>
        </w:rPr>
        <w:t>“</w:t>
      </w:r>
      <w:r w:rsidRPr="005A284F">
        <w:rPr>
          <w:rFonts w:ascii="Times New Roman" w:hAnsi="Times New Roman" w:cs="Times New Roman"/>
          <w:sz w:val="18"/>
          <w:szCs w:val="18"/>
        </w:rPr>
        <w:t>不丧失控制权的情况下部分处置对子公司的长期股权投资</w:t>
      </w:r>
      <w:r w:rsidRPr="005A284F">
        <w:rPr>
          <w:rFonts w:ascii="Times New Roman" w:hAnsi="Times New Roman" w:cs="Times New Roman"/>
          <w:sz w:val="18"/>
          <w:szCs w:val="18"/>
        </w:rPr>
        <w:t>”</w:t>
      </w:r>
      <w:r w:rsidRPr="005A284F">
        <w:rPr>
          <w:rFonts w:ascii="Times New Roman" w:hAnsi="Times New Roman" w:cs="Times New Roman"/>
          <w:sz w:val="18"/>
          <w:szCs w:val="18"/>
        </w:rPr>
        <w:t>（详见本附注五、</w:t>
      </w:r>
      <w:r w:rsidRPr="005A284F">
        <w:rPr>
          <w:rFonts w:ascii="Times New Roman" w:hAnsi="Times New Roman" w:cs="Times New Roman"/>
          <w:sz w:val="18"/>
          <w:szCs w:val="18"/>
        </w:rPr>
        <w:t>22“</w:t>
      </w:r>
      <w:r w:rsidRPr="005A284F">
        <w:rPr>
          <w:rFonts w:ascii="Times New Roman" w:hAnsi="Times New Roman" w:cs="Times New Roman"/>
          <w:sz w:val="18"/>
          <w:szCs w:val="18"/>
        </w:rPr>
        <w:t>长期股权投资</w:t>
      </w:r>
      <w:r w:rsidRPr="005A284F">
        <w:rPr>
          <w:rFonts w:ascii="Times New Roman" w:hAnsi="Times New Roman" w:cs="Times New Roman"/>
          <w:sz w:val="18"/>
          <w:szCs w:val="18"/>
        </w:rPr>
        <w:t xml:space="preserve"> ”</w:t>
      </w:r>
      <w:r w:rsidRPr="005A284F">
        <w:rPr>
          <w:rFonts w:ascii="Times New Roman" w:hAnsi="Times New Roman" w:cs="Times New Roman"/>
          <w:sz w:val="18"/>
          <w:szCs w:val="18"/>
        </w:rPr>
        <w:t>（</w:t>
      </w:r>
      <w:r w:rsidRPr="005A284F">
        <w:rPr>
          <w:rFonts w:ascii="Times New Roman" w:hAnsi="Times New Roman" w:cs="Times New Roman"/>
          <w:sz w:val="18"/>
          <w:szCs w:val="18"/>
        </w:rPr>
        <w:t>2</w:t>
      </w:r>
      <w:r w:rsidRPr="005A284F">
        <w:rPr>
          <w:rFonts w:ascii="Times New Roman" w:hAnsi="Times New Roman" w:cs="Times New Roman"/>
          <w:sz w:val="18"/>
          <w:szCs w:val="18"/>
        </w:rPr>
        <w:t>）</w:t>
      </w:r>
      <w:r w:rsidRPr="0078003E">
        <w:rPr>
          <w:rFonts w:ascii="Cambria Math" w:hAnsi="Cambria Math" w:cs="Cambria Math"/>
          <w:sz w:val="18"/>
          <w:szCs w:val="18"/>
        </w:rPr>
        <w:t>④</w:t>
      </w:r>
      <w:r w:rsidRPr="005A284F">
        <w:rPr>
          <w:rFonts w:ascii="Times New Roman" w:hAnsi="Times New Roman" w:cs="Times New Roman"/>
          <w:sz w:val="18"/>
          <w:szCs w:val="18"/>
        </w:rPr>
        <w:t>）和</w:t>
      </w:r>
      <w:r w:rsidRPr="005A284F">
        <w:rPr>
          <w:rFonts w:ascii="Times New Roman" w:hAnsi="Times New Roman" w:cs="Times New Roman"/>
          <w:sz w:val="18"/>
          <w:szCs w:val="18"/>
        </w:rPr>
        <w:t>“</w:t>
      </w:r>
      <w:r w:rsidRPr="005A284F">
        <w:rPr>
          <w:rFonts w:ascii="Times New Roman" w:hAnsi="Times New Roman" w:cs="Times New Roman"/>
          <w:sz w:val="18"/>
          <w:szCs w:val="18"/>
        </w:rPr>
        <w:t>因处置部分股权投资或其他原因丧失了对原有子公司的控制权</w:t>
      </w:r>
      <w:r w:rsidRPr="005A284F">
        <w:rPr>
          <w:rFonts w:ascii="Times New Roman" w:hAnsi="Times New Roman" w:cs="Times New Roman"/>
          <w:sz w:val="18"/>
          <w:szCs w:val="18"/>
        </w:rPr>
        <w:t>”</w:t>
      </w:r>
      <w:r w:rsidRPr="005A284F">
        <w:rPr>
          <w:rFonts w:ascii="Times New Roman" w:hAnsi="Times New Roman" w:cs="Times New Roman"/>
          <w:sz w:val="18"/>
          <w:szCs w:val="18"/>
        </w:rPr>
        <w:t>（详见前段）适用的原则进行会计处理。处置对子公司股权投资直至丧失控制权的各项交易属于一揽子交易的，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p w14:paraId="1B18F5B6" w14:textId="77777777" w:rsidR="006C011D" w:rsidRPr="005A284F" w:rsidRDefault="00000000">
      <w:pPr>
        <w:pStyle w:val="3"/>
        <w:spacing w:line="280" w:lineRule="exact"/>
        <w:jc w:val="left"/>
        <w:rPr>
          <w:rFonts w:ascii="Times New Roman" w:hAnsi="Times New Roman" w:cs="Times New Roman"/>
          <w:b/>
          <w:bCs/>
        </w:rPr>
      </w:pPr>
      <w:bookmarkStart w:id="122" w:name="_Toc989011"/>
      <w:r w:rsidRPr="005A284F">
        <w:rPr>
          <w:rFonts w:ascii="Times New Roman" w:hAnsi="Times New Roman" w:cs="Times New Roman"/>
          <w:b/>
          <w:bCs/>
        </w:rPr>
        <w:t>8</w:t>
      </w:r>
      <w:r w:rsidRPr="005A284F">
        <w:rPr>
          <w:rFonts w:ascii="Times New Roman" w:hAnsi="Times New Roman" w:cs="Times New Roman"/>
          <w:b/>
          <w:bCs/>
        </w:rPr>
        <w:t>、合营安排分类及共同经营会计处理方法</w:t>
      </w:r>
      <w:bookmarkEnd w:id="122"/>
    </w:p>
    <w:p w14:paraId="27970CE1" w14:textId="77777777" w:rsidR="000309B5" w:rsidRPr="0078003E" w:rsidRDefault="00000000" w:rsidP="0078003E">
      <w:pPr>
        <w:pStyle w:val="a3"/>
        <w:spacing w:before="0" w:beforeAutospacing="0" w:after="0" w:afterAutospacing="0" w:line="276" w:lineRule="auto"/>
        <w:ind w:firstLineChars="200" w:firstLine="360"/>
        <w:jc w:val="both"/>
        <w:divId w:val="1291403675"/>
        <w:rPr>
          <w:rFonts w:ascii="Times New Roman" w:hAnsi="Times New Roman" w:cs="Times New Roman"/>
          <w:sz w:val="18"/>
          <w:szCs w:val="18"/>
        </w:rPr>
      </w:pPr>
      <w:r w:rsidRPr="005A284F">
        <w:rPr>
          <w:rFonts w:ascii="Times New Roman" w:hAnsi="Times New Roman" w:cs="Times New Roman"/>
          <w:sz w:val="18"/>
          <w:szCs w:val="18"/>
        </w:rPr>
        <w:t>合营安排，是指一项由两个或两个以上的参与方共同控制的安排。本集团根据在合营安排中享有的权利和承担的义务，将合营安排分为共同经营和合营企业。共同经营，是指本集团享有该安排相关资产且承担该安排相关负债的合营安排。合营企业，是指本集团仅对该安排的净资产享有权利的合营安排。</w:t>
      </w:r>
    </w:p>
    <w:p w14:paraId="68D5CB55" w14:textId="0FB3E55E" w:rsidR="000309B5" w:rsidRPr="0078003E" w:rsidRDefault="00000000" w:rsidP="0078003E">
      <w:pPr>
        <w:pStyle w:val="a3"/>
        <w:spacing w:before="0" w:beforeAutospacing="0" w:after="0" w:afterAutospacing="0" w:line="276" w:lineRule="auto"/>
        <w:ind w:firstLineChars="200" w:firstLine="360"/>
        <w:jc w:val="both"/>
        <w:divId w:val="1291403675"/>
        <w:rPr>
          <w:rFonts w:ascii="Times New Roman" w:hAnsi="Times New Roman" w:cs="Times New Roman"/>
          <w:sz w:val="18"/>
          <w:szCs w:val="18"/>
        </w:rPr>
      </w:pPr>
      <w:r w:rsidRPr="005A284F">
        <w:rPr>
          <w:rFonts w:ascii="Times New Roman" w:hAnsi="Times New Roman" w:cs="Times New Roman"/>
          <w:sz w:val="18"/>
          <w:szCs w:val="18"/>
        </w:rPr>
        <w:t>本集团对合营企业的投资采用权益法核算，按照本附注五、</w:t>
      </w:r>
      <w:r w:rsidRPr="005A284F">
        <w:rPr>
          <w:rFonts w:ascii="Times New Roman" w:hAnsi="Times New Roman" w:cs="Times New Roman"/>
          <w:sz w:val="18"/>
          <w:szCs w:val="18"/>
        </w:rPr>
        <w:t>22“</w:t>
      </w:r>
      <w:r w:rsidRPr="005A284F">
        <w:rPr>
          <w:rFonts w:ascii="Times New Roman" w:hAnsi="Times New Roman" w:cs="Times New Roman"/>
          <w:sz w:val="18"/>
          <w:szCs w:val="18"/>
        </w:rPr>
        <w:t>长期股权投资</w:t>
      </w:r>
      <w:r w:rsidRPr="005A284F">
        <w:rPr>
          <w:rFonts w:ascii="Times New Roman" w:hAnsi="Times New Roman" w:cs="Times New Roman"/>
          <w:sz w:val="18"/>
          <w:szCs w:val="18"/>
        </w:rPr>
        <w:t>”</w:t>
      </w:r>
      <w:r w:rsidRPr="005A284F">
        <w:rPr>
          <w:rFonts w:ascii="Times New Roman" w:hAnsi="Times New Roman" w:cs="Times New Roman"/>
          <w:sz w:val="18"/>
          <w:szCs w:val="18"/>
        </w:rPr>
        <w:t>（</w:t>
      </w:r>
      <w:r w:rsidRPr="005A284F">
        <w:rPr>
          <w:rFonts w:ascii="Times New Roman" w:hAnsi="Times New Roman" w:cs="Times New Roman"/>
          <w:sz w:val="18"/>
          <w:szCs w:val="18"/>
        </w:rPr>
        <w:t>2</w:t>
      </w:r>
      <w:r w:rsidRPr="005A284F">
        <w:rPr>
          <w:rFonts w:ascii="Times New Roman" w:hAnsi="Times New Roman" w:cs="Times New Roman"/>
          <w:sz w:val="18"/>
          <w:szCs w:val="18"/>
        </w:rPr>
        <w:t>）</w:t>
      </w:r>
      <w:r w:rsidRPr="0078003E">
        <w:rPr>
          <w:rFonts w:ascii="Cambria Math" w:hAnsi="Cambria Math" w:cs="Cambria Math"/>
          <w:sz w:val="18"/>
          <w:szCs w:val="18"/>
        </w:rPr>
        <w:t>②</w:t>
      </w:r>
      <w:r w:rsidRPr="005A284F">
        <w:rPr>
          <w:rFonts w:ascii="Times New Roman" w:hAnsi="Times New Roman" w:cs="Times New Roman"/>
          <w:sz w:val="18"/>
          <w:szCs w:val="18"/>
        </w:rPr>
        <w:t>“</w:t>
      </w:r>
      <w:r w:rsidRPr="005A284F">
        <w:rPr>
          <w:rFonts w:ascii="Times New Roman" w:hAnsi="Times New Roman" w:cs="Times New Roman"/>
          <w:sz w:val="18"/>
          <w:szCs w:val="18"/>
        </w:rPr>
        <w:t>权益法核算的长期股权投资</w:t>
      </w:r>
      <w:r w:rsidRPr="005A284F">
        <w:rPr>
          <w:rFonts w:ascii="Times New Roman" w:hAnsi="Times New Roman" w:cs="Times New Roman"/>
          <w:sz w:val="18"/>
          <w:szCs w:val="18"/>
        </w:rPr>
        <w:t>”</w:t>
      </w:r>
      <w:r w:rsidRPr="005A284F">
        <w:rPr>
          <w:rFonts w:ascii="Times New Roman" w:hAnsi="Times New Roman" w:cs="Times New Roman"/>
          <w:sz w:val="18"/>
          <w:szCs w:val="18"/>
        </w:rPr>
        <w:t>中所述的会计政策处理。</w:t>
      </w:r>
    </w:p>
    <w:p w14:paraId="6CE67389" w14:textId="77777777" w:rsidR="000309B5" w:rsidRPr="0078003E" w:rsidRDefault="00000000" w:rsidP="0078003E">
      <w:pPr>
        <w:pStyle w:val="a3"/>
        <w:spacing w:before="0" w:beforeAutospacing="0" w:after="0" w:afterAutospacing="0" w:line="276" w:lineRule="auto"/>
        <w:ind w:firstLineChars="200" w:firstLine="360"/>
        <w:jc w:val="both"/>
        <w:divId w:val="1291403675"/>
        <w:rPr>
          <w:rFonts w:ascii="Times New Roman" w:hAnsi="Times New Roman" w:cs="Times New Roman"/>
          <w:sz w:val="18"/>
          <w:szCs w:val="18"/>
        </w:rPr>
      </w:pPr>
      <w:r w:rsidRPr="005A284F">
        <w:rPr>
          <w:rFonts w:ascii="Times New Roman" w:hAnsi="Times New Roman" w:cs="Times New Roman"/>
          <w:sz w:val="18"/>
          <w:szCs w:val="18"/>
        </w:rPr>
        <w:t>本集团作为合营方对共同经营，确认本集团单独持有的资产、单独所承担的负债，以及按本集团份额确认共同持有的资产和共同承担的负债；确认出售本集团享有的共同经营产出份额所产生的收入；按本集团份额确认共同经营因出售产出所产生的收入；确认本集团单独所发生的费用，以及按本集团份额确认共同经营发生的费用。</w:t>
      </w:r>
    </w:p>
    <w:p w14:paraId="5FEB520B" w14:textId="3879150A" w:rsidR="000309B5" w:rsidRPr="0078003E" w:rsidRDefault="00000000" w:rsidP="0078003E">
      <w:pPr>
        <w:pStyle w:val="a3"/>
        <w:spacing w:before="0" w:beforeAutospacing="0" w:after="0" w:afterAutospacing="0" w:line="276" w:lineRule="auto"/>
        <w:ind w:firstLineChars="200" w:firstLine="360"/>
        <w:jc w:val="both"/>
        <w:divId w:val="1291403675"/>
        <w:rPr>
          <w:rFonts w:ascii="Times New Roman" w:hAnsi="Times New Roman" w:cs="Times New Roman"/>
          <w:sz w:val="18"/>
          <w:szCs w:val="18"/>
        </w:rPr>
      </w:pPr>
      <w:r w:rsidRPr="005A284F">
        <w:rPr>
          <w:rFonts w:ascii="Times New Roman" w:hAnsi="Times New Roman" w:cs="Times New Roman"/>
          <w:sz w:val="18"/>
          <w:szCs w:val="18"/>
        </w:rPr>
        <w:t>当本集团作为合营方向共同经营投出或出售资产（该资产不构成业务，下同）、或者自共同经营购买资产时，在该等资产出售给第三方之前，本集团仅确认因该交易产生的损益中归属于共同经营其他参与方的部分。该等资产发生符合《企业会计准则第</w:t>
      </w:r>
      <w:r w:rsidRPr="005A284F">
        <w:rPr>
          <w:rFonts w:ascii="Times New Roman" w:hAnsi="Times New Roman" w:cs="Times New Roman"/>
          <w:sz w:val="18"/>
          <w:szCs w:val="18"/>
        </w:rPr>
        <w:t>8</w:t>
      </w:r>
      <w:r w:rsidRPr="005A284F">
        <w:rPr>
          <w:rFonts w:ascii="Times New Roman" w:hAnsi="Times New Roman" w:cs="Times New Roman"/>
          <w:sz w:val="18"/>
          <w:szCs w:val="18"/>
        </w:rPr>
        <w:t>号</w:t>
      </w:r>
      <w:r w:rsidRPr="005A284F">
        <w:rPr>
          <w:rFonts w:ascii="Times New Roman" w:hAnsi="Times New Roman" w:cs="Times New Roman"/>
          <w:sz w:val="18"/>
          <w:szCs w:val="18"/>
        </w:rPr>
        <w:t>——</w:t>
      </w:r>
      <w:r w:rsidRPr="005A284F">
        <w:rPr>
          <w:rFonts w:ascii="Times New Roman" w:hAnsi="Times New Roman" w:cs="Times New Roman"/>
          <w:sz w:val="18"/>
          <w:szCs w:val="18"/>
        </w:rPr>
        <w:t>资产减值》等规定的资产减值损失的，对于由本集团向共同经营投出或出售资产的情况，本集团全额确认该损失；对于本集团自共同经营购买资产的情况，本集团按承担的份额确认该损失。</w:t>
      </w:r>
    </w:p>
    <w:p w14:paraId="61B752D3" w14:textId="77777777" w:rsidR="006C011D" w:rsidRPr="005A284F" w:rsidRDefault="00000000">
      <w:pPr>
        <w:pStyle w:val="3"/>
        <w:spacing w:line="280" w:lineRule="exact"/>
        <w:jc w:val="left"/>
        <w:rPr>
          <w:rFonts w:ascii="Times New Roman" w:hAnsi="Times New Roman" w:cs="Times New Roman"/>
          <w:b/>
          <w:bCs/>
        </w:rPr>
      </w:pPr>
      <w:bookmarkStart w:id="123" w:name="_Toc989012"/>
      <w:r w:rsidRPr="005A284F">
        <w:rPr>
          <w:rFonts w:ascii="Times New Roman" w:hAnsi="Times New Roman" w:cs="Times New Roman"/>
          <w:b/>
          <w:bCs/>
        </w:rPr>
        <w:lastRenderedPageBreak/>
        <w:t>9</w:t>
      </w:r>
      <w:r w:rsidRPr="005A284F">
        <w:rPr>
          <w:rFonts w:ascii="Times New Roman" w:hAnsi="Times New Roman" w:cs="Times New Roman"/>
          <w:b/>
          <w:bCs/>
        </w:rPr>
        <w:t>、现金及现金等价物的确定标准</w:t>
      </w:r>
      <w:bookmarkEnd w:id="123"/>
    </w:p>
    <w:p w14:paraId="50F158E5" w14:textId="77777777" w:rsidR="000309B5" w:rsidRPr="0078003E" w:rsidRDefault="00000000" w:rsidP="0078003E">
      <w:pPr>
        <w:pStyle w:val="a3"/>
        <w:spacing w:before="0" w:beforeAutospacing="0" w:after="0" w:afterAutospacing="0" w:line="276" w:lineRule="auto"/>
        <w:ind w:firstLineChars="200" w:firstLine="360"/>
        <w:jc w:val="both"/>
        <w:divId w:val="1914656412"/>
        <w:rPr>
          <w:rFonts w:ascii="Times New Roman" w:hAnsi="Times New Roman" w:cs="Times New Roman"/>
          <w:sz w:val="18"/>
          <w:szCs w:val="18"/>
        </w:rPr>
      </w:pPr>
      <w:r w:rsidRPr="005A284F">
        <w:rPr>
          <w:rFonts w:ascii="Times New Roman" w:hAnsi="Times New Roman" w:cs="Times New Roman"/>
          <w:sz w:val="18"/>
          <w:szCs w:val="18"/>
        </w:rPr>
        <w:t>本集团现金及现金等价物包括库存现金、可以随时用于支付的存款以及本集团持有的期限短（一般为从购买日起三个月内到期）、流动性强、易于转换为已知金额现金、价值变动风险很小的投资。</w:t>
      </w:r>
    </w:p>
    <w:p w14:paraId="55EC26C7" w14:textId="77777777" w:rsidR="006C011D" w:rsidRPr="005A284F" w:rsidRDefault="00000000">
      <w:pPr>
        <w:pStyle w:val="3"/>
        <w:spacing w:line="280" w:lineRule="exact"/>
        <w:jc w:val="left"/>
        <w:rPr>
          <w:rFonts w:ascii="Times New Roman" w:hAnsi="Times New Roman" w:cs="Times New Roman"/>
          <w:b/>
          <w:bCs/>
        </w:rPr>
      </w:pPr>
      <w:bookmarkStart w:id="124" w:name="_Toc989013"/>
      <w:r w:rsidRPr="005A284F">
        <w:rPr>
          <w:rFonts w:ascii="Times New Roman" w:hAnsi="Times New Roman" w:cs="Times New Roman"/>
          <w:b/>
          <w:bCs/>
        </w:rPr>
        <w:t>10</w:t>
      </w:r>
      <w:r w:rsidRPr="005A284F">
        <w:rPr>
          <w:rFonts w:ascii="Times New Roman" w:hAnsi="Times New Roman" w:cs="Times New Roman"/>
          <w:b/>
          <w:bCs/>
        </w:rPr>
        <w:t>、外币业务和外币报表折算</w:t>
      </w:r>
      <w:bookmarkEnd w:id="124"/>
    </w:p>
    <w:p w14:paraId="5F98751C" w14:textId="77777777" w:rsidR="000309B5" w:rsidRPr="0078003E" w:rsidRDefault="00000000" w:rsidP="0078003E">
      <w:pPr>
        <w:pStyle w:val="a3"/>
        <w:spacing w:before="0" w:beforeAutospacing="0" w:after="0" w:afterAutospacing="0" w:line="276" w:lineRule="auto"/>
        <w:ind w:firstLineChars="200" w:firstLine="360"/>
        <w:jc w:val="both"/>
        <w:divId w:val="808014851"/>
        <w:rPr>
          <w:rFonts w:ascii="Times New Roman" w:hAnsi="Times New Roman" w:cs="Times New Roman"/>
          <w:sz w:val="18"/>
          <w:szCs w:val="18"/>
        </w:rPr>
      </w:pPr>
      <w:r w:rsidRPr="005A284F">
        <w:rPr>
          <w:rFonts w:ascii="Times New Roman" w:hAnsi="Times New Roman" w:cs="Times New Roman"/>
          <w:sz w:val="18"/>
          <w:szCs w:val="18"/>
        </w:rPr>
        <w:t>外币交易的折算方法</w:t>
      </w:r>
    </w:p>
    <w:p w14:paraId="76D1A4AF" w14:textId="77777777" w:rsidR="000309B5" w:rsidRPr="0078003E" w:rsidRDefault="00000000" w:rsidP="0078003E">
      <w:pPr>
        <w:pStyle w:val="a3"/>
        <w:spacing w:before="0" w:beforeAutospacing="0" w:after="0" w:afterAutospacing="0" w:line="276" w:lineRule="auto"/>
        <w:ind w:firstLineChars="200" w:firstLine="360"/>
        <w:jc w:val="both"/>
        <w:divId w:val="808014851"/>
        <w:rPr>
          <w:rFonts w:ascii="Times New Roman" w:hAnsi="Times New Roman" w:cs="Times New Roman"/>
          <w:sz w:val="18"/>
          <w:szCs w:val="18"/>
        </w:rPr>
      </w:pPr>
      <w:r w:rsidRPr="005A284F">
        <w:rPr>
          <w:rFonts w:ascii="Times New Roman" w:hAnsi="Times New Roman" w:cs="Times New Roman"/>
          <w:sz w:val="18"/>
          <w:szCs w:val="18"/>
        </w:rPr>
        <w:t>本集团发生的外币交易在初始确认时，按交易日的即期汇率（通常指中国人民银行公布的当日外汇牌价的中间价，下同）折算为记账本位币金额，但本集团发生的外币兑换业务或涉及外币兑换的交易事项，按照实际采用的汇率折算为记账本位币金额。</w:t>
      </w:r>
    </w:p>
    <w:p w14:paraId="63A7D4E5" w14:textId="77777777" w:rsidR="000309B5" w:rsidRPr="0078003E" w:rsidRDefault="00000000" w:rsidP="0078003E">
      <w:pPr>
        <w:pStyle w:val="a3"/>
        <w:spacing w:before="0" w:beforeAutospacing="0" w:after="0" w:afterAutospacing="0" w:line="276" w:lineRule="auto"/>
        <w:ind w:firstLineChars="200" w:firstLine="360"/>
        <w:jc w:val="both"/>
        <w:divId w:val="808014851"/>
        <w:rPr>
          <w:rFonts w:ascii="Times New Roman" w:hAnsi="Times New Roman" w:cs="Times New Roman"/>
          <w:sz w:val="18"/>
          <w:szCs w:val="18"/>
        </w:rPr>
      </w:pPr>
      <w:r w:rsidRPr="005A284F">
        <w:rPr>
          <w:rFonts w:ascii="Times New Roman" w:hAnsi="Times New Roman" w:cs="Times New Roman"/>
          <w:sz w:val="18"/>
          <w:szCs w:val="18"/>
        </w:rPr>
        <w:t>对于外币货币性项目和外币非货币性项目的折算方法</w:t>
      </w:r>
    </w:p>
    <w:p w14:paraId="389F30D4" w14:textId="77777777" w:rsidR="000309B5" w:rsidRPr="0078003E" w:rsidRDefault="00000000" w:rsidP="0078003E">
      <w:pPr>
        <w:pStyle w:val="a3"/>
        <w:spacing w:before="0" w:beforeAutospacing="0" w:after="0" w:afterAutospacing="0" w:line="276" w:lineRule="auto"/>
        <w:ind w:firstLineChars="200" w:firstLine="360"/>
        <w:jc w:val="both"/>
        <w:divId w:val="808014851"/>
        <w:rPr>
          <w:rFonts w:ascii="Times New Roman" w:hAnsi="Times New Roman" w:cs="Times New Roman"/>
          <w:sz w:val="18"/>
          <w:szCs w:val="18"/>
        </w:rPr>
      </w:pPr>
      <w:r w:rsidRPr="005A284F">
        <w:rPr>
          <w:rFonts w:ascii="Times New Roman" w:hAnsi="Times New Roman" w:cs="Times New Roman"/>
          <w:sz w:val="18"/>
          <w:szCs w:val="18"/>
        </w:rPr>
        <w:t>资产负债表日，对于外币货币性项目采用资产负债表日即期汇率折算，由此产生的汇兑差额，除：</w:t>
      </w:r>
      <w:r w:rsidRPr="0078003E">
        <w:rPr>
          <w:rFonts w:ascii="Cambria Math" w:hAnsi="Cambria Math" w:cs="Cambria Math"/>
          <w:sz w:val="18"/>
          <w:szCs w:val="18"/>
        </w:rPr>
        <w:t>①</w:t>
      </w:r>
      <w:r w:rsidRPr="005A284F">
        <w:rPr>
          <w:rFonts w:ascii="Times New Roman" w:hAnsi="Times New Roman" w:cs="Times New Roman"/>
          <w:sz w:val="18"/>
          <w:szCs w:val="18"/>
        </w:rPr>
        <w:t>属于与购建符合资本化条件的资产相关的外币专门借款产生的汇兑差额按照借款费用资本化的原则处理；</w:t>
      </w:r>
      <w:r w:rsidRPr="0078003E">
        <w:rPr>
          <w:rFonts w:ascii="Cambria Math" w:hAnsi="Cambria Math" w:cs="Cambria Math"/>
          <w:sz w:val="18"/>
          <w:szCs w:val="18"/>
        </w:rPr>
        <w:t>②</w:t>
      </w:r>
      <w:r w:rsidRPr="005A284F">
        <w:rPr>
          <w:rFonts w:ascii="Times New Roman" w:hAnsi="Times New Roman" w:cs="Times New Roman"/>
          <w:sz w:val="18"/>
          <w:szCs w:val="18"/>
        </w:rPr>
        <w:t>分类为以公允价值计量且其变动计入其他综合收益的外币货币性项目，除摊余成本（含减值）之外的其他账面余额变动产生的汇兑差额计入其他综合收益之外，均计入当期损益。</w:t>
      </w:r>
    </w:p>
    <w:p w14:paraId="4E211479" w14:textId="77777777" w:rsidR="000309B5" w:rsidRPr="0078003E" w:rsidRDefault="00000000" w:rsidP="0078003E">
      <w:pPr>
        <w:pStyle w:val="a3"/>
        <w:spacing w:before="0" w:beforeAutospacing="0" w:after="0" w:afterAutospacing="0" w:line="276" w:lineRule="auto"/>
        <w:ind w:firstLineChars="200" w:firstLine="360"/>
        <w:jc w:val="both"/>
        <w:divId w:val="808014851"/>
        <w:rPr>
          <w:rFonts w:ascii="Times New Roman" w:hAnsi="Times New Roman" w:cs="Times New Roman"/>
          <w:sz w:val="18"/>
          <w:szCs w:val="18"/>
        </w:rPr>
      </w:pPr>
      <w:r w:rsidRPr="005A284F">
        <w:rPr>
          <w:rFonts w:ascii="Times New Roman" w:hAnsi="Times New Roman" w:cs="Times New Roman"/>
          <w:sz w:val="18"/>
          <w:szCs w:val="18"/>
        </w:rPr>
        <w:t>以历史成本计量的外币非货币性项目，仍采用交易发生日的即期汇率折算的记账本位币金额计量。以公允价值计量的外币非货币性项目，采用公允价值确定日的即期汇率折算，折算后的记账本位币金额与原记账本位币金额的差额，作为公允价值变动（含汇率变动）处理，计入当期损益或确认为其他综合收益。</w:t>
      </w:r>
    </w:p>
    <w:p w14:paraId="661B4F87" w14:textId="77777777" w:rsidR="000309B5" w:rsidRPr="0078003E" w:rsidRDefault="00000000" w:rsidP="0078003E">
      <w:pPr>
        <w:pStyle w:val="a3"/>
        <w:spacing w:before="0" w:beforeAutospacing="0" w:after="0" w:afterAutospacing="0" w:line="276" w:lineRule="auto"/>
        <w:ind w:firstLineChars="200" w:firstLine="360"/>
        <w:jc w:val="both"/>
        <w:divId w:val="808014851"/>
        <w:rPr>
          <w:rFonts w:ascii="Times New Roman" w:hAnsi="Times New Roman" w:cs="Times New Roman"/>
          <w:sz w:val="18"/>
          <w:szCs w:val="18"/>
        </w:rPr>
      </w:pPr>
      <w:r w:rsidRPr="005A284F">
        <w:rPr>
          <w:rFonts w:ascii="Times New Roman" w:hAnsi="Times New Roman" w:cs="Times New Roman"/>
          <w:sz w:val="18"/>
          <w:szCs w:val="18"/>
        </w:rPr>
        <w:t>外币财务报表的折算方法</w:t>
      </w:r>
    </w:p>
    <w:p w14:paraId="40C6EBA0" w14:textId="77777777" w:rsidR="000309B5" w:rsidRPr="0078003E" w:rsidRDefault="00000000" w:rsidP="0078003E">
      <w:pPr>
        <w:pStyle w:val="a3"/>
        <w:spacing w:before="0" w:beforeAutospacing="0" w:after="0" w:afterAutospacing="0" w:line="276" w:lineRule="auto"/>
        <w:ind w:firstLineChars="200" w:firstLine="360"/>
        <w:jc w:val="both"/>
        <w:divId w:val="808014851"/>
        <w:rPr>
          <w:rFonts w:ascii="Times New Roman" w:hAnsi="Times New Roman" w:cs="Times New Roman"/>
          <w:sz w:val="18"/>
          <w:szCs w:val="18"/>
        </w:rPr>
      </w:pPr>
      <w:r w:rsidRPr="005A284F">
        <w:rPr>
          <w:rFonts w:ascii="Times New Roman" w:hAnsi="Times New Roman" w:cs="Times New Roman"/>
          <w:sz w:val="18"/>
          <w:szCs w:val="18"/>
        </w:rPr>
        <w:t>境外经营的外币财务报表按以下方法折算为人民币报表：资产负债表中的资产和负债项目，采用资产负债表日的即期汇率折算；股东权益类项目除</w:t>
      </w:r>
      <w:r w:rsidRPr="005A284F">
        <w:rPr>
          <w:rFonts w:ascii="Times New Roman" w:hAnsi="Times New Roman" w:cs="Times New Roman"/>
          <w:sz w:val="18"/>
          <w:szCs w:val="18"/>
        </w:rPr>
        <w:t>“</w:t>
      </w:r>
      <w:r w:rsidRPr="005A284F">
        <w:rPr>
          <w:rFonts w:ascii="Times New Roman" w:hAnsi="Times New Roman" w:cs="Times New Roman"/>
          <w:sz w:val="18"/>
          <w:szCs w:val="18"/>
        </w:rPr>
        <w:t>未分配利润</w:t>
      </w:r>
      <w:r w:rsidRPr="005A284F">
        <w:rPr>
          <w:rFonts w:ascii="Times New Roman" w:hAnsi="Times New Roman" w:cs="Times New Roman"/>
          <w:sz w:val="18"/>
          <w:szCs w:val="18"/>
        </w:rPr>
        <w:t>”</w:t>
      </w:r>
      <w:r w:rsidRPr="005A284F">
        <w:rPr>
          <w:rFonts w:ascii="Times New Roman" w:hAnsi="Times New Roman" w:cs="Times New Roman"/>
          <w:sz w:val="18"/>
          <w:szCs w:val="18"/>
        </w:rPr>
        <w:t>项目外，其他项目采用发生时的即期汇率折算。利润表中的收入和费用项目，采用交易发生日的即期汇率折算。年初未分配利润为上一年折算后的年末未分配利润；期末未分配利润按折算后的利润分配各项目计算列示；折算后资产类项目与负债类项目和股东权益类项目合计数的差额，作为外币报表折算差额，确认为其他综合收益。处置境外经营并丧失控制权时，将资产负债表中股东权益项目下列示的、与该境外经营相关的外币报表折算差额，全部或按处置该境外经营的比例转入处置当期损益。</w:t>
      </w:r>
    </w:p>
    <w:p w14:paraId="2A4A1D16" w14:textId="77777777" w:rsidR="000309B5" w:rsidRPr="0078003E" w:rsidRDefault="00000000" w:rsidP="0078003E">
      <w:pPr>
        <w:pStyle w:val="a3"/>
        <w:spacing w:before="0" w:beforeAutospacing="0" w:after="0" w:afterAutospacing="0" w:line="276" w:lineRule="auto"/>
        <w:ind w:firstLineChars="200" w:firstLine="360"/>
        <w:jc w:val="both"/>
        <w:divId w:val="808014851"/>
        <w:rPr>
          <w:rFonts w:ascii="Times New Roman" w:hAnsi="Times New Roman" w:cs="Times New Roman"/>
          <w:sz w:val="18"/>
          <w:szCs w:val="18"/>
        </w:rPr>
      </w:pPr>
      <w:r w:rsidRPr="005A284F">
        <w:rPr>
          <w:rFonts w:ascii="Times New Roman" w:hAnsi="Times New Roman" w:cs="Times New Roman"/>
          <w:sz w:val="18"/>
          <w:szCs w:val="18"/>
        </w:rPr>
        <w:t>外币现金流量，采用现金流量发生日的即期汇率折算。汇率变动对现金的影响额作为调节项目，在现金流量表中单独列报。</w:t>
      </w:r>
    </w:p>
    <w:p w14:paraId="784AA52A" w14:textId="77777777" w:rsidR="000309B5" w:rsidRPr="0078003E" w:rsidRDefault="00000000" w:rsidP="0078003E">
      <w:pPr>
        <w:pStyle w:val="a3"/>
        <w:spacing w:before="0" w:beforeAutospacing="0" w:after="0" w:afterAutospacing="0" w:line="276" w:lineRule="auto"/>
        <w:ind w:firstLineChars="200" w:firstLine="360"/>
        <w:jc w:val="both"/>
        <w:divId w:val="808014851"/>
        <w:rPr>
          <w:rFonts w:ascii="Times New Roman" w:hAnsi="Times New Roman" w:cs="Times New Roman"/>
          <w:sz w:val="18"/>
          <w:szCs w:val="18"/>
        </w:rPr>
      </w:pPr>
      <w:r w:rsidRPr="005A284F">
        <w:rPr>
          <w:rFonts w:ascii="Times New Roman" w:hAnsi="Times New Roman" w:cs="Times New Roman"/>
          <w:sz w:val="18"/>
          <w:szCs w:val="18"/>
        </w:rPr>
        <w:t>年初数和上年实际数按照上年财务报表折算后的数额列示。</w:t>
      </w:r>
    </w:p>
    <w:p w14:paraId="62AF23BB" w14:textId="77777777" w:rsidR="000309B5" w:rsidRPr="0078003E" w:rsidRDefault="00000000" w:rsidP="0078003E">
      <w:pPr>
        <w:pStyle w:val="a3"/>
        <w:spacing w:before="0" w:beforeAutospacing="0" w:after="0" w:afterAutospacing="0" w:line="276" w:lineRule="auto"/>
        <w:ind w:firstLineChars="200" w:firstLine="360"/>
        <w:jc w:val="both"/>
        <w:divId w:val="808014851"/>
        <w:rPr>
          <w:rFonts w:ascii="Times New Roman" w:hAnsi="Times New Roman" w:cs="Times New Roman"/>
          <w:sz w:val="18"/>
          <w:szCs w:val="18"/>
        </w:rPr>
      </w:pPr>
      <w:r w:rsidRPr="005A284F">
        <w:rPr>
          <w:rFonts w:ascii="Times New Roman" w:hAnsi="Times New Roman" w:cs="Times New Roman"/>
          <w:sz w:val="18"/>
          <w:szCs w:val="18"/>
        </w:rPr>
        <w:t>在处置本集团在境外经营的全部所有者权益或因处置部分股权投资或其他原因丧失了对境外经营控制权时，将资产负债表中股东权益项目下列示的、与该境外经营相关的归属于母公司所有者权益的外币报表折算差额，全部转入处置当期损益。</w:t>
      </w:r>
    </w:p>
    <w:p w14:paraId="73FAB74A" w14:textId="77777777" w:rsidR="000309B5" w:rsidRPr="0078003E" w:rsidRDefault="00000000" w:rsidP="0078003E">
      <w:pPr>
        <w:pStyle w:val="a3"/>
        <w:spacing w:before="0" w:beforeAutospacing="0" w:after="0" w:afterAutospacing="0" w:line="276" w:lineRule="auto"/>
        <w:ind w:firstLineChars="200" w:firstLine="360"/>
        <w:jc w:val="both"/>
        <w:divId w:val="808014851"/>
        <w:rPr>
          <w:rFonts w:ascii="Times New Roman" w:hAnsi="Times New Roman" w:cs="Times New Roman"/>
          <w:sz w:val="18"/>
          <w:szCs w:val="18"/>
        </w:rPr>
      </w:pPr>
      <w:r w:rsidRPr="005A284F">
        <w:rPr>
          <w:rFonts w:ascii="Times New Roman" w:hAnsi="Times New Roman" w:cs="Times New Roman"/>
          <w:sz w:val="18"/>
          <w:szCs w:val="18"/>
        </w:rPr>
        <w:t>在处置部分股权投资或其他原因导致持有境外经营权益比例降低但不丧失对境外经营控制权时，与该境外经营处置部分相关的外币报表折算差额将归属于少数股东权益，不转入当期损益。在处置境外经营为联营企业或合营企业的部分股权时，与该境外经营相关的外币报表折算差额，按处置该境外经营的比例转入处置当期损益。</w:t>
      </w:r>
    </w:p>
    <w:p w14:paraId="74568379" w14:textId="77777777" w:rsidR="000309B5" w:rsidRPr="0078003E" w:rsidRDefault="00000000" w:rsidP="0078003E">
      <w:pPr>
        <w:pStyle w:val="a3"/>
        <w:spacing w:before="0" w:beforeAutospacing="0" w:after="0" w:afterAutospacing="0" w:line="276" w:lineRule="auto"/>
        <w:ind w:firstLineChars="200" w:firstLine="360"/>
        <w:jc w:val="both"/>
        <w:divId w:val="808014851"/>
        <w:rPr>
          <w:rFonts w:ascii="Times New Roman" w:hAnsi="Times New Roman" w:cs="Times New Roman"/>
          <w:sz w:val="18"/>
          <w:szCs w:val="18"/>
        </w:rPr>
      </w:pPr>
      <w:r w:rsidRPr="005A284F">
        <w:rPr>
          <w:rFonts w:ascii="Times New Roman" w:hAnsi="Times New Roman" w:cs="Times New Roman"/>
          <w:sz w:val="18"/>
          <w:szCs w:val="18"/>
        </w:rPr>
        <w:t>如有实质上构成对境外经营净投资的外币货币性项目，在合并财务报表中，其因汇率变动而产生的汇兑差额，作为</w:t>
      </w:r>
      <w:r w:rsidRPr="005A284F">
        <w:rPr>
          <w:rFonts w:ascii="Times New Roman" w:hAnsi="Times New Roman" w:cs="Times New Roman"/>
          <w:sz w:val="18"/>
          <w:szCs w:val="18"/>
        </w:rPr>
        <w:t>“</w:t>
      </w:r>
      <w:r w:rsidRPr="005A284F">
        <w:rPr>
          <w:rFonts w:ascii="Times New Roman" w:hAnsi="Times New Roman" w:cs="Times New Roman"/>
          <w:sz w:val="18"/>
          <w:szCs w:val="18"/>
        </w:rPr>
        <w:t>外币报表折算差额</w:t>
      </w:r>
      <w:r w:rsidRPr="005A284F">
        <w:rPr>
          <w:rFonts w:ascii="Times New Roman" w:hAnsi="Times New Roman" w:cs="Times New Roman"/>
          <w:sz w:val="18"/>
          <w:szCs w:val="18"/>
        </w:rPr>
        <w:t>”</w:t>
      </w:r>
      <w:r w:rsidRPr="005A284F">
        <w:rPr>
          <w:rFonts w:ascii="Times New Roman" w:hAnsi="Times New Roman" w:cs="Times New Roman"/>
          <w:sz w:val="18"/>
          <w:szCs w:val="18"/>
        </w:rPr>
        <w:t>确认为其他综合收益；处置境外经营时，计入处置当期损益。</w:t>
      </w:r>
    </w:p>
    <w:p w14:paraId="35FEA0E2" w14:textId="77777777" w:rsidR="006C011D" w:rsidRPr="005A284F" w:rsidRDefault="00000000">
      <w:pPr>
        <w:pStyle w:val="3"/>
        <w:spacing w:line="280" w:lineRule="exact"/>
        <w:jc w:val="left"/>
        <w:rPr>
          <w:rFonts w:ascii="Times New Roman" w:hAnsi="Times New Roman" w:cs="Times New Roman"/>
          <w:b/>
          <w:bCs/>
        </w:rPr>
      </w:pPr>
      <w:bookmarkStart w:id="125" w:name="_Toc989014"/>
      <w:r w:rsidRPr="005A284F">
        <w:rPr>
          <w:rFonts w:ascii="Times New Roman" w:hAnsi="Times New Roman" w:cs="Times New Roman"/>
          <w:b/>
          <w:bCs/>
        </w:rPr>
        <w:lastRenderedPageBreak/>
        <w:t>11</w:t>
      </w:r>
      <w:r w:rsidRPr="005A284F">
        <w:rPr>
          <w:rFonts w:ascii="Times New Roman" w:hAnsi="Times New Roman" w:cs="Times New Roman"/>
          <w:b/>
          <w:bCs/>
        </w:rPr>
        <w:t>、金融工具</w:t>
      </w:r>
      <w:bookmarkEnd w:id="125"/>
    </w:p>
    <w:p w14:paraId="046ED58C"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在本集团成为金融工具合同的一方时确认一项金融资产或金融负债。</w:t>
      </w:r>
    </w:p>
    <w:p w14:paraId="2B030E5D"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金融资产的分类、确认和计量</w:t>
      </w:r>
    </w:p>
    <w:p w14:paraId="2F4AC999"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本集团根据管理金融资产的业务模式和金融资产的合同现金流量特征，将金融资产划分为：以摊余成本计量的金融资产；以公允价值计量且其变动计入其他综合收益的金融资产；以公允价值计量且其变动计入当期损益的金融资产。</w:t>
      </w:r>
    </w:p>
    <w:p w14:paraId="6324B4D1"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未包含或不考虑重大融资成分的应收账款或应收票据，本集团按照预期有权收取的对价金额作为初始确认金额。</w:t>
      </w:r>
    </w:p>
    <w:p w14:paraId="1239A5A6"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78003E">
        <w:rPr>
          <w:rFonts w:ascii="Cambria Math" w:hAnsi="Cambria Math" w:cs="Cambria Math"/>
          <w:sz w:val="18"/>
          <w:szCs w:val="18"/>
        </w:rPr>
        <w:t>①</w:t>
      </w:r>
      <w:r w:rsidRPr="005A284F">
        <w:rPr>
          <w:rFonts w:ascii="Times New Roman" w:hAnsi="Times New Roman" w:cs="Times New Roman"/>
          <w:sz w:val="18"/>
          <w:szCs w:val="18"/>
        </w:rPr>
        <w:t>以摊余成本计量的金融资产</w:t>
      </w:r>
    </w:p>
    <w:p w14:paraId="48947E1D"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本集团管理以摊余成本计量的金融资产的业务模式为以收取合同现金流量为目标，且此类金融资产的合同现金流量特征与基本借贷安排相一致，即在特定日期产生的现金流量，仅为对本金和以未偿付本金金额为基础的利息的支付。本集团对于此类金融资产，采用实际利率法，按照摊余成本进行后续计量，其摊销或减值产生的利得或损失，计入当期损益。</w:t>
      </w:r>
    </w:p>
    <w:p w14:paraId="03B6E9D8"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78003E">
        <w:rPr>
          <w:rFonts w:ascii="Cambria Math" w:hAnsi="Cambria Math" w:cs="Cambria Math"/>
          <w:sz w:val="18"/>
          <w:szCs w:val="18"/>
        </w:rPr>
        <w:t>②</w:t>
      </w:r>
      <w:r w:rsidRPr="005A284F">
        <w:rPr>
          <w:rFonts w:ascii="Times New Roman" w:hAnsi="Times New Roman" w:cs="Times New Roman"/>
          <w:sz w:val="18"/>
          <w:szCs w:val="18"/>
        </w:rPr>
        <w:t>以公允价值计量且其变动计入其他综合收益的金融资产</w:t>
      </w:r>
    </w:p>
    <w:p w14:paraId="1B35A5A3"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本集团管理此类金融资产的业务模式为既以收取合同现金流量为目标又以出售为目标，且此类金融资产的合同现金流量特征与基本借贷安排相一致。本集团对此类金融资产按照公允价值计量且其变动计入其他综合收益，但减值损失或利得、汇兑损益和按照实际利率法计算的利息收入计入当期损益。</w:t>
      </w:r>
    </w:p>
    <w:p w14:paraId="74203175"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当应收票据和应收账款同时满足以上条件时，本公司将其划分为以公允价值计量且其变动计入其他综合收益的金融资产，在报表中列示为应收款项融资。</w:t>
      </w:r>
    </w:p>
    <w:p w14:paraId="12164E24"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此外，本集团将部分非交易性权益工具投资指定为以公允价值计量且其变动计入其他综合收益的金融资产。本集团将该类金融资产的相关股利收入计入当期损益，公允价值变动计入其他综合收益。当该金融资产终止确认时，之前计入其他综合收益的累计利得或损失将从其他综合收益转入留存收益，不计入当期损益。</w:t>
      </w:r>
    </w:p>
    <w:p w14:paraId="7CC07FA2"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78003E">
        <w:rPr>
          <w:rFonts w:ascii="Cambria Math" w:hAnsi="Cambria Math" w:cs="Cambria Math"/>
          <w:sz w:val="18"/>
          <w:szCs w:val="18"/>
        </w:rPr>
        <w:t>③</w:t>
      </w:r>
      <w:r w:rsidRPr="005A284F">
        <w:rPr>
          <w:rFonts w:ascii="Times New Roman" w:hAnsi="Times New Roman" w:cs="Times New Roman"/>
          <w:sz w:val="18"/>
          <w:szCs w:val="18"/>
        </w:rPr>
        <w:t>以公允价值计量且其变动计入当期损益的金融资产</w:t>
      </w:r>
    </w:p>
    <w:p w14:paraId="7FED71C5"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本集团将上述以摊余成本计量的金融资产和以公允价值计量且其变动计入其他综合收益的金融资产之外的金融资产，分类为以公允价值计量且其变动计入当期损益的金融资产。此外，在初始确认时，本集团为了消除或显著减少会计错配，将部分金融资产指定为以公允价值计量且其变动计入当期损益的金融资产。对于此类金融资产，本集团采用公允价值进行后续计量，公允价值变动计入当期损益。</w:t>
      </w:r>
    </w:p>
    <w:p w14:paraId="53327F96"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金融负债的分类、确认和计量</w:t>
      </w:r>
    </w:p>
    <w:p w14:paraId="5355826B"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金融负债于初始确认时分类为以公允价值计量且其变动计入当期损益的金融负债和其他金融负债。对于以公允价值计量且其变动计入当期损益的金融负债，相关交易费用直接计入当期损益，其他金融负债的相关交易费用计入其初始确认金额。</w:t>
      </w:r>
    </w:p>
    <w:p w14:paraId="1279366A"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78003E">
        <w:rPr>
          <w:rFonts w:ascii="Cambria Math" w:hAnsi="Cambria Math" w:cs="Cambria Math"/>
          <w:sz w:val="18"/>
          <w:szCs w:val="18"/>
        </w:rPr>
        <w:t>①</w:t>
      </w:r>
      <w:r w:rsidRPr="005A284F">
        <w:rPr>
          <w:rFonts w:ascii="Times New Roman" w:hAnsi="Times New Roman" w:cs="Times New Roman"/>
          <w:sz w:val="18"/>
          <w:szCs w:val="18"/>
        </w:rPr>
        <w:t>以公允价值计量且其变动计入当期损益的金融负债</w:t>
      </w:r>
    </w:p>
    <w:p w14:paraId="4F29376E"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以公允价值计量且其变动计入当期损益的金融负债，包括交易性金融负债（含属于金融负债的衍生工具）和初始确认时指定为以公允价值计量且其变动计入当期损益的金融负债。</w:t>
      </w:r>
    </w:p>
    <w:p w14:paraId="7B405644"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交易性金融负债（含属于金融负债的衍生工具），按照公允价值进行后续计量，除与套期会计有关外，公允价值变动计入当期损益。</w:t>
      </w:r>
    </w:p>
    <w:p w14:paraId="6E3A70B4"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被指定为以公允价值计量且其变动计入当期损益的金融负债，该负债由本集团自身信用风险变动引起的公允价值变动计入其他综合收益，且终止确认该负债时，计入其他综合收益的自身信用风险变动引起的其公允价值累计变动额转入留存</w:t>
      </w:r>
      <w:r w:rsidRPr="005A284F">
        <w:rPr>
          <w:rFonts w:ascii="Times New Roman" w:hAnsi="Times New Roman" w:cs="Times New Roman"/>
          <w:sz w:val="18"/>
          <w:szCs w:val="18"/>
        </w:rPr>
        <w:lastRenderedPageBreak/>
        <w:t>收益。其余公允价值变动计入当期损益。若按上述方式对该等金融负债的自身信用风险变动的影响进行处理会造成或扩大损益中的会计错配的，本集团将该金融负债的全部利得或损失（包括企业自身信用风险变动的影响金额）计入当期损益。</w:t>
      </w:r>
    </w:p>
    <w:p w14:paraId="530288EC"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78003E">
        <w:rPr>
          <w:rFonts w:ascii="Cambria Math" w:hAnsi="Cambria Math" w:cs="Cambria Math"/>
          <w:sz w:val="18"/>
          <w:szCs w:val="18"/>
        </w:rPr>
        <w:t>②</w:t>
      </w:r>
      <w:r w:rsidRPr="005A284F">
        <w:rPr>
          <w:rFonts w:ascii="Times New Roman" w:hAnsi="Times New Roman" w:cs="Times New Roman"/>
          <w:sz w:val="18"/>
          <w:szCs w:val="18"/>
        </w:rPr>
        <w:t>其他金融负债</w:t>
      </w:r>
    </w:p>
    <w:p w14:paraId="234BB65B"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除金融资产转移不符合终止确认条件或继续涉入被转移金融资产所形成的金融负债、财务担保合同外的其他金融负债分类为以摊余成本计量的金融负债，按摊余成本进行后续计量，终止确认或摊销产生的利得或损失计入当期损益。</w:t>
      </w:r>
    </w:p>
    <w:p w14:paraId="2A9F74C3"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金融资产转移的确认依据和计量方法</w:t>
      </w:r>
    </w:p>
    <w:p w14:paraId="424F1D0E"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满足下列条件之一的金融资产，予以终止确认：</w:t>
      </w:r>
      <w:r w:rsidRPr="0078003E">
        <w:rPr>
          <w:rFonts w:ascii="Cambria Math" w:hAnsi="Cambria Math" w:cs="Cambria Math"/>
          <w:sz w:val="18"/>
          <w:szCs w:val="18"/>
        </w:rPr>
        <w:t>①</w:t>
      </w:r>
      <w:r w:rsidRPr="005A284F">
        <w:rPr>
          <w:rFonts w:ascii="Times New Roman" w:hAnsi="Times New Roman" w:cs="Times New Roman"/>
          <w:sz w:val="18"/>
          <w:szCs w:val="18"/>
        </w:rPr>
        <w:t>收取该金融资产现金流量的合同权利终止；</w:t>
      </w:r>
      <w:r w:rsidRPr="0078003E">
        <w:rPr>
          <w:rFonts w:ascii="Cambria Math" w:hAnsi="Cambria Math" w:cs="Cambria Math"/>
          <w:sz w:val="18"/>
          <w:szCs w:val="18"/>
        </w:rPr>
        <w:t>②</w:t>
      </w:r>
      <w:r w:rsidRPr="005A284F">
        <w:rPr>
          <w:rFonts w:ascii="Times New Roman" w:hAnsi="Times New Roman" w:cs="Times New Roman"/>
          <w:sz w:val="18"/>
          <w:szCs w:val="18"/>
        </w:rPr>
        <w:t>该金融资产已转移，且将金融资产所有权上几乎所有的风险和报酬转移给转入方；</w:t>
      </w:r>
      <w:r w:rsidRPr="0078003E">
        <w:rPr>
          <w:rFonts w:ascii="Cambria Math" w:hAnsi="Cambria Math" w:cs="Cambria Math"/>
          <w:sz w:val="18"/>
          <w:szCs w:val="18"/>
        </w:rPr>
        <w:t>③</w:t>
      </w:r>
      <w:r w:rsidRPr="005A284F">
        <w:rPr>
          <w:rFonts w:ascii="Times New Roman" w:hAnsi="Times New Roman" w:cs="Times New Roman"/>
          <w:sz w:val="18"/>
          <w:szCs w:val="18"/>
        </w:rPr>
        <w:t>该金融资产已转移，虽然企业既没有转移也没有保留金融资产所有权上几乎所有的风险和报酬，但是放弃了对该金融资产的控制。</w:t>
      </w:r>
    </w:p>
    <w:p w14:paraId="701A6F1C"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若企业既没有转移也没有保留金融资产所有权上几乎所有的风险和报酬，且未放弃对该金融资产的控制的，则按照继续涉入所转移金融资产的程度确认有关金融资产，并相应确认有关负债。继续涉入所转移金融资产的程度，是指该金融资产价值变动使企业面临的风险水平。</w:t>
      </w:r>
    </w:p>
    <w:p w14:paraId="41257AE2"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金融资产整体转移满足终止确认条件的，将所转移金融资产的账面价值及因转移而收到的对价与原计入其他综合收益的公允价值变动累计额之和的差额计入当期损益。</w:t>
      </w:r>
    </w:p>
    <w:p w14:paraId="55E817BA"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金融资产部分转移满足终止确认条件的，将所转移金融资产的账面价值在终止确认及未终止确认部分之间按其相对的公允价值进行分摊，并将因转移而收到的对价与应分摊至终止确认部分的原计入其他综合收益的公允价值变动累计额之和与分摊的前述账面金额之差额计入当期损益。</w:t>
      </w:r>
    </w:p>
    <w:p w14:paraId="43E31C6D"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本集团对采用附追索权方式出售的金融资产，或将持有的金融资产背书转让，需确定该金融资产所有权上几乎所有的风险和报酬是否已经转移。已将该金融资产所有权上几乎所有的风险和报酬转移给转入方的，终止确认该金融资产；保留了金融资产所有权上几乎所有的风险和报酬的，不终止确认该金融资产；既没有转移也没有保留金融资产所有权上几乎所有的风险和报酬的，则继续判断企业是否对该资产保留了控制，并根据前面各段所述的原则进行会计处理。</w:t>
      </w:r>
    </w:p>
    <w:p w14:paraId="7AC663FA"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金融负债的终止确认</w:t>
      </w:r>
    </w:p>
    <w:p w14:paraId="27F65A9E"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金融负债（或其一部分）的现时义务已经解除的，本集团终止确认该金融负债（或该部分金融负债）。本集团（借入方）与借出方签订协议，以承担新金融负债的方式替换原金融负债，且新金融负债与原金融负债的合同条款实质上不同的，终止确认原金融负债，同时确认一项新金融负债。本集团对原金融负债（或其一部分）的合同条款作出实质性修改的，终止确认原金融负债，同时按照修改后的条款确认一项新金融负债。</w:t>
      </w:r>
    </w:p>
    <w:p w14:paraId="30FF2F59"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金融负债（或其一部分）终止确认的，本集团将其账面价值与支付的对价（包括转出的非现金资产或承担的负债）之间的差额，计入当期损益。</w:t>
      </w:r>
    </w:p>
    <w:p w14:paraId="48C83BE7"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金融资产和金融负债的抵销</w:t>
      </w:r>
    </w:p>
    <w:p w14:paraId="44AEED33"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当本集团具有抵销已确认金额的金融资产和金融负债的法定权利，且该种法定权利是当前可执行的，同时本集团计划以净额结算或同时变现该金融资产和清偿该金融负债时，金融资产和金融负债以相互抵销后的净额在资产负债表内列示。除此以外，金融资产和金融负债在资产负债表内分别列示，不予相互抵销。</w:t>
      </w:r>
    </w:p>
    <w:p w14:paraId="05CEA708"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金融资产和金融负债的公允价值确定方法</w:t>
      </w:r>
    </w:p>
    <w:p w14:paraId="63EA87CA"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公允价值，是指市场参与者在计量日发生的有序交易中，出售一项资产所能收到或者转移一项负债所需支付的价格。金融工具存在活跃市场的，本集团采用活跃市场中的报价确定其公允价值。活跃市场中的报价是指易于定期从交易所、经纪商、行业协会、定价服务机构等获得的价格，且代表了在公平交易中实际发生的市场交易的价格。金融工具不存在活跃市场的，本集团采用估值技术确定其公允价值。估值技术包括参考熟悉情况并自愿交易的各方最近进行的市场交易中使用的价格、参照实质上相同的其他金融工具当前的公允价值、现金流量折现法和期权定价模型等。在估值时，本集团采用在当前情况下适用并且有足够可利用数据和其他信息支持的估值技术，选择与市场参与者在相关资产或负债的交易中所考虑</w:t>
      </w:r>
      <w:r w:rsidRPr="005A284F">
        <w:rPr>
          <w:rFonts w:ascii="Times New Roman" w:hAnsi="Times New Roman" w:cs="Times New Roman"/>
          <w:sz w:val="18"/>
          <w:szCs w:val="18"/>
        </w:rPr>
        <w:lastRenderedPageBreak/>
        <w:t>的资产或负债特征相一致的输入值，并尽可能优先使用相关可观察输入值。在相关可观察输入值无法取得或取得不切实可行的情况下，使用不可输入值。</w:t>
      </w:r>
    </w:p>
    <w:p w14:paraId="37683ED4"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权益工具</w:t>
      </w:r>
    </w:p>
    <w:p w14:paraId="353F1AD1"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权益工具是指能证明拥有本集团在扣除所有负债后的资产中的剩余权益的合同。本集团发行（含再融资）、回购、出售或注销权益工具作为权益的变动处理，与权益性交易相关的交易费用从权益中扣减。本集团不确认权益工具的公允价值变动。</w:t>
      </w:r>
    </w:p>
    <w:p w14:paraId="50F4888F"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本集团权益工具在存续期间分派股利（含分类为权益工具的工具所产生的</w:t>
      </w:r>
      <w:r w:rsidRPr="005A284F">
        <w:rPr>
          <w:rFonts w:ascii="Times New Roman" w:hAnsi="Times New Roman" w:cs="Times New Roman"/>
          <w:sz w:val="18"/>
          <w:szCs w:val="18"/>
        </w:rPr>
        <w:t>“</w:t>
      </w:r>
      <w:r w:rsidRPr="005A284F">
        <w:rPr>
          <w:rFonts w:ascii="Times New Roman" w:hAnsi="Times New Roman" w:cs="Times New Roman"/>
          <w:sz w:val="18"/>
          <w:szCs w:val="18"/>
        </w:rPr>
        <w:t>利息</w:t>
      </w:r>
      <w:r w:rsidRPr="005A284F">
        <w:rPr>
          <w:rFonts w:ascii="Times New Roman" w:hAnsi="Times New Roman" w:cs="Times New Roman"/>
          <w:sz w:val="18"/>
          <w:szCs w:val="18"/>
        </w:rPr>
        <w:t>”</w:t>
      </w:r>
      <w:r w:rsidRPr="005A284F">
        <w:rPr>
          <w:rFonts w:ascii="Times New Roman" w:hAnsi="Times New Roman" w:cs="Times New Roman"/>
          <w:sz w:val="18"/>
          <w:szCs w:val="18"/>
        </w:rPr>
        <w:t>）的，作为利润分配处理。</w:t>
      </w:r>
    </w:p>
    <w:p w14:paraId="5027BE79"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减值项目</w:t>
      </w:r>
    </w:p>
    <w:p w14:paraId="1FC310B6"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本公司以预期信用损失为基础，对下列项目进行减值会计处理并确认损失准备：</w:t>
      </w:r>
    </w:p>
    <w:p w14:paraId="1964C70C"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1</w:t>
      </w:r>
      <w:r w:rsidRPr="005A284F">
        <w:rPr>
          <w:rFonts w:ascii="Times New Roman" w:hAnsi="Times New Roman" w:cs="Times New Roman"/>
          <w:sz w:val="18"/>
          <w:szCs w:val="18"/>
        </w:rPr>
        <w:t>）分类为以摊余成本计量的金融资产和分类为以公允价值计量且其变动计入其他综合收益的金融资产；</w:t>
      </w:r>
    </w:p>
    <w:p w14:paraId="4A34E24A"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2</w:t>
      </w:r>
      <w:r w:rsidRPr="005A284F">
        <w:rPr>
          <w:rFonts w:ascii="Times New Roman" w:hAnsi="Times New Roman" w:cs="Times New Roman"/>
          <w:sz w:val="18"/>
          <w:szCs w:val="18"/>
        </w:rPr>
        <w:t>）租赁应收款；</w:t>
      </w:r>
    </w:p>
    <w:p w14:paraId="69D9FCEF"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3</w:t>
      </w:r>
      <w:r w:rsidRPr="005A284F">
        <w:rPr>
          <w:rFonts w:ascii="Times New Roman" w:hAnsi="Times New Roman" w:cs="Times New Roman"/>
          <w:sz w:val="18"/>
          <w:szCs w:val="18"/>
        </w:rPr>
        <w:t>）贷款承诺和财务担保合同。</w:t>
      </w:r>
    </w:p>
    <w:p w14:paraId="6AC944AC"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本集团持有的其他以公允价值计量的金融资产不适用预期信用损失模型，包括以公允价值计量且其变动计入当期损益的金融资产，指定为以公允价值计量且其变动计入其他综合收益的金融资产（非交易性权益工具投资），以及衍生金融资产。</w:t>
      </w:r>
    </w:p>
    <w:p w14:paraId="465C713F"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减值准备的确认和计量</w:t>
      </w:r>
    </w:p>
    <w:p w14:paraId="637153FA"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除了对于购买或源生的已发生信用减值的金融资产以及始终按照相当于整个存续期内预期信用损失的金额计量损失准备的金融资产之外，本公司在每个资产负债表日评估相关金融工具的信用风险自初始确认后是否已显著增加，并按照下列情形分别计量其损失准备、确认预期信用损失及其变动：</w:t>
      </w:r>
    </w:p>
    <w:p w14:paraId="0DAF92B6"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如果该金融工具的信用风险自初始确认后并未显著增加，处于第一阶段，本公司按照相当于该金融工具未来</w:t>
      </w:r>
      <w:r w:rsidRPr="005A284F">
        <w:rPr>
          <w:rFonts w:ascii="Times New Roman" w:hAnsi="Times New Roman" w:cs="Times New Roman"/>
          <w:sz w:val="18"/>
          <w:szCs w:val="18"/>
        </w:rPr>
        <w:t>12</w:t>
      </w:r>
      <w:r w:rsidRPr="005A284F">
        <w:rPr>
          <w:rFonts w:ascii="Times New Roman" w:hAnsi="Times New Roman" w:cs="Times New Roman"/>
          <w:sz w:val="18"/>
          <w:szCs w:val="18"/>
        </w:rPr>
        <w:t>个月内预期信用损失的金额计量其损失准备，无论本公司评估信用损失的基础是单项金融工具还是金融工具组合，由此形成的损失准备的增加或转回金额，作为减值损失或利得计入当期损益。</w:t>
      </w:r>
    </w:p>
    <w:p w14:paraId="239C1162"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如果该金融工具的信用风险自初始确认后已显著增加，处于第二阶段，本公司按照相当于该金融工具整个存续期内预期信用损失的金额计量其损失准备。无论本公司评估信用损失的基础是单项金融工具还是金融工具组合，由此形成的损失准备的增加或转回金额，作为减值损失或利得计入当期损益。</w:t>
      </w:r>
    </w:p>
    <w:p w14:paraId="35539818"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对于已发生信用减值的金融资产，处于第三阶段，本公司在资产负债表日仅将自初始确认后整个存续期内预期信用损失的累计变动确认为损失准备。在每个资产负债表日，本公司将整个存续期内预期信用损失的变动金额作为减值损失或利得计入当期损益。即使该资产负债表日确定的整个存续期内预期信用损失小于初始确认时估计现金流量所反映的预期信用损失的金额，本公司也将预期信用损失的有利变动确认为减值利得。</w:t>
      </w:r>
    </w:p>
    <w:p w14:paraId="62FEB319"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对于分类为以公允价值计量且其变动计入其他综合收益的金融资产（债务工具投资），本公司在其他综合收益中确认其损失准备，并将减值损失或利得计入当期损益，且不应减少该金融资产在资产负债表中列示的账面价值。</w:t>
      </w:r>
    </w:p>
    <w:p w14:paraId="6029B2E0"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本集团在前一会计期间已经按照相当于金融工具整个存续期内预期信用损失的金额计量了损失准备，但在当期资产负债表日，该金融工具已不再属于自初始确认后信用风险显著增加的情形的，本公司在当期资产负债表日按照相当于未来</w:t>
      </w:r>
      <w:r w:rsidRPr="005A284F">
        <w:rPr>
          <w:rFonts w:ascii="Times New Roman" w:hAnsi="Times New Roman" w:cs="Times New Roman"/>
          <w:sz w:val="18"/>
          <w:szCs w:val="18"/>
        </w:rPr>
        <w:t>12</w:t>
      </w:r>
      <w:r w:rsidRPr="005A284F">
        <w:rPr>
          <w:rFonts w:ascii="Times New Roman" w:hAnsi="Times New Roman" w:cs="Times New Roman"/>
          <w:sz w:val="18"/>
          <w:szCs w:val="18"/>
        </w:rPr>
        <w:t>个月内预期信用损失的金额计量该金融工具的损失准备，由此形成的损失准备的转回金额应当作为减值利得计入当期损益。</w:t>
      </w:r>
    </w:p>
    <w:p w14:paraId="3AC031B0"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本集团在单项工具层面无法以合理成本获得关于信用风险显著增加的充分证据时，本公司在组合基础上评估信用风险是否显著增加。</w:t>
      </w:r>
    </w:p>
    <w:p w14:paraId="7A3EFF81"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对于适用本项政策有关金融工具减值规定的各类金融工具，本集团按照下列方法确定其信用损失：</w:t>
      </w:r>
    </w:p>
    <w:p w14:paraId="5DDCFE82"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1</w:t>
      </w:r>
      <w:r w:rsidRPr="005A284F">
        <w:rPr>
          <w:rFonts w:ascii="Times New Roman" w:hAnsi="Times New Roman" w:cs="Times New Roman"/>
          <w:sz w:val="18"/>
          <w:szCs w:val="18"/>
        </w:rPr>
        <w:t>）对于金融资产，信用损失为本公司收取的合同现金流量与预期收取的现金流量之间差额的现值。</w:t>
      </w:r>
    </w:p>
    <w:p w14:paraId="021CAACE"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2</w:t>
      </w:r>
      <w:r w:rsidRPr="005A284F">
        <w:rPr>
          <w:rFonts w:ascii="Times New Roman" w:hAnsi="Times New Roman" w:cs="Times New Roman"/>
          <w:sz w:val="18"/>
          <w:szCs w:val="18"/>
        </w:rPr>
        <w:t>）对于租赁应收款项，信用损失为本公司应收取的合同现金流量与预期收取的现金流量之间差额的现值。</w:t>
      </w:r>
    </w:p>
    <w:p w14:paraId="20D151B1"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lastRenderedPageBreak/>
        <w:t>3</w:t>
      </w:r>
      <w:r w:rsidRPr="005A284F">
        <w:rPr>
          <w:rFonts w:ascii="Times New Roman" w:hAnsi="Times New Roman" w:cs="Times New Roman"/>
          <w:sz w:val="18"/>
          <w:szCs w:val="18"/>
        </w:rPr>
        <w:t>）对于未提供的贷款承诺，信用损失应为在贷款承诺持有人提供相应贷款的情况下，本公司应收取的合同现金流量与预期收取的现金流量之间差额的现值。</w:t>
      </w:r>
    </w:p>
    <w:p w14:paraId="1937B744"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4</w:t>
      </w:r>
      <w:r w:rsidRPr="005A284F">
        <w:rPr>
          <w:rFonts w:ascii="Times New Roman" w:hAnsi="Times New Roman" w:cs="Times New Roman"/>
          <w:sz w:val="18"/>
          <w:szCs w:val="18"/>
        </w:rPr>
        <w:t>）对于财务担保合同，信用损失应为本公司就该合同持有人发生的信用损失向其做出赔付的预计付款额，减去本公司预期向该合同持有人、债务人或任何其他方收取的金额之间差额的现值。</w:t>
      </w:r>
    </w:p>
    <w:p w14:paraId="097E6C85"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5</w:t>
      </w:r>
      <w:r w:rsidRPr="005A284F">
        <w:rPr>
          <w:rFonts w:ascii="Times New Roman" w:hAnsi="Times New Roman" w:cs="Times New Roman"/>
          <w:sz w:val="18"/>
          <w:szCs w:val="18"/>
        </w:rPr>
        <w:t>）对于资产负债表日已发生信用减值但并非购买或源生已发生信用减值的金融资产，信用损失为该金融资产账面余额与按原实际利率折现的估计未来现金流量的现值之间的差额。</w:t>
      </w:r>
    </w:p>
    <w:p w14:paraId="5215E25D"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信用风险显著增加</w:t>
      </w:r>
    </w:p>
    <w:p w14:paraId="2C99DE88"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本集团通过比较金融工具在初始确认时所确定的预计存续期内的违约概率和该工具在资产负债表日所确定的预计存续期内的违约概率，来判定金融工具信用风险是否显著增加。除特殊情形外，本集团采用未来</w:t>
      </w:r>
      <w:r w:rsidRPr="005A284F">
        <w:rPr>
          <w:rFonts w:ascii="Times New Roman" w:hAnsi="Times New Roman" w:cs="Times New Roman"/>
          <w:sz w:val="18"/>
          <w:szCs w:val="18"/>
        </w:rPr>
        <w:t>12</w:t>
      </w:r>
      <w:r w:rsidRPr="005A284F">
        <w:rPr>
          <w:rFonts w:ascii="Times New Roman" w:hAnsi="Times New Roman" w:cs="Times New Roman"/>
          <w:sz w:val="18"/>
          <w:szCs w:val="18"/>
        </w:rPr>
        <w:t>个月内发生的违约风险的变化作为整个存续期内发生违约风险变化的合理估计，以确定自初始确认后信用风险是否已显著增加。</w:t>
      </w:r>
    </w:p>
    <w:p w14:paraId="25FACB98"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本集团确定金融工具在资产负债表日只具有较低的信用风险的，可以假设该金融工具的信用风险自初始确认后并未显著增加。通常逾期超过</w:t>
      </w:r>
      <w:r w:rsidRPr="005A284F">
        <w:rPr>
          <w:rFonts w:ascii="Times New Roman" w:hAnsi="Times New Roman" w:cs="Times New Roman"/>
          <w:sz w:val="18"/>
          <w:szCs w:val="18"/>
        </w:rPr>
        <w:t>30</w:t>
      </w:r>
      <w:r w:rsidRPr="005A284F">
        <w:rPr>
          <w:rFonts w:ascii="Times New Roman" w:hAnsi="Times New Roman" w:cs="Times New Roman"/>
          <w:sz w:val="18"/>
          <w:szCs w:val="18"/>
        </w:rPr>
        <w:t>日，本公司即认为该金融工具的信用风险已显著增加，除非有确凿证据证明该金融工具的信用风险自初始确认后并未显著增加。</w:t>
      </w:r>
    </w:p>
    <w:p w14:paraId="216144F0"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应收票据及应收账款减值</w:t>
      </w:r>
    </w:p>
    <w:p w14:paraId="2B9E5FF0"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对于应收票据及应收账款，无论是否存在重大融资成分，本公司均按照整个存续期的预期信用损失计量损失准备。</w:t>
      </w:r>
    </w:p>
    <w:p w14:paraId="75D34F3A"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当单项应收票据及应收账款无法以合理成本评估预期信用损失的信息时，本集团依据信用风险特征将应收票据及应收账款划分为若干组合，在组合基础上计算预期信用损失。如果有客观证据表明某项应收票据及应收账款已经发生信用减值，则本公司对该应收票据及应收账款单项计提坏账准备并确认预期信用损失。对于划分为组合的应收票据及应收账款，本公司参考历史信用损失经验，结合当前状况以及对未来经济状况的预测，通过违约风险敞口和整个存续期预期信用损失率，计算预期信用损失。对于按账龄划分组合的应收账款，账龄自确认之日起计算。</w:t>
      </w:r>
    </w:p>
    <w:p w14:paraId="46936A7E" w14:textId="77777777" w:rsidR="000309B5" w:rsidRPr="005A284F" w:rsidRDefault="00000000">
      <w:pPr>
        <w:pStyle w:val="a3"/>
        <w:spacing w:before="0" w:beforeAutospacing="0" w:after="0" w:afterAutospacing="0" w:line="460" w:lineRule="atLeast"/>
        <w:ind w:firstLine="360"/>
        <w:jc w:val="both"/>
        <w:divId w:val="813445847"/>
        <w:rPr>
          <w:rFonts w:ascii="Times New Roman" w:hAnsi="Times New Roman" w:cs="Times New Roman"/>
        </w:rPr>
      </w:pPr>
      <w:r w:rsidRPr="005A284F">
        <w:rPr>
          <w:rFonts w:ascii="Times New Roman" w:hAnsi="Times New Roman" w:cs="Times New Roman"/>
          <w:sz w:val="18"/>
          <w:szCs w:val="18"/>
        </w:rPr>
        <w:t>应收票据及应收账款组合：</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06"/>
        <w:gridCol w:w="4621"/>
      </w:tblGrid>
      <w:tr w:rsidR="000309B5" w:rsidRPr="005A284F" w14:paraId="3961B594" w14:textId="77777777" w:rsidTr="0078003E">
        <w:trPr>
          <w:divId w:val="813445847"/>
          <w:trHeight w:val="20"/>
          <w:jc w:val="center"/>
        </w:trPr>
        <w:tc>
          <w:tcPr>
            <w:tcW w:w="2600" w:type="pct"/>
            <w:tcMar>
              <w:top w:w="0" w:type="dxa"/>
              <w:left w:w="108" w:type="dxa"/>
              <w:bottom w:w="0" w:type="dxa"/>
              <w:right w:w="108" w:type="dxa"/>
            </w:tcMar>
            <w:vAlign w:val="center"/>
            <w:hideMark/>
          </w:tcPr>
          <w:p w14:paraId="20693885"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项目</w:t>
            </w:r>
          </w:p>
        </w:tc>
        <w:tc>
          <w:tcPr>
            <w:tcW w:w="2400" w:type="pct"/>
            <w:tcMar>
              <w:top w:w="0" w:type="dxa"/>
              <w:left w:w="108" w:type="dxa"/>
              <w:bottom w:w="0" w:type="dxa"/>
              <w:right w:w="108" w:type="dxa"/>
            </w:tcMar>
            <w:vAlign w:val="center"/>
            <w:hideMark/>
          </w:tcPr>
          <w:p w14:paraId="7FAA0A7F"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确定组合的依据</w:t>
            </w:r>
          </w:p>
        </w:tc>
      </w:tr>
      <w:tr w:rsidR="000309B5" w:rsidRPr="005A284F" w14:paraId="18DBEF9C" w14:textId="77777777" w:rsidTr="0078003E">
        <w:trPr>
          <w:divId w:val="813445847"/>
          <w:trHeight w:val="20"/>
          <w:jc w:val="center"/>
        </w:trPr>
        <w:tc>
          <w:tcPr>
            <w:tcW w:w="2600" w:type="pct"/>
            <w:noWrap/>
            <w:tcMar>
              <w:top w:w="0" w:type="dxa"/>
              <w:left w:w="108" w:type="dxa"/>
              <w:bottom w:w="0" w:type="dxa"/>
              <w:right w:w="108" w:type="dxa"/>
            </w:tcMar>
            <w:vAlign w:val="center"/>
            <w:hideMark/>
          </w:tcPr>
          <w:p w14:paraId="747FC9F3"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应收票据组合</w:t>
            </w:r>
            <w:r w:rsidRPr="005A284F">
              <w:rPr>
                <w:rFonts w:ascii="Times New Roman" w:hAnsi="Times New Roman" w:cs="Times New Roman"/>
                <w:sz w:val="18"/>
                <w:szCs w:val="18"/>
              </w:rPr>
              <w:t>1</w:t>
            </w:r>
            <w:r w:rsidRPr="005A284F">
              <w:rPr>
                <w:rFonts w:ascii="Times New Roman" w:hAnsi="Times New Roman" w:cs="Times New Roman"/>
                <w:sz w:val="18"/>
                <w:szCs w:val="18"/>
              </w:rPr>
              <w:t>：银行承兑汇票</w:t>
            </w:r>
          </w:p>
        </w:tc>
        <w:tc>
          <w:tcPr>
            <w:tcW w:w="2400" w:type="pct"/>
            <w:noWrap/>
            <w:tcMar>
              <w:top w:w="0" w:type="dxa"/>
              <w:left w:w="108" w:type="dxa"/>
              <w:bottom w:w="0" w:type="dxa"/>
              <w:right w:w="108" w:type="dxa"/>
            </w:tcMar>
            <w:vAlign w:val="center"/>
            <w:hideMark/>
          </w:tcPr>
          <w:p w14:paraId="657371A7"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银行承兑汇票，承兑人为信用风险较小的银行</w:t>
            </w:r>
          </w:p>
        </w:tc>
      </w:tr>
      <w:tr w:rsidR="000309B5" w:rsidRPr="005A284F" w14:paraId="5A8534D1" w14:textId="77777777" w:rsidTr="0078003E">
        <w:trPr>
          <w:divId w:val="813445847"/>
          <w:trHeight w:val="20"/>
          <w:jc w:val="center"/>
        </w:trPr>
        <w:tc>
          <w:tcPr>
            <w:tcW w:w="2600" w:type="pct"/>
            <w:noWrap/>
            <w:tcMar>
              <w:top w:w="0" w:type="dxa"/>
              <w:left w:w="108" w:type="dxa"/>
              <w:bottom w:w="0" w:type="dxa"/>
              <w:right w:w="108" w:type="dxa"/>
            </w:tcMar>
            <w:vAlign w:val="center"/>
            <w:hideMark/>
          </w:tcPr>
          <w:p w14:paraId="4883E247"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应收票据组合</w:t>
            </w:r>
            <w:r w:rsidRPr="005A284F">
              <w:rPr>
                <w:rFonts w:ascii="Times New Roman" w:hAnsi="Times New Roman" w:cs="Times New Roman"/>
                <w:sz w:val="18"/>
                <w:szCs w:val="18"/>
              </w:rPr>
              <w:t>2</w:t>
            </w:r>
            <w:r w:rsidRPr="005A284F">
              <w:rPr>
                <w:rFonts w:ascii="Times New Roman" w:hAnsi="Times New Roman" w:cs="Times New Roman"/>
                <w:sz w:val="18"/>
                <w:szCs w:val="18"/>
              </w:rPr>
              <w:t>：商业承兑汇票</w:t>
            </w:r>
          </w:p>
        </w:tc>
        <w:tc>
          <w:tcPr>
            <w:tcW w:w="2400" w:type="pct"/>
            <w:noWrap/>
            <w:tcMar>
              <w:top w:w="0" w:type="dxa"/>
              <w:left w:w="108" w:type="dxa"/>
              <w:bottom w:w="0" w:type="dxa"/>
              <w:right w:w="108" w:type="dxa"/>
            </w:tcMar>
            <w:vAlign w:val="center"/>
            <w:hideMark/>
          </w:tcPr>
          <w:p w14:paraId="068C96E3"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评估为正常的、低风险的商业承兑汇票</w:t>
            </w:r>
          </w:p>
        </w:tc>
      </w:tr>
      <w:tr w:rsidR="000309B5" w:rsidRPr="005A284F" w14:paraId="3D15DE44" w14:textId="77777777" w:rsidTr="0078003E">
        <w:trPr>
          <w:divId w:val="813445847"/>
          <w:trHeight w:val="20"/>
          <w:jc w:val="center"/>
        </w:trPr>
        <w:tc>
          <w:tcPr>
            <w:tcW w:w="2600" w:type="pct"/>
            <w:noWrap/>
            <w:tcMar>
              <w:top w:w="0" w:type="dxa"/>
              <w:left w:w="108" w:type="dxa"/>
              <w:bottom w:w="0" w:type="dxa"/>
              <w:right w:w="108" w:type="dxa"/>
            </w:tcMar>
            <w:vAlign w:val="center"/>
            <w:hideMark/>
          </w:tcPr>
          <w:p w14:paraId="4348122A"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应收账款组合</w:t>
            </w:r>
            <w:r w:rsidRPr="005A284F">
              <w:rPr>
                <w:rFonts w:ascii="Times New Roman" w:hAnsi="Times New Roman" w:cs="Times New Roman"/>
                <w:sz w:val="18"/>
                <w:szCs w:val="18"/>
              </w:rPr>
              <w:t>1</w:t>
            </w:r>
            <w:r w:rsidRPr="005A284F">
              <w:rPr>
                <w:rFonts w:ascii="Times New Roman" w:hAnsi="Times New Roman" w:cs="Times New Roman"/>
                <w:sz w:val="18"/>
                <w:szCs w:val="18"/>
              </w:rPr>
              <w:t>：应收合并范围内关联方款项组合</w:t>
            </w:r>
          </w:p>
        </w:tc>
        <w:tc>
          <w:tcPr>
            <w:tcW w:w="2400" w:type="pct"/>
            <w:noWrap/>
            <w:tcMar>
              <w:top w:w="0" w:type="dxa"/>
              <w:left w:w="108" w:type="dxa"/>
              <w:bottom w:w="0" w:type="dxa"/>
              <w:right w:w="108" w:type="dxa"/>
            </w:tcMar>
            <w:vAlign w:val="center"/>
            <w:hideMark/>
          </w:tcPr>
          <w:p w14:paraId="3EED9FBD"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合并范围内各家单位之间的往来款项</w:t>
            </w:r>
          </w:p>
        </w:tc>
      </w:tr>
      <w:tr w:rsidR="000309B5" w:rsidRPr="005A284F" w14:paraId="1AA6DA77" w14:textId="77777777" w:rsidTr="0078003E">
        <w:trPr>
          <w:divId w:val="813445847"/>
          <w:trHeight w:val="20"/>
          <w:jc w:val="center"/>
        </w:trPr>
        <w:tc>
          <w:tcPr>
            <w:tcW w:w="2600" w:type="pct"/>
            <w:noWrap/>
            <w:tcMar>
              <w:top w:w="0" w:type="dxa"/>
              <w:left w:w="108" w:type="dxa"/>
              <w:bottom w:w="0" w:type="dxa"/>
              <w:right w:w="108" w:type="dxa"/>
            </w:tcMar>
            <w:vAlign w:val="center"/>
            <w:hideMark/>
          </w:tcPr>
          <w:p w14:paraId="0AFCB0EC"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应收账款组合</w:t>
            </w:r>
            <w:r w:rsidRPr="005A284F">
              <w:rPr>
                <w:rFonts w:ascii="Times New Roman" w:hAnsi="Times New Roman" w:cs="Times New Roman"/>
                <w:sz w:val="18"/>
                <w:szCs w:val="18"/>
              </w:rPr>
              <w:t>2</w:t>
            </w:r>
            <w:r w:rsidRPr="005A284F">
              <w:rPr>
                <w:rFonts w:ascii="Times New Roman" w:hAnsi="Times New Roman" w:cs="Times New Roman"/>
                <w:sz w:val="18"/>
                <w:szCs w:val="18"/>
              </w:rPr>
              <w:t>：账龄组合</w:t>
            </w:r>
          </w:p>
        </w:tc>
        <w:tc>
          <w:tcPr>
            <w:tcW w:w="2400" w:type="pct"/>
            <w:noWrap/>
            <w:tcMar>
              <w:top w:w="0" w:type="dxa"/>
              <w:left w:w="108" w:type="dxa"/>
              <w:bottom w:w="0" w:type="dxa"/>
              <w:right w:w="108" w:type="dxa"/>
            </w:tcMar>
            <w:vAlign w:val="center"/>
            <w:hideMark/>
          </w:tcPr>
          <w:p w14:paraId="1B1BF586"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本组合以应收款项的账龄作为信用风险特征</w:t>
            </w:r>
          </w:p>
        </w:tc>
      </w:tr>
    </w:tbl>
    <w:p w14:paraId="0E17D755"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各组合预期信用损失率</w:t>
      </w:r>
    </w:p>
    <w:p w14:paraId="43AC9206"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应收票据组合</w:t>
      </w:r>
      <w:r w:rsidRPr="005A284F">
        <w:rPr>
          <w:rFonts w:ascii="Times New Roman" w:hAnsi="Times New Roman" w:cs="Times New Roman"/>
          <w:sz w:val="18"/>
          <w:szCs w:val="18"/>
        </w:rPr>
        <w:t>1</w:t>
      </w:r>
      <w:r w:rsidRPr="005A284F">
        <w:rPr>
          <w:rFonts w:ascii="Times New Roman" w:hAnsi="Times New Roman" w:cs="Times New Roman"/>
          <w:sz w:val="18"/>
          <w:szCs w:val="18"/>
        </w:rPr>
        <w:t>：银行承兑汇票：承兑人具有较高的信用评级，历史上未发生票据违约，一般不计提坏账准备。</w:t>
      </w:r>
    </w:p>
    <w:p w14:paraId="4E6AC838"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应收票据组合</w:t>
      </w:r>
      <w:r w:rsidRPr="005A284F">
        <w:rPr>
          <w:rFonts w:ascii="Times New Roman" w:hAnsi="Times New Roman" w:cs="Times New Roman"/>
          <w:sz w:val="18"/>
          <w:szCs w:val="18"/>
        </w:rPr>
        <w:t>2</w:t>
      </w:r>
      <w:r w:rsidRPr="005A284F">
        <w:rPr>
          <w:rFonts w:ascii="Times New Roman" w:hAnsi="Times New Roman" w:cs="Times New Roman"/>
          <w:sz w:val="18"/>
          <w:szCs w:val="18"/>
        </w:rPr>
        <w:t>：商业承兑汇票：参照应收账款确定预期信用损失率计提坏账准备。</w:t>
      </w:r>
    </w:p>
    <w:p w14:paraId="718FF697"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应收账款组合</w:t>
      </w:r>
      <w:r w:rsidRPr="005A284F">
        <w:rPr>
          <w:rFonts w:ascii="Times New Roman" w:hAnsi="Times New Roman" w:cs="Times New Roman"/>
          <w:sz w:val="18"/>
          <w:szCs w:val="18"/>
        </w:rPr>
        <w:t>1</w:t>
      </w:r>
      <w:r w:rsidRPr="005A284F">
        <w:rPr>
          <w:rFonts w:ascii="Times New Roman" w:hAnsi="Times New Roman" w:cs="Times New Roman"/>
          <w:sz w:val="18"/>
          <w:szCs w:val="18"/>
        </w:rPr>
        <w:t>：应收合并范围内关联方款项组合：合并范围内公司的往来款，一般不计提坏账准备，除非子公司发生明显的大额亏损考虑单项计提坏账准备。</w:t>
      </w:r>
    </w:p>
    <w:p w14:paraId="3AF3EE6D" w14:textId="77777777" w:rsidR="000309B5" w:rsidRPr="0078003E" w:rsidRDefault="00000000" w:rsidP="0078003E">
      <w:pPr>
        <w:pStyle w:val="a3"/>
        <w:spacing w:before="0" w:beforeAutospacing="0" w:after="0" w:afterAutospacing="0" w:line="276" w:lineRule="auto"/>
        <w:ind w:firstLineChars="200" w:firstLine="360"/>
        <w:jc w:val="both"/>
        <w:divId w:val="813445847"/>
        <w:rPr>
          <w:rFonts w:ascii="Times New Roman" w:hAnsi="Times New Roman" w:cs="Times New Roman"/>
          <w:sz w:val="18"/>
          <w:szCs w:val="18"/>
        </w:rPr>
      </w:pPr>
      <w:r w:rsidRPr="005A284F">
        <w:rPr>
          <w:rFonts w:ascii="Times New Roman" w:hAnsi="Times New Roman" w:cs="Times New Roman"/>
          <w:sz w:val="18"/>
          <w:szCs w:val="18"/>
        </w:rPr>
        <w:t>应收账款组合</w:t>
      </w:r>
      <w:r w:rsidRPr="005A284F">
        <w:rPr>
          <w:rFonts w:ascii="Times New Roman" w:hAnsi="Times New Roman" w:cs="Times New Roman"/>
          <w:sz w:val="18"/>
          <w:szCs w:val="18"/>
        </w:rPr>
        <w:t>2</w:t>
      </w:r>
      <w:r w:rsidRPr="005A284F">
        <w:rPr>
          <w:rFonts w:ascii="Times New Roman" w:hAnsi="Times New Roman" w:cs="Times New Roman"/>
          <w:sz w:val="18"/>
          <w:szCs w:val="18"/>
        </w:rPr>
        <w:t>：账龄组合：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06"/>
        <w:gridCol w:w="4621"/>
      </w:tblGrid>
      <w:tr w:rsidR="000309B5" w:rsidRPr="005A284F" w14:paraId="1BAACBC6" w14:textId="77777777" w:rsidTr="0078003E">
        <w:trPr>
          <w:divId w:val="813445847"/>
          <w:trHeight w:val="340"/>
        </w:trPr>
        <w:tc>
          <w:tcPr>
            <w:tcW w:w="2600" w:type="pct"/>
            <w:tcMar>
              <w:top w:w="0" w:type="dxa"/>
              <w:left w:w="108" w:type="dxa"/>
              <w:bottom w:w="0" w:type="dxa"/>
              <w:right w:w="108" w:type="dxa"/>
            </w:tcMar>
            <w:vAlign w:val="center"/>
            <w:hideMark/>
          </w:tcPr>
          <w:p w14:paraId="3B0E90E8"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账龄</w:t>
            </w:r>
          </w:p>
        </w:tc>
        <w:tc>
          <w:tcPr>
            <w:tcW w:w="2400" w:type="pct"/>
            <w:tcMar>
              <w:top w:w="0" w:type="dxa"/>
              <w:left w:w="108" w:type="dxa"/>
              <w:bottom w:w="0" w:type="dxa"/>
              <w:right w:w="108" w:type="dxa"/>
            </w:tcMar>
            <w:vAlign w:val="center"/>
            <w:hideMark/>
          </w:tcPr>
          <w:p w14:paraId="38D9EECC"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预期信用损失率（</w:t>
            </w:r>
            <w:r w:rsidRPr="005A284F">
              <w:rPr>
                <w:rFonts w:ascii="Times New Roman" w:hAnsi="Times New Roman" w:cs="Times New Roman"/>
                <w:sz w:val="18"/>
                <w:szCs w:val="18"/>
              </w:rPr>
              <w:t>%</w:t>
            </w:r>
            <w:r w:rsidRPr="005A284F">
              <w:rPr>
                <w:rFonts w:ascii="Times New Roman" w:hAnsi="Times New Roman" w:cs="Times New Roman"/>
                <w:sz w:val="18"/>
                <w:szCs w:val="18"/>
              </w:rPr>
              <w:t>）</w:t>
            </w:r>
          </w:p>
        </w:tc>
      </w:tr>
      <w:tr w:rsidR="000309B5" w:rsidRPr="005A284F" w14:paraId="3015C155" w14:textId="77777777" w:rsidTr="0078003E">
        <w:trPr>
          <w:divId w:val="813445847"/>
          <w:trHeight w:val="340"/>
        </w:trPr>
        <w:tc>
          <w:tcPr>
            <w:tcW w:w="2600" w:type="pct"/>
            <w:noWrap/>
            <w:tcMar>
              <w:top w:w="0" w:type="dxa"/>
              <w:left w:w="108" w:type="dxa"/>
              <w:bottom w:w="0" w:type="dxa"/>
              <w:right w:w="108" w:type="dxa"/>
            </w:tcMar>
            <w:vAlign w:val="center"/>
            <w:hideMark/>
          </w:tcPr>
          <w:p w14:paraId="02581F3C" w14:textId="77777777" w:rsidR="000309B5" w:rsidRPr="005A284F" w:rsidRDefault="00000000" w:rsidP="00EE3DD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1-3</w:t>
            </w:r>
            <w:r w:rsidRPr="005A284F">
              <w:rPr>
                <w:rFonts w:ascii="Times New Roman" w:hAnsi="Times New Roman" w:cs="Times New Roman"/>
                <w:sz w:val="18"/>
                <w:szCs w:val="18"/>
              </w:rPr>
              <w:t>个月</w:t>
            </w:r>
          </w:p>
        </w:tc>
        <w:tc>
          <w:tcPr>
            <w:tcW w:w="2400" w:type="pct"/>
            <w:noWrap/>
            <w:tcMar>
              <w:top w:w="0" w:type="dxa"/>
              <w:left w:w="108" w:type="dxa"/>
              <w:bottom w:w="0" w:type="dxa"/>
              <w:right w:w="108" w:type="dxa"/>
            </w:tcMar>
            <w:vAlign w:val="center"/>
            <w:hideMark/>
          </w:tcPr>
          <w:p w14:paraId="09B2EC09" w14:textId="77777777" w:rsidR="000309B5" w:rsidRPr="005A284F" w:rsidRDefault="00000000" w:rsidP="00EE3DD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2.25%</w:t>
            </w:r>
          </w:p>
        </w:tc>
      </w:tr>
      <w:tr w:rsidR="000309B5" w:rsidRPr="005A284F" w14:paraId="1F01E667" w14:textId="77777777" w:rsidTr="0078003E">
        <w:trPr>
          <w:divId w:val="813445847"/>
          <w:trHeight w:val="340"/>
        </w:trPr>
        <w:tc>
          <w:tcPr>
            <w:tcW w:w="2600" w:type="pct"/>
            <w:noWrap/>
            <w:tcMar>
              <w:top w:w="0" w:type="dxa"/>
              <w:left w:w="108" w:type="dxa"/>
              <w:bottom w:w="0" w:type="dxa"/>
              <w:right w:w="108" w:type="dxa"/>
            </w:tcMar>
            <w:vAlign w:val="center"/>
            <w:hideMark/>
          </w:tcPr>
          <w:p w14:paraId="4DA69CDB" w14:textId="77777777" w:rsidR="000309B5" w:rsidRPr="005A284F" w:rsidRDefault="00000000" w:rsidP="00EE3DD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4-6</w:t>
            </w:r>
            <w:r w:rsidRPr="005A284F">
              <w:rPr>
                <w:rFonts w:ascii="Times New Roman" w:hAnsi="Times New Roman" w:cs="Times New Roman"/>
                <w:sz w:val="18"/>
                <w:szCs w:val="18"/>
              </w:rPr>
              <w:t>个月</w:t>
            </w:r>
          </w:p>
        </w:tc>
        <w:tc>
          <w:tcPr>
            <w:tcW w:w="2400" w:type="pct"/>
            <w:noWrap/>
            <w:tcMar>
              <w:top w:w="0" w:type="dxa"/>
              <w:left w:w="108" w:type="dxa"/>
              <w:bottom w:w="0" w:type="dxa"/>
              <w:right w:w="108" w:type="dxa"/>
            </w:tcMar>
            <w:hideMark/>
          </w:tcPr>
          <w:p w14:paraId="0BDC56FD" w14:textId="77777777" w:rsidR="000309B5" w:rsidRPr="005A284F" w:rsidRDefault="00000000" w:rsidP="00EE3DD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2.25%</w:t>
            </w:r>
          </w:p>
        </w:tc>
      </w:tr>
      <w:tr w:rsidR="000309B5" w:rsidRPr="005A284F" w14:paraId="4006EA57" w14:textId="77777777" w:rsidTr="0078003E">
        <w:trPr>
          <w:divId w:val="813445847"/>
          <w:trHeight w:val="340"/>
        </w:trPr>
        <w:tc>
          <w:tcPr>
            <w:tcW w:w="2600" w:type="pct"/>
            <w:noWrap/>
            <w:tcMar>
              <w:top w:w="0" w:type="dxa"/>
              <w:left w:w="108" w:type="dxa"/>
              <w:bottom w:w="0" w:type="dxa"/>
              <w:right w:w="108" w:type="dxa"/>
            </w:tcMar>
            <w:vAlign w:val="center"/>
            <w:hideMark/>
          </w:tcPr>
          <w:p w14:paraId="26F0C3A1" w14:textId="77777777" w:rsidR="000309B5" w:rsidRPr="005A284F" w:rsidRDefault="00000000" w:rsidP="00EE3DD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7-9</w:t>
            </w:r>
            <w:r w:rsidRPr="005A284F">
              <w:rPr>
                <w:rFonts w:ascii="Times New Roman" w:hAnsi="Times New Roman" w:cs="Times New Roman"/>
                <w:sz w:val="18"/>
                <w:szCs w:val="18"/>
              </w:rPr>
              <w:t>个月</w:t>
            </w:r>
          </w:p>
        </w:tc>
        <w:tc>
          <w:tcPr>
            <w:tcW w:w="2400" w:type="pct"/>
            <w:noWrap/>
            <w:tcMar>
              <w:top w:w="0" w:type="dxa"/>
              <w:left w:w="108" w:type="dxa"/>
              <w:bottom w:w="0" w:type="dxa"/>
              <w:right w:w="108" w:type="dxa"/>
            </w:tcMar>
            <w:hideMark/>
          </w:tcPr>
          <w:p w14:paraId="7D8DB287" w14:textId="77777777" w:rsidR="000309B5" w:rsidRPr="005A284F" w:rsidRDefault="00000000" w:rsidP="00EE3DD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2.25%</w:t>
            </w:r>
          </w:p>
        </w:tc>
      </w:tr>
      <w:tr w:rsidR="000309B5" w:rsidRPr="005A284F" w14:paraId="2EE1A583" w14:textId="77777777" w:rsidTr="0078003E">
        <w:trPr>
          <w:divId w:val="813445847"/>
          <w:trHeight w:val="340"/>
        </w:trPr>
        <w:tc>
          <w:tcPr>
            <w:tcW w:w="2600" w:type="pct"/>
            <w:noWrap/>
            <w:tcMar>
              <w:top w:w="0" w:type="dxa"/>
              <w:left w:w="108" w:type="dxa"/>
              <w:bottom w:w="0" w:type="dxa"/>
              <w:right w:w="108" w:type="dxa"/>
            </w:tcMar>
            <w:vAlign w:val="center"/>
            <w:hideMark/>
          </w:tcPr>
          <w:p w14:paraId="6458EAD6" w14:textId="77777777" w:rsidR="000309B5" w:rsidRPr="005A284F" w:rsidRDefault="00000000" w:rsidP="00EE3DD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10-12</w:t>
            </w:r>
            <w:r w:rsidRPr="005A284F">
              <w:rPr>
                <w:rFonts w:ascii="Times New Roman" w:hAnsi="Times New Roman" w:cs="Times New Roman"/>
                <w:sz w:val="18"/>
                <w:szCs w:val="18"/>
              </w:rPr>
              <w:t>个月</w:t>
            </w:r>
          </w:p>
        </w:tc>
        <w:tc>
          <w:tcPr>
            <w:tcW w:w="2400" w:type="pct"/>
            <w:noWrap/>
            <w:tcMar>
              <w:top w:w="0" w:type="dxa"/>
              <w:left w:w="108" w:type="dxa"/>
              <w:bottom w:w="0" w:type="dxa"/>
              <w:right w:w="108" w:type="dxa"/>
            </w:tcMar>
            <w:hideMark/>
          </w:tcPr>
          <w:p w14:paraId="42360EC6" w14:textId="77777777" w:rsidR="000309B5" w:rsidRPr="005A284F" w:rsidRDefault="00000000" w:rsidP="00EE3DD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2.25%</w:t>
            </w:r>
          </w:p>
        </w:tc>
      </w:tr>
      <w:tr w:rsidR="000309B5" w:rsidRPr="005A284F" w14:paraId="4E66E8CF" w14:textId="77777777" w:rsidTr="0078003E">
        <w:trPr>
          <w:divId w:val="813445847"/>
          <w:trHeight w:val="340"/>
        </w:trPr>
        <w:tc>
          <w:tcPr>
            <w:tcW w:w="2600" w:type="pct"/>
            <w:noWrap/>
            <w:tcMar>
              <w:top w:w="0" w:type="dxa"/>
              <w:left w:w="108" w:type="dxa"/>
              <w:bottom w:w="0" w:type="dxa"/>
              <w:right w:w="108" w:type="dxa"/>
            </w:tcMar>
            <w:vAlign w:val="center"/>
            <w:hideMark/>
          </w:tcPr>
          <w:p w14:paraId="2197556E" w14:textId="77777777" w:rsidR="000309B5" w:rsidRPr="005A284F" w:rsidRDefault="00000000" w:rsidP="00EE3DD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1-2</w:t>
            </w:r>
            <w:r w:rsidRPr="005A284F">
              <w:rPr>
                <w:rFonts w:ascii="Times New Roman" w:hAnsi="Times New Roman" w:cs="Times New Roman"/>
                <w:sz w:val="18"/>
                <w:szCs w:val="18"/>
              </w:rPr>
              <w:t>年</w:t>
            </w:r>
          </w:p>
        </w:tc>
        <w:tc>
          <w:tcPr>
            <w:tcW w:w="2400" w:type="pct"/>
            <w:noWrap/>
            <w:tcMar>
              <w:top w:w="0" w:type="dxa"/>
              <w:left w:w="108" w:type="dxa"/>
              <w:bottom w:w="0" w:type="dxa"/>
              <w:right w:w="108" w:type="dxa"/>
            </w:tcMar>
            <w:vAlign w:val="center"/>
            <w:hideMark/>
          </w:tcPr>
          <w:p w14:paraId="45B51156" w14:textId="77777777" w:rsidR="000309B5" w:rsidRPr="005A284F" w:rsidRDefault="00000000" w:rsidP="00EE3DD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25%</w:t>
            </w:r>
          </w:p>
        </w:tc>
      </w:tr>
      <w:tr w:rsidR="000309B5" w:rsidRPr="005A284F" w14:paraId="784DE28F" w14:textId="77777777" w:rsidTr="0078003E">
        <w:trPr>
          <w:divId w:val="813445847"/>
          <w:trHeight w:val="340"/>
        </w:trPr>
        <w:tc>
          <w:tcPr>
            <w:tcW w:w="2600" w:type="pct"/>
            <w:noWrap/>
            <w:tcMar>
              <w:top w:w="0" w:type="dxa"/>
              <w:left w:w="108" w:type="dxa"/>
              <w:bottom w:w="0" w:type="dxa"/>
              <w:right w:w="108" w:type="dxa"/>
            </w:tcMar>
            <w:vAlign w:val="center"/>
            <w:hideMark/>
          </w:tcPr>
          <w:p w14:paraId="5CFE1B7F" w14:textId="77777777" w:rsidR="000309B5" w:rsidRPr="005A284F" w:rsidRDefault="00000000" w:rsidP="00EE3DD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2-3</w:t>
            </w:r>
            <w:r w:rsidRPr="005A284F">
              <w:rPr>
                <w:rFonts w:ascii="Times New Roman" w:hAnsi="Times New Roman" w:cs="Times New Roman"/>
                <w:sz w:val="18"/>
                <w:szCs w:val="18"/>
              </w:rPr>
              <w:t>年</w:t>
            </w:r>
          </w:p>
        </w:tc>
        <w:tc>
          <w:tcPr>
            <w:tcW w:w="2400" w:type="pct"/>
            <w:noWrap/>
            <w:tcMar>
              <w:top w:w="0" w:type="dxa"/>
              <w:left w:w="108" w:type="dxa"/>
              <w:bottom w:w="0" w:type="dxa"/>
              <w:right w:w="108" w:type="dxa"/>
            </w:tcMar>
            <w:vAlign w:val="center"/>
            <w:hideMark/>
          </w:tcPr>
          <w:p w14:paraId="1B71D039" w14:textId="77777777" w:rsidR="000309B5" w:rsidRPr="005A284F" w:rsidRDefault="00000000" w:rsidP="00EE3DD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50%</w:t>
            </w:r>
          </w:p>
        </w:tc>
      </w:tr>
      <w:tr w:rsidR="000309B5" w:rsidRPr="005A284F" w14:paraId="1E9EF16A" w14:textId="77777777" w:rsidTr="0078003E">
        <w:trPr>
          <w:divId w:val="813445847"/>
          <w:trHeight w:val="340"/>
        </w:trPr>
        <w:tc>
          <w:tcPr>
            <w:tcW w:w="2600" w:type="pct"/>
            <w:noWrap/>
            <w:tcMar>
              <w:top w:w="0" w:type="dxa"/>
              <w:left w:w="108" w:type="dxa"/>
              <w:bottom w:w="0" w:type="dxa"/>
              <w:right w:w="108" w:type="dxa"/>
            </w:tcMar>
            <w:vAlign w:val="center"/>
            <w:hideMark/>
          </w:tcPr>
          <w:p w14:paraId="5EF98F91" w14:textId="77777777" w:rsidR="000309B5" w:rsidRPr="005A284F" w:rsidRDefault="00000000" w:rsidP="00EE3DD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lastRenderedPageBreak/>
              <w:t>3</w:t>
            </w:r>
            <w:r w:rsidRPr="005A284F">
              <w:rPr>
                <w:rFonts w:ascii="Times New Roman" w:hAnsi="Times New Roman" w:cs="Times New Roman"/>
                <w:sz w:val="18"/>
                <w:szCs w:val="18"/>
              </w:rPr>
              <w:t>年以上</w:t>
            </w:r>
          </w:p>
        </w:tc>
        <w:tc>
          <w:tcPr>
            <w:tcW w:w="2400" w:type="pct"/>
            <w:noWrap/>
            <w:tcMar>
              <w:top w:w="0" w:type="dxa"/>
              <w:left w:w="108" w:type="dxa"/>
              <w:bottom w:w="0" w:type="dxa"/>
              <w:right w:w="108" w:type="dxa"/>
            </w:tcMar>
            <w:vAlign w:val="center"/>
            <w:hideMark/>
          </w:tcPr>
          <w:p w14:paraId="2705A530" w14:textId="77777777" w:rsidR="000309B5" w:rsidRPr="005A284F" w:rsidRDefault="00000000" w:rsidP="00EE3DD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80%</w:t>
            </w:r>
          </w:p>
        </w:tc>
      </w:tr>
    </w:tbl>
    <w:p w14:paraId="52A03437" w14:textId="77777777" w:rsidR="000309B5" w:rsidRPr="005A284F" w:rsidRDefault="00000000">
      <w:pPr>
        <w:pStyle w:val="a3"/>
        <w:spacing w:before="0" w:beforeAutospacing="0" w:after="0" w:afterAutospacing="0" w:line="273" w:lineRule="auto"/>
        <w:jc w:val="both"/>
        <w:divId w:val="813445847"/>
        <w:rPr>
          <w:rFonts w:ascii="Times New Roman" w:hAnsi="Times New Roman" w:cs="Times New Roman"/>
        </w:rPr>
      </w:pPr>
      <w:r w:rsidRPr="005A284F">
        <w:rPr>
          <w:rFonts w:ascii="Times New Roman" w:hAnsi="Times New Roman" w:cs="Times New Roman"/>
          <w:sz w:val="18"/>
          <w:szCs w:val="18"/>
        </w:rPr>
        <w:t>应收款项融资</w:t>
      </w:r>
    </w:p>
    <w:p w14:paraId="67001179" w14:textId="77777777" w:rsidR="000309B5" w:rsidRPr="005A284F" w:rsidRDefault="00000000">
      <w:pPr>
        <w:pStyle w:val="a3"/>
        <w:spacing w:before="0" w:beforeAutospacing="0" w:after="0" w:afterAutospacing="0" w:line="273" w:lineRule="auto"/>
        <w:ind w:firstLine="360"/>
        <w:jc w:val="both"/>
        <w:divId w:val="813445847"/>
        <w:rPr>
          <w:rFonts w:ascii="Times New Roman" w:hAnsi="Times New Roman" w:cs="Times New Roman"/>
        </w:rPr>
      </w:pPr>
      <w:r w:rsidRPr="005A284F">
        <w:rPr>
          <w:rFonts w:ascii="Times New Roman" w:hAnsi="Times New Roman" w:cs="Times New Roman"/>
          <w:sz w:val="18"/>
          <w:szCs w:val="18"/>
        </w:rPr>
        <w:t>按照附注五、</w:t>
      </w:r>
      <w:r w:rsidRPr="005A284F">
        <w:rPr>
          <w:rFonts w:ascii="Times New Roman" w:hAnsi="Times New Roman" w:cs="Times New Roman"/>
          <w:sz w:val="18"/>
          <w:szCs w:val="18"/>
        </w:rPr>
        <w:t>11</w:t>
      </w:r>
      <w:r w:rsidRPr="005A284F">
        <w:rPr>
          <w:rFonts w:ascii="Times New Roman" w:hAnsi="Times New Roman" w:cs="Times New Roman"/>
          <w:sz w:val="18"/>
          <w:szCs w:val="18"/>
        </w:rPr>
        <w:t>、（</w:t>
      </w:r>
      <w:r w:rsidRPr="005A284F">
        <w:rPr>
          <w:rFonts w:ascii="Times New Roman" w:hAnsi="Times New Roman" w:cs="Times New Roman"/>
          <w:sz w:val="18"/>
          <w:szCs w:val="18"/>
        </w:rPr>
        <w:t>2</w:t>
      </w:r>
      <w:r w:rsidRPr="005A284F">
        <w:rPr>
          <w:rFonts w:ascii="Times New Roman" w:hAnsi="Times New Roman" w:cs="Times New Roman"/>
          <w:sz w:val="18"/>
          <w:szCs w:val="18"/>
        </w:rPr>
        <w:t>）减值准备的确认和计量中的描述确认和计量减值。当单项应收款项融资无法以合理成本评估预期信用损失的信息时，本公司依据信用风险特征将应收款项融资划分为若干组合，在组合基础上计算预期信用损失，确定组合的依据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92"/>
        <w:gridCol w:w="5235"/>
      </w:tblGrid>
      <w:tr w:rsidR="000309B5" w:rsidRPr="005A284F" w14:paraId="7525C14C" w14:textId="77777777" w:rsidTr="0078003E">
        <w:trPr>
          <w:divId w:val="813445847"/>
          <w:trHeight w:val="340"/>
        </w:trPr>
        <w:tc>
          <w:tcPr>
            <w:tcW w:w="2281" w:type="pct"/>
            <w:tcMar>
              <w:top w:w="0" w:type="dxa"/>
              <w:left w:w="108" w:type="dxa"/>
              <w:bottom w:w="0" w:type="dxa"/>
              <w:right w:w="108" w:type="dxa"/>
            </w:tcMar>
            <w:vAlign w:val="center"/>
            <w:hideMark/>
          </w:tcPr>
          <w:p w14:paraId="08AB3397" w14:textId="77777777" w:rsidR="000309B5" w:rsidRPr="005A284F" w:rsidRDefault="00000000">
            <w:pPr>
              <w:pStyle w:val="a3"/>
              <w:spacing w:before="0" w:beforeAutospacing="0" w:after="0" w:afterAutospacing="0" w:line="273" w:lineRule="auto"/>
              <w:jc w:val="both"/>
              <w:rPr>
                <w:rFonts w:ascii="Times New Roman" w:hAnsi="Times New Roman" w:cs="Times New Roman"/>
              </w:rPr>
            </w:pPr>
            <w:r w:rsidRPr="005A284F">
              <w:rPr>
                <w:rFonts w:ascii="Times New Roman" w:hAnsi="Times New Roman" w:cs="Times New Roman"/>
                <w:sz w:val="18"/>
                <w:szCs w:val="18"/>
              </w:rPr>
              <w:t>组合名称</w:t>
            </w:r>
          </w:p>
        </w:tc>
        <w:tc>
          <w:tcPr>
            <w:tcW w:w="2719" w:type="pct"/>
            <w:tcMar>
              <w:top w:w="0" w:type="dxa"/>
              <w:left w:w="108" w:type="dxa"/>
              <w:bottom w:w="0" w:type="dxa"/>
              <w:right w:w="108" w:type="dxa"/>
            </w:tcMar>
            <w:vAlign w:val="center"/>
            <w:hideMark/>
          </w:tcPr>
          <w:p w14:paraId="2AE6D929" w14:textId="77777777" w:rsidR="000309B5" w:rsidRPr="005A284F" w:rsidRDefault="00000000">
            <w:pPr>
              <w:pStyle w:val="a3"/>
              <w:spacing w:before="0" w:beforeAutospacing="0" w:after="0" w:afterAutospacing="0" w:line="273" w:lineRule="auto"/>
              <w:jc w:val="both"/>
              <w:rPr>
                <w:rFonts w:ascii="Times New Roman" w:hAnsi="Times New Roman" w:cs="Times New Roman"/>
              </w:rPr>
            </w:pPr>
            <w:r w:rsidRPr="005A284F">
              <w:rPr>
                <w:rFonts w:ascii="Times New Roman" w:hAnsi="Times New Roman" w:cs="Times New Roman"/>
                <w:sz w:val="18"/>
                <w:szCs w:val="18"/>
              </w:rPr>
              <w:t>确定组合的依据</w:t>
            </w:r>
          </w:p>
        </w:tc>
      </w:tr>
      <w:tr w:rsidR="000309B5" w:rsidRPr="005A284F" w14:paraId="55F42C64" w14:textId="77777777" w:rsidTr="0078003E">
        <w:trPr>
          <w:divId w:val="813445847"/>
          <w:trHeight w:val="340"/>
        </w:trPr>
        <w:tc>
          <w:tcPr>
            <w:tcW w:w="2281" w:type="pct"/>
            <w:noWrap/>
            <w:tcMar>
              <w:top w:w="0" w:type="dxa"/>
              <w:left w:w="108" w:type="dxa"/>
              <w:bottom w:w="0" w:type="dxa"/>
              <w:right w:w="108" w:type="dxa"/>
            </w:tcMar>
            <w:vAlign w:val="center"/>
            <w:hideMark/>
          </w:tcPr>
          <w:p w14:paraId="447584C8" w14:textId="77777777" w:rsidR="000309B5" w:rsidRPr="005A284F" w:rsidRDefault="00000000">
            <w:pPr>
              <w:pStyle w:val="a3"/>
              <w:spacing w:before="0" w:beforeAutospacing="0" w:after="0" w:afterAutospacing="0" w:line="273" w:lineRule="auto"/>
              <w:jc w:val="both"/>
              <w:rPr>
                <w:rFonts w:ascii="Times New Roman" w:hAnsi="Times New Roman" w:cs="Times New Roman"/>
              </w:rPr>
            </w:pPr>
            <w:r w:rsidRPr="005A284F">
              <w:rPr>
                <w:rFonts w:ascii="Times New Roman" w:hAnsi="Times New Roman" w:cs="Times New Roman"/>
                <w:sz w:val="18"/>
                <w:szCs w:val="18"/>
              </w:rPr>
              <w:t>组合</w:t>
            </w:r>
            <w:r w:rsidRPr="005A284F">
              <w:rPr>
                <w:rFonts w:ascii="Times New Roman" w:hAnsi="Times New Roman" w:cs="Times New Roman"/>
                <w:sz w:val="18"/>
                <w:szCs w:val="18"/>
              </w:rPr>
              <w:t>1</w:t>
            </w:r>
            <w:r w:rsidRPr="005A284F">
              <w:rPr>
                <w:rFonts w:ascii="Times New Roman" w:hAnsi="Times New Roman" w:cs="Times New Roman"/>
                <w:sz w:val="18"/>
                <w:szCs w:val="18"/>
              </w:rPr>
              <w:t>：应收合并范围内关联方款项组合</w:t>
            </w:r>
          </w:p>
        </w:tc>
        <w:tc>
          <w:tcPr>
            <w:tcW w:w="2719" w:type="pct"/>
            <w:noWrap/>
            <w:tcMar>
              <w:top w:w="0" w:type="dxa"/>
              <w:left w:w="108" w:type="dxa"/>
              <w:bottom w:w="0" w:type="dxa"/>
              <w:right w:w="108" w:type="dxa"/>
            </w:tcMar>
            <w:vAlign w:val="center"/>
            <w:hideMark/>
          </w:tcPr>
          <w:p w14:paraId="6B73D661" w14:textId="77777777" w:rsidR="000309B5" w:rsidRPr="005A284F" w:rsidRDefault="00000000">
            <w:pPr>
              <w:pStyle w:val="a3"/>
              <w:spacing w:before="0" w:beforeAutospacing="0" w:after="0" w:afterAutospacing="0" w:line="273" w:lineRule="auto"/>
              <w:jc w:val="both"/>
              <w:rPr>
                <w:rFonts w:ascii="Times New Roman" w:hAnsi="Times New Roman" w:cs="Times New Roman"/>
              </w:rPr>
            </w:pPr>
            <w:r w:rsidRPr="005A284F">
              <w:rPr>
                <w:rFonts w:ascii="Times New Roman" w:hAnsi="Times New Roman" w:cs="Times New Roman"/>
                <w:sz w:val="18"/>
                <w:szCs w:val="18"/>
              </w:rPr>
              <w:t>合并范围内各家单位之间的往来款项</w:t>
            </w:r>
          </w:p>
        </w:tc>
      </w:tr>
      <w:tr w:rsidR="000309B5" w:rsidRPr="005A284F" w14:paraId="3FD5A364" w14:textId="77777777" w:rsidTr="0078003E">
        <w:trPr>
          <w:divId w:val="813445847"/>
          <w:trHeight w:val="340"/>
        </w:trPr>
        <w:tc>
          <w:tcPr>
            <w:tcW w:w="2281" w:type="pct"/>
            <w:noWrap/>
            <w:tcMar>
              <w:top w:w="0" w:type="dxa"/>
              <w:left w:w="108" w:type="dxa"/>
              <w:bottom w:w="0" w:type="dxa"/>
              <w:right w:w="108" w:type="dxa"/>
            </w:tcMar>
            <w:vAlign w:val="center"/>
            <w:hideMark/>
          </w:tcPr>
          <w:p w14:paraId="1357DA90" w14:textId="77777777" w:rsidR="000309B5" w:rsidRPr="005A284F" w:rsidRDefault="00000000">
            <w:pPr>
              <w:pStyle w:val="a3"/>
              <w:spacing w:before="0" w:beforeAutospacing="0" w:after="0" w:afterAutospacing="0" w:line="273" w:lineRule="auto"/>
              <w:jc w:val="both"/>
              <w:rPr>
                <w:rFonts w:ascii="Times New Roman" w:hAnsi="Times New Roman" w:cs="Times New Roman"/>
              </w:rPr>
            </w:pPr>
            <w:r w:rsidRPr="005A284F">
              <w:rPr>
                <w:rFonts w:ascii="Times New Roman" w:hAnsi="Times New Roman" w:cs="Times New Roman"/>
                <w:sz w:val="18"/>
                <w:szCs w:val="18"/>
              </w:rPr>
              <w:t>组合</w:t>
            </w:r>
            <w:r w:rsidRPr="005A284F">
              <w:rPr>
                <w:rFonts w:ascii="Times New Roman" w:hAnsi="Times New Roman" w:cs="Times New Roman"/>
                <w:sz w:val="18"/>
                <w:szCs w:val="18"/>
              </w:rPr>
              <w:t>2</w:t>
            </w:r>
            <w:r w:rsidRPr="005A284F">
              <w:rPr>
                <w:rFonts w:ascii="Times New Roman" w:hAnsi="Times New Roman" w:cs="Times New Roman"/>
                <w:sz w:val="18"/>
                <w:szCs w:val="18"/>
              </w:rPr>
              <w:t>：账龄组合</w:t>
            </w:r>
          </w:p>
        </w:tc>
        <w:tc>
          <w:tcPr>
            <w:tcW w:w="2719" w:type="pct"/>
            <w:noWrap/>
            <w:tcMar>
              <w:top w:w="0" w:type="dxa"/>
              <w:left w:w="108" w:type="dxa"/>
              <w:bottom w:w="0" w:type="dxa"/>
              <w:right w:w="108" w:type="dxa"/>
            </w:tcMar>
            <w:vAlign w:val="center"/>
            <w:hideMark/>
          </w:tcPr>
          <w:p w14:paraId="2C687ECF" w14:textId="77777777" w:rsidR="000309B5" w:rsidRPr="005A284F" w:rsidRDefault="00000000">
            <w:pPr>
              <w:pStyle w:val="a3"/>
              <w:spacing w:before="0" w:beforeAutospacing="0" w:after="0" w:afterAutospacing="0" w:line="273" w:lineRule="auto"/>
              <w:jc w:val="both"/>
              <w:rPr>
                <w:rFonts w:ascii="Times New Roman" w:hAnsi="Times New Roman" w:cs="Times New Roman"/>
              </w:rPr>
            </w:pPr>
            <w:r w:rsidRPr="005A284F">
              <w:rPr>
                <w:rFonts w:ascii="Times New Roman" w:hAnsi="Times New Roman" w:cs="Times New Roman"/>
                <w:sz w:val="18"/>
                <w:szCs w:val="18"/>
              </w:rPr>
              <w:t>本组合以应收款项的账龄作为信用风险特征</w:t>
            </w:r>
          </w:p>
        </w:tc>
      </w:tr>
    </w:tbl>
    <w:p w14:paraId="01EA0527" w14:textId="77777777" w:rsidR="000309B5" w:rsidRPr="005A284F" w:rsidRDefault="00000000">
      <w:pPr>
        <w:pStyle w:val="a3"/>
        <w:spacing w:after="0" w:afterAutospacing="0" w:line="273" w:lineRule="auto"/>
        <w:ind w:left="360"/>
        <w:divId w:val="813445847"/>
        <w:rPr>
          <w:rFonts w:ascii="Times New Roman" w:hAnsi="Times New Roman" w:cs="Times New Roman"/>
          <w:sz w:val="22"/>
          <w:szCs w:val="22"/>
        </w:rPr>
      </w:pPr>
      <w:r w:rsidRPr="005A284F">
        <w:rPr>
          <w:rFonts w:ascii="Times New Roman" w:hAnsi="Times New Roman" w:cs="Times New Roman"/>
          <w:sz w:val="18"/>
          <w:szCs w:val="18"/>
        </w:rPr>
        <w:t>其他应收款减值</w:t>
      </w:r>
    </w:p>
    <w:p w14:paraId="09D46A22" w14:textId="77777777" w:rsidR="000309B5" w:rsidRPr="005A284F" w:rsidRDefault="00000000">
      <w:pPr>
        <w:pStyle w:val="a3"/>
        <w:spacing w:before="0" w:beforeAutospacing="0" w:after="0" w:afterAutospacing="0" w:line="273" w:lineRule="auto"/>
        <w:ind w:firstLine="360"/>
        <w:divId w:val="813445847"/>
        <w:rPr>
          <w:rFonts w:ascii="Times New Roman" w:hAnsi="Times New Roman" w:cs="Times New Roman"/>
        </w:rPr>
      </w:pPr>
      <w:r w:rsidRPr="005A284F">
        <w:rPr>
          <w:rFonts w:ascii="Times New Roman" w:hAnsi="Times New Roman" w:cs="Times New Roman"/>
          <w:sz w:val="18"/>
          <w:szCs w:val="18"/>
        </w:rPr>
        <w:t>按照附注五、</w:t>
      </w:r>
      <w:r w:rsidRPr="005A284F">
        <w:rPr>
          <w:rFonts w:ascii="Times New Roman" w:hAnsi="Times New Roman" w:cs="Times New Roman"/>
          <w:sz w:val="18"/>
          <w:szCs w:val="18"/>
        </w:rPr>
        <w:t>11</w:t>
      </w:r>
      <w:r w:rsidRPr="005A284F">
        <w:rPr>
          <w:rFonts w:ascii="Times New Roman" w:hAnsi="Times New Roman" w:cs="Times New Roman"/>
          <w:sz w:val="18"/>
          <w:szCs w:val="18"/>
        </w:rPr>
        <w:t>、（</w:t>
      </w:r>
      <w:r w:rsidRPr="005A284F">
        <w:rPr>
          <w:rFonts w:ascii="Times New Roman" w:hAnsi="Times New Roman" w:cs="Times New Roman"/>
          <w:sz w:val="18"/>
          <w:szCs w:val="18"/>
        </w:rPr>
        <w:t>2</w:t>
      </w:r>
      <w:r w:rsidRPr="005A284F">
        <w:rPr>
          <w:rFonts w:ascii="Times New Roman" w:hAnsi="Times New Roman" w:cs="Times New Roman"/>
          <w:sz w:val="18"/>
          <w:szCs w:val="18"/>
        </w:rPr>
        <w:t>）减值准备的确认和计量中的描述确认和计量减值。当单项其他应收款无法以合理成本评估预期信用损失的信息时，本公司依据信用风险特征将其他应收款划分为若干组合，在组合基础上计算预期信用损失。对于按账龄划分组合的其他应收款，账龄自确认之日起计算。确定组合的依据如下：</w:t>
      </w:r>
    </w:p>
    <w:tbl>
      <w:tblPr>
        <w:tblW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7"/>
        <w:gridCol w:w="7910"/>
      </w:tblGrid>
      <w:tr w:rsidR="000309B5" w:rsidRPr="005A284F" w14:paraId="5CCD73A4" w14:textId="77777777" w:rsidTr="0078003E">
        <w:trPr>
          <w:divId w:val="813445847"/>
          <w:trHeight w:val="378"/>
        </w:trPr>
        <w:tc>
          <w:tcPr>
            <w:tcW w:w="2500" w:type="pct"/>
            <w:tcMar>
              <w:top w:w="0" w:type="dxa"/>
              <w:left w:w="108" w:type="dxa"/>
              <w:bottom w:w="0" w:type="dxa"/>
              <w:right w:w="108" w:type="dxa"/>
            </w:tcMar>
            <w:vAlign w:val="center"/>
            <w:hideMark/>
          </w:tcPr>
          <w:p w14:paraId="34F86057"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项目</w:t>
            </w:r>
          </w:p>
        </w:tc>
        <w:tc>
          <w:tcPr>
            <w:tcW w:w="2500" w:type="pct"/>
            <w:tcMar>
              <w:top w:w="0" w:type="dxa"/>
              <w:left w:w="108" w:type="dxa"/>
              <w:bottom w:w="0" w:type="dxa"/>
              <w:right w:w="108" w:type="dxa"/>
            </w:tcMar>
            <w:vAlign w:val="center"/>
            <w:hideMark/>
          </w:tcPr>
          <w:p w14:paraId="3794A6BD" w14:textId="77777777" w:rsidR="000309B5" w:rsidRPr="005A284F" w:rsidRDefault="00000000">
            <w:pPr>
              <w:pStyle w:val="a3"/>
              <w:spacing w:before="0" w:beforeAutospacing="0" w:after="0" w:afterAutospacing="0" w:line="273" w:lineRule="auto"/>
              <w:ind w:firstLine="360"/>
              <w:jc w:val="center"/>
              <w:rPr>
                <w:rFonts w:ascii="Times New Roman" w:hAnsi="Times New Roman" w:cs="Times New Roman"/>
              </w:rPr>
            </w:pPr>
            <w:r w:rsidRPr="005A284F">
              <w:rPr>
                <w:rFonts w:ascii="Times New Roman" w:hAnsi="Times New Roman" w:cs="Times New Roman"/>
                <w:sz w:val="18"/>
                <w:szCs w:val="18"/>
              </w:rPr>
              <w:t>确定组合的依据</w:t>
            </w:r>
          </w:p>
        </w:tc>
      </w:tr>
      <w:tr w:rsidR="000309B5" w:rsidRPr="005A284F" w14:paraId="007AC09B" w14:textId="77777777" w:rsidTr="0078003E">
        <w:trPr>
          <w:divId w:val="813445847"/>
          <w:trHeight w:val="300"/>
        </w:trPr>
        <w:tc>
          <w:tcPr>
            <w:tcW w:w="2500" w:type="pct"/>
            <w:noWrap/>
            <w:tcMar>
              <w:top w:w="0" w:type="dxa"/>
              <w:left w:w="108" w:type="dxa"/>
              <w:bottom w:w="0" w:type="dxa"/>
              <w:right w:w="108" w:type="dxa"/>
            </w:tcMar>
            <w:vAlign w:val="center"/>
            <w:hideMark/>
          </w:tcPr>
          <w:p w14:paraId="50DA4DF8" w14:textId="77777777" w:rsidR="000309B5" w:rsidRPr="005A284F" w:rsidRDefault="00000000">
            <w:pPr>
              <w:pStyle w:val="a3"/>
              <w:spacing w:before="0" w:beforeAutospacing="0" w:after="0" w:afterAutospacing="0" w:line="273" w:lineRule="auto"/>
              <w:jc w:val="both"/>
              <w:rPr>
                <w:rFonts w:ascii="Times New Roman" w:hAnsi="Times New Roman" w:cs="Times New Roman"/>
              </w:rPr>
            </w:pPr>
            <w:r w:rsidRPr="005A284F">
              <w:rPr>
                <w:rFonts w:ascii="Times New Roman" w:hAnsi="Times New Roman" w:cs="Times New Roman"/>
                <w:sz w:val="18"/>
                <w:szCs w:val="18"/>
              </w:rPr>
              <w:t>组合</w:t>
            </w:r>
            <w:r w:rsidRPr="005A284F">
              <w:rPr>
                <w:rFonts w:ascii="Times New Roman" w:hAnsi="Times New Roman" w:cs="Times New Roman"/>
                <w:sz w:val="18"/>
                <w:szCs w:val="18"/>
              </w:rPr>
              <w:t>1</w:t>
            </w:r>
            <w:r w:rsidRPr="005A284F">
              <w:rPr>
                <w:rFonts w:ascii="Times New Roman" w:hAnsi="Times New Roman" w:cs="Times New Roman"/>
                <w:sz w:val="18"/>
                <w:szCs w:val="18"/>
              </w:rPr>
              <w:t>：应收合并范围内关联方款项组合</w:t>
            </w:r>
          </w:p>
        </w:tc>
        <w:tc>
          <w:tcPr>
            <w:tcW w:w="2500" w:type="pct"/>
            <w:noWrap/>
            <w:tcMar>
              <w:top w:w="0" w:type="dxa"/>
              <w:left w:w="108" w:type="dxa"/>
              <w:bottom w:w="0" w:type="dxa"/>
              <w:right w:w="108" w:type="dxa"/>
            </w:tcMar>
            <w:vAlign w:val="center"/>
            <w:hideMark/>
          </w:tcPr>
          <w:p w14:paraId="61EDF271" w14:textId="77777777" w:rsidR="000309B5" w:rsidRPr="005A284F" w:rsidRDefault="00000000">
            <w:pPr>
              <w:pStyle w:val="a3"/>
              <w:spacing w:before="0" w:beforeAutospacing="0" w:after="0" w:afterAutospacing="0" w:line="273" w:lineRule="auto"/>
              <w:jc w:val="both"/>
              <w:rPr>
                <w:rFonts w:ascii="Times New Roman" w:hAnsi="Times New Roman" w:cs="Times New Roman"/>
              </w:rPr>
            </w:pPr>
            <w:r w:rsidRPr="005A284F">
              <w:rPr>
                <w:rFonts w:ascii="Times New Roman" w:hAnsi="Times New Roman" w:cs="Times New Roman"/>
                <w:sz w:val="18"/>
                <w:szCs w:val="18"/>
              </w:rPr>
              <w:t>合并范围内各家单位之间的往来款项</w:t>
            </w:r>
          </w:p>
        </w:tc>
      </w:tr>
      <w:tr w:rsidR="000309B5" w:rsidRPr="005A284F" w14:paraId="31CE3AA9" w14:textId="77777777" w:rsidTr="0078003E">
        <w:trPr>
          <w:divId w:val="813445847"/>
          <w:trHeight w:val="300"/>
        </w:trPr>
        <w:tc>
          <w:tcPr>
            <w:tcW w:w="2500" w:type="pct"/>
            <w:noWrap/>
            <w:tcMar>
              <w:top w:w="0" w:type="dxa"/>
              <w:left w:w="108" w:type="dxa"/>
              <w:bottom w:w="0" w:type="dxa"/>
              <w:right w:w="108" w:type="dxa"/>
            </w:tcMar>
            <w:vAlign w:val="center"/>
            <w:hideMark/>
          </w:tcPr>
          <w:p w14:paraId="003BAED6" w14:textId="77777777" w:rsidR="000309B5" w:rsidRPr="005A284F" w:rsidRDefault="00000000">
            <w:pPr>
              <w:pStyle w:val="a3"/>
              <w:spacing w:before="0" w:beforeAutospacing="0" w:after="0" w:afterAutospacing="0" w:line="273" w:lineRule="auto"/>
              <w:jc w:val="both"/>
              <w:rPr>
                <w:rFonts w:ascii="Times New Roman" w:hAnsi="Times New Roman" w:cs="Times New Roman"/>
              </w:rPr>
            </w:pPr>
            <w:r w:rsidRPr="005A284F">
              <w:rPr>
                <w:rFonts w:ascii="Times New Roman" w:hAnsi="Times New Roman" w:cs="Times New Roman"/>
                <w:sz w:val="18"/>
                <w:szCs w:val="18"/>
              </w:rPr>
              <w:t>组合</w:t>
            </w:r>
            <w:r w:rsidRPr="005A284F">
              <w:rPr>
                <w:rFonts w:ascii="Times New Roman" w:hAnsi="Times New Roman" w:cs="Times New Roman"/>
                <w:sz w:val="18"/>
                <w:szCs w:val="18"/>
              </w:rPr>
              <w:t>2</w:t>
            </w:r>
            <w:r w:rsidRPr="005A284F">
              <w:rPr>
                <w:rFonts w:ascii="Times New Roman" w:hAnsi="Times New Roman" w:cs="Times New Roman"/>
                <w:sz w:val="18"/>
                <w:szCs w:val="18"/>
              </w:rPr>
              <w:t>：账龄组合</w:t>
            </w:r>
          </w:p>
        </w:tc>
        <w:tc>
          <w:tcPr>
            <w:tcW w:w="2500" w:type="pct"/>
            <w:noWrap/>
            <w:tcMar>
              <w:top w:w="0" w:type="dxa"/>
              <w:left w:w="108" w:type="dxa"/>
              <w:bottom w:w="0" w:type="dxa"/>
              <w:right w:w="108" w:type="dxa"/>
            </w:tcMar>
            <w:vAlign w:val="center"/>
            <w:hideMark/>
          </w:tcPr>
          <w:p w14:paraId="0CAF07E3" w14:textId="77777777" w:rsidR="000309B5" w:rsidRPr="005A284F" w:rsidRDefault="00000000">
            <w:pPr>
              <w:pStyle w:val="a3"/>
              <w:spacing w:before="0" w:beforeAutospacing="0" w:after="0" w:afterAutospacing="0" w:line="273" w:lineRule="auto"/>
              <w:jc w:val="both"/>
              <w:rPr>
                <w:rFonts w:ascii="Times New Roman" w:hAnsi="Times New Roman" w:cs="Times New Roman"/>
              </w:rPr>
            </w:pPr>
            <w:r w:rsidRPr="005A284F">
              <w:rPr>
                <w:rFonts w:ascii="Times New Roman" w:hAnsi="Times New Roman" w:cs="Times New Roman"/>
                <w:sz w:val="18"/>
                <w:szCs w:val="18"/>
              </w:rPr>
              <w:t>除上述组合外的其他组合，本组合以其他应收款的账龄作为信用风险特征。公司根据账龄段划分的具有类似信用风险特征的其他应收款组合的预期损失率为基础，结合现时情况分析法确定坏账准备计提的比例</w:t>
            </w:r>
          </w:p>
        </w:tc>
      </w:tr>
    </w:tbl>
    <w:p w14:paraId="4FAD3365" w14:textId="77777777" w:rsidR="000309B5" w:rsidRPr="005A284F" w:rsidRDefault="00000000">
      <w:pPr>
        <w:pStyle w:val="a3"/>
        <w:spacing w:before="0" w:beforeAutospacing="0" w:after="0" w:afterAutospacing="0" w:line="273" w:lineRule="auto"/>
        <w:ind w:firstLine="357"/>
        <w:jc w:val="both"/>
        <w:divId w:val="813445847"/>
        <w:rPr>
          <w:rFonts w:ascii="Times New Roman" w:hAnsi="Times New Roman" w:cs="Times New Roman"/>
        </w:rPr>
      </w:pPr>
      <w:r w:rsidRPr="005A284F">
        <w:rPr>
          <w:rFonts w:ascii="Times New Roman" w:hAnsi="Times New Roman" w:cs="Times New Roman"/>
          <w:sz w:val="18"/>
          <w:szCs w:val="18"/>
        </w:rPr>
        <w:t>各组合预期信用损失率：</w:t>
      </w:r>
    </w:p>
    <w:p w14:paraId="429986E7" w14:textId="77777777" w:rsidR="000309B5" w:rsidRPr="005A284F" w:rsidRDefault="00000000">
      <w:pPr>
        <w:pStyle w:val="a3"/>
        <w:spacing w:before="0" w:beforeAutospacing="0" w:after="0" w:afterAutospacing="0" w:line="273" w:lineRule="auto"/>
        <w:ind w:firstLine="357"/>
        <w:jc w:val="both"/>
        <w:divId w:val="813445847"/>
        <w:rPr>
          <w:rFonts w:ascii="Times New Roman" w:hAnsi="Times New Roman" w:cs="Times New Roman"/>
        </w:rPr>
      </w:pPr>
      <w:r w:rsidRPr="005A284F">
        <w:rPr>
          <w:rFonts w:ascii="Times New Roman" w:hAnsi="Times New Roman" w:cs="Times New Roman"/>
          <w:sz w:val="18"/>
          <w:szCs w:val="18"/>
        </w:rPr>
        <w:t>其他应收款组合</w:t>
      </w:r>
      <w:r w:rsidRPr="005A284F">
        <w:rPr>
          <w:rFonts w:ascii="Times New Roman" w:hAnsi="Times New Roman" w:cs="Times New Roman"/>
          <w:sz w:val="18"/>
          <w:szCs w:val="18"/>
        </w:rPr>
        <w:t>1</w:t>
      </w:r>
      <w:r w:rsidRPr="005A284F">
        <w:rPr>
          <w:rFonts w:ascii="Times New Roman" w:hAnsi="Times New Roman" w:cs="Times New Roman"/>
          <w:sz w:val="18"/>
          <w:szCs w:val="18"/>
        </w:rPr>
        <w:t>：应收合并范围内关联方款项组合：合并范围内公司的往来款，一般不计提坏账准备，除非子公司发生明显的大额亏损考虑单项计提坏账准备。</w:t>
      </w:r>
    </w:p>
    <w:p w14:paraId="16D92443" w14:textId="77777777" w:rsidR="000309B5" w:rsidRPr="005A284F" w:rsidRDefault="00000000">
      <w:pPr>
        <w:pStyle w:val="a3"/>
        <w:spacing w:before="0" w:beforeAutospacing="0" w:after="0" w:afterAutospacing="0" w:line="273" w:lineRule="auto"/>
        <w:ind w:firstLine="357"/>
        <w:jc w:val="both"/>
        <w:divId w:val="813445847"/>
        <w:rPr>
          <w:rFonts w:ascii="Times New Roman" w:hAnsi="Times New Roman" w:cs="Times New Roman"/>
        </w:rPr>
      </w:pPr>
      <w:r w:rsidRPr="005A284F">
        <w:rPr>
          <w:rFonts w:ascii="Times New Roman" w:hAnsi="Times New Roman" w:cs="Times New Roman"/>
          <w:sz w:val="18"/>
          <w:szCs w:val="18"/>
        </w:rPr>
        <w:t>其他应收款组合</w:t>
      </w:r>
      <w:r w:rsidRPr="005A284F">
        <w:rPr>
          <w:rFonts w:ascii="Times New Roman" w:hAnsi="Times New Roman" w:cs="Times New Roman"/>
          <w:sz w:val="18"/>
          <w:szCs w:val="18"/>
        </w:rPr>
        <w:t>2</w:t>
      </w:r>
      <w:r w:rsidRPr="005A284F">
        <w:rPr>
          <w:rFonts w:ascii="Times New Roman" w:hAnsi="Times New Roman" w:cs="Times New Roman"/>
          <w:sz w:val="18"/>
          <w:szCs w:val="18"/>
        </w:rPr>
        <w:t>：账龄组合：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06"/>
        <w:gridCol w:w="4621"/>
      </w:tblGrid>
      <w:tr w:rsidR="000309B5" w:rsidRPr="005A284F" w14:paraId="62DA4455" w14:textId="77777777" w:rsidTr="0078003E">
        <w:trPr>
          <w:divId w:val="813445847"/>
          <w:trHeight w:val="340"/>
        </w:trPr>
        <w:tc>
          <w:tcPr>
            <w:tcW w:w="2600" w:type="pct"/>
            <w:tcMar>
              <w:top w:w="0" w:type="dxa"/>
              <w:left w:w="108" w:type="dxa"/>
              <w:bottom w:w="0" w:type="dxa"/>
              <w:right w:w="108" w:type="dxa"/>
            </w:tcMar>
            <w:vAlign w:val="center"/>
            <w:hideMark/>
          </w:tcPr>
          <w:p w14:paraId="2350D7BD"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账龄</w:t>
            </w:r>
          </w:p>
        </w:tc>
        <w:tc>
          <w:tcPr>
            <w:tcW w:w="2400" w:type="pct"/>
            <w:tcMar>
              <w:top w:w="0" w:type="dxa"/>
              <w:left w:w="108" w:type="dxa"/>
              <w:bottom w:w="0" w:type="dxa"/>
              <w:right w:w="108" w:type="dxa"/>
            </w:tcMar>
            <w:vAlign w:val="center"/>
            <w:hideMark/>
          </w:tcPr>
          <w:p w14:paraId="6F712661"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预期信用损失率（</w:t>
            </w:r>
            <w:r w:rsidRPr="005A284F">
              <w:rPr>
                <w:rFonts w:ascii="Times New Roman" w:hAnsi="Times New Roman" w:cs="Times New Roman"/>
                <w:sz w:val="18"/>
                <w:szCs w:val="18"/>
              </w:rPr>
              <w:t>%</w:t>
            </w:r>
            <w:r w:rsidRPr="005A284F">
              <w:rPr>
                <w:rFonts w:ascii="Times New Roman" w:hAnsi="Times New Roman" w:cs="Times New Roman"/>
                <w:sz w:val="18"/>
                <w:szCs w:val="18"/>
              </w:rPr>
              <w:t>）</w:t>
            </w:r>
          </w:p>
        </w:tc>
      </w:tr>
      <w:tr w:rsidR="000309B5" w:rsidRPr="005A284F" w14:paraId="6DE05519" w14:textId="77777777" w:rsidTr="0078003E">
        <w:trPr>
          <w:divId w:val="813445847"/>
          <w:trHeight w:val="340"/>
        </w:trPr>
        <w:tc>
          <w:tcPr>
            <w:tcW w:w="2600" w:type="pct"/>
            <w:noWrap/>
            <w:tcMar>
              <w:top w:w="0" w:type="dxa"/>
              <w:left w:w="108" w:type="dxa"/>
              <w:bottom w:w="0" w:type="dxa"/>
              <w:right w:w="108" w:type="dxa"/>
            </w:tcMar>
            <w:vAlign w:val="center"/>
            <w:hideMark/>
          </w:tcPr>
          <w:p w14:paraId="6A7C5CB3" w14:textId="77777777" w:rsidR="000309B5" w:rsidRPr="005A284F" w:rsidRDefault="00000000" w:rsidP="0078003E">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1-3</w:t>
            </w:r>
            <w:r w:rsidRPr="005A284F">
              <w:rPr>
                <w:rFonts w:ascii="Times New Roman" w:hAnsi="Times New Roman" w:cs="Times New Roman"/>
                <w:sz w:val="18"/>
                <w:szCs w:val="18"/>
              </w:rPr>
              <w:t>个月</w:t>
            </w:r>
          </w:p>
        </w:tc>
        <w:tc>
          <w:tcPr>
            <w:tcW w:w="2400" w:type="pct"/>
            <w:noWrap/>
            <w:tcMar>
              <w:top w:w="0" w:type="dxa"/>
              <w:left w:w="108" w:type="dxa"/>
              <w:bottom w:w="0" w:type="dxa"/>
              <w:right w:w="108" w:type="dxa"/>
            </w:tcMar>
            <w:vAlign w:val="center"/>
            <w:hideMark/>
          </w:tcPr>
          <w:p w14:paraId="3FFD277A" w14:textId="77777777" w:rsidR="000309B5" w:rsidRPr="005A284F" w:rsidRDefault="00000000" w:rsidP="0078003E">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1.23</w:t>
            </w:r>
          </w:p>
        </w:tc>
      </w:tr>
      <w:tr w:rsidR="000309B5" w:rsidRPr="005A284F" w14:paraId="1A3AFAE6" w14:textId="77777777" w:rsidTr="0078003E">
        <w:trPr>
          <w:divId w:val="813445847"/>
          <w:trHeight w:val="340"/>
        </w:trPr>
        <w:tc>
          <w:tcPr>
            <w:tcW w:w="2600" w:type="pct"/>
            <w:noWrap/>
            <w:tcMar>
              <w:top w:w="0" w:type="dxa"/>
              <w:left w:w="108" w:type="dxa"/>
              <w:bottom w:w="0" w:type="dxa"/>
              <w:right w:w="108" w:type="dxa"/>
            </w:tcMar>
            <w:vAlign w:val="center"/>
            <w:hideMark/>
          </w:tcPr>
          <w:p w14:paraId="522DA1DB" w14:textId="77777777" w:rsidR="000309B5" w:rsidRPr="005A284F" w:rsidRDefault="00000000" w:rsidP="0078003E">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4-6</w:t>
            </w:r>
            <w:r w:rsidRPr="005A284F">
              <w:rPr>
                <w:rFonts w:ascii="Times New Roman" w:hAnsi="Times New Roman" w:cs="Times New Roman"/>
                <w:sz w:val="18"/>
                <w:szCs w:val="18"/>
              </w:rPr>
              <w:t>个月</w:t>
            </w:r>
          </w:p>
        </w:tc>
        <w:tc>
          <w:tcPr>
            <w:tcW w:w="2400" w:type="pct"/>
            <w:noWrap/>
            <w:tcMar>
              <w:top w:w="0" w:type="dxa"/>
              <w:left w:w="108" w:type="dxa"/>
              <w:bottom w:w="0" w:type="dxa"/>
              <w:right w:w="108" w:type="dxa"/>
            </w:tcMar>
            <w:vAlign w:val="center"/>
            <w:hideMark/>
          </w:tcPr>
          <w:p w14:paraId="3BA73F7A" w14:textId="77777777" w:rsidR="000309B5" w:rsidRPr="005A284F" w:rsidRDefault="00000000" w:rsidP="0078003E">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1.23</w:t>
            </w:r>
          </w:p>
        </w:tc>
      </w:tr>
      <w:tr w:rsidR="000309B5" w:rsidRPr="005A284F" w14:paraId="5E50719F" w14:textId="77777777" w:rsidTr="0078003E">
        <w:trPr>
          <w:divId w:val="813445847"/>
          <w:trHeight w:val="340"/>
        </w:trPr>
        <w:tc>
          <w:tcPr>
            <w:tcW w:w="2600" w:type="pct"/>
            <w:noWrap/>
            <w:tcMar>
              <w:top w:w="0" w:type="dxa"/>
              <w:left w:w="108" w:type="dxa"/>
              <w:bottom w:w="0" w:type="dxa"/>
              <w:right w:w="108" w:type="dxa"/>
            </w:tcMar>
            <w:vAlign w:val="center"/>
            <w:hideMark/>
          </w:tcPr>
          <w:p w14:paraId="63B7F948" w14:textId="77777777" w:rsidR="000309B5" w:rsidRPr="005A284F" w:rsidRDefault="00000000" w:rsidP="0078003E">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7-9</w:t>
            </w:r>
            <w:r w:rsidRPr="005A284F">
              <w:rPr>
                <w:rFonts w:ascii="Times New Roman" w:hAnsi="Times New Roman" w:cs="Times New Roman"/>
                <w:sz w:val="18"/>
                <w:szCs w:val="18"/>
              </w:rPr>
              <w:t>个月</w:t>
            </w:r>
          </w:p>
        </w:tc>
        <w:tc>
          <w:tcPr>
            <w:tcW w:w="2400" w:type="pct"/>
            <w:noWrap/>
            <w:tcMar>
              <w:top w:w="0" w:type="dxa"/>
              <w:left w:w="108" w:type="dxa"/>
              <w:bottom w:w="0" w:type="dxa"/>
              <w:right w:w="108" w:type="dxa"/>
            </w:tcMar>
            <w:vAlign w:val="center"/>
            <w:hideMark/>
          </w:tcPr>
          <w:p w14:paraId="23E3340C" w14:textId="77777777" w:rsidR="000309B5" w:rsidRPr="005A284F" w:rsidRDefault="00000000" w:rsidP="0078003E">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1.23</w:t>
            </w:r>
          </w:p>
        </w:tc>
      </w:tr>
      <w:tr w:rsidR="000309B5" w:rsidRPr="005A284F" w14:paraId="2BFA0417" w14:textId="77777777" w:rsidTr="0078003E">
        <w:trPr>
          <w:divId w:val="813445847"/>
          <w:trHeight w:val="340"/>
        </w:trPr>
        <w:tc>
          <w:tcPr>
            <w:tcW w:w="2600" w:type="pct"/>
            <w:noWrap/>
            <w:tcMar>
              <w:top w:w="0" w:type="dxa"/>
              <w:left w:w="108" w:type="dxa"/>
              <w:bottom w:w="0" w:type="dxa"/>
              <w:right w:w="108" w:type="dxa"/>
            </w:tcMar>
            <w:vAlign w:val="center"/>
            <w:hideMark/>
          </w:tcPr>
          <w:p w14:paraId="4F23C29E" w14:textId="77777777" w:rsidR="000309B5" w:rsidRPr="005A284F" w:rsidRDefault="00000000" w:rsidP="0078003E">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10-12</w:t>
            </w:r>
            <w:r w:rsidRPr="005A284F">
              <w:rPr>
                <w:rFonts w:ascii="Times New Roman" w:hAnsi="Times New Roman" w:cs="Times New Roman"/>
                <w:sz w:val="18"/>
                <w:szCs w:val="18"/>
              </w:rPr>
              <w:t>个月</w:t>
            </w:r>
          </w:p>
        </w:tc>
        <w:tc>
          <w:tcPr>
            <w:tcW w:w="2400" w:type="pct"/>
            <w:noWrap/>
            <w:tcMar>
              <w:top w:w="0" w:type="dxa"/>
              <w:left w:w="108" w:type="dxa"/>
              <w:bottom w:w="0" w:type="dxa"/>
              <w:right w:w="108" w:type="dxa"/>
            </w:tcMar>
            <w:vAlign w:val="center"/>
            <w:hideMark/>
          </w:tcPr>
          <w:p w14:paraId="29EE09C8" w14:textId="77777777" w:rsidR="000309B5" w:rsidRPr="005A284F" w:rsidRDefault="00000000" w:rsidP="0078003E">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1.23</w:t>
            </w:r>
          </w:p>
        </w:tc>
      </w:tr>
      <w:tr w:rsidR="000309B5" w:rsidRPr="005A284F" w14:paraId="0FE2C491" w14:textId="77777777" w:rsidTr="0078003E">
        <w:trPr>
          <w:divId w:val="813445847"/>
          <w:trHeight w:val="340"/>
        </w:trPr>
        <w:tc>
          <w:tcPr>
            <w:tcW w:w="2600" w:type="pct"/>
            <w:noWrap/>
            <w:tcMar>
              <w:top w:w="0" w:type="dxa"/>
              <w:left w:w="108" w:type="dxa"/>
              <w:bottom w:w="0" w:type="dxa"/>
              <w:right w:w="108" w:type="dxa"/>
            </w:tcMar>
            <w:vAlign w:val="center"/>
            <w:hideMark/>
          </w:tcPr>
          <w:p w14:paraId="317BB64E" w14:textId="77777777" w:rsidR="000309B5" w:rsidRPr="005A284F" w:rsidRDefault="00000000" w:rsidP="0078003E">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1-2</w:t>
            </w:r>
            <w:r w:rsidRPr="005A284F">
              <w:rPr>
                <w:rFonts w:ascii="Times New Roman" w:hAnsi="Times New Roman" w:cs="Times New Roman"/>
                <w:sz w:val="18"/>
                <w:szCs w:val="18"/>
              </w:rPr>
              <w:t>年</w:t>
            </w:r>
          </w:p>
        </w:tc>
        <w:tc>
          <w:tcPr>
            <w:tcW w:w="2400" w:type="pct"/>
            <w:noWrap/>
            <w:tcMar>
              <w:top w:w="0" w:type="dxa"/>
              <w:left w:w="108" w:type="dxa"/>
              <w:bottom w:w="0" w:type="dxa"/>
              <w:right w:w="108" w:type="dxa"/>
            </w:tcMar>
            <w:vAlign w:val="center"/>
            <w:hideMark/>
          </w:tcPr>
          <w:p w14:paraId="720DA0E7" w14:textId="77777777" w:rsidR="000309B5" w:rsidRPr="005A284F" w:rsidRDefault="00000000" w:rsidP="0078003E">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22.91</w:t>
            </w:r>
          </w:p>
        </w:tc>
      </w:tr>
      <w:tr w:rsidR="000309B5" w:rsidRPr="005A284F" w14:paraId="7B998588" w14:textId="77777777" w:rsidTr="0078003E">
        <w:trPr>
          <w:divId w:val="813445847"/>
          <w:trHeight w:val="340"/>
        </w:trPr>
        <w:tc>
          <w:tcPr>
            <w:tcW w:w="2600" w:type="pct"/>
            <w:noWrap/>
            <w:tcMar>
              <w:top w:w="0" w:type="dxa"/>
              <w:left w:w="108" w:type="dxa"/>
              <w:bottom w:w="0" w:type="dxa"/>
              <w:right w:w="108" w:type="dxa"/>
            </w:tcMar>
            <w:vAlign w:val="center"/>
            <w:hideMark/>
          </w:tcPr>
          <w:p w14:paraId="099BB1E4" w14:textId="77777777" w:rsidR="000309B5" w:rsidRPr="005A284F" w:rsidRDefault="00000000" w:rsidP="0078003E">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2-3</w:t>
            </w:r>
            <w:r w:rsidRPr="005A284F">
              <w:rPr>
                <w:rFonts w:ascii="Times New Roman" w:hAnsi="Times New Roman" w:cs="Times New Roman"/>
                <w:sz w:val="18"/>
                <w:szCs w:val="18"/>
              </w:rPr>
              <w:t>年</w:t>
            </w:r>
          </w:p>
        </w:tc>
        <w:tc>
          <w:tcPr>
            <w:tcW w:w="2400" w:type="pct"/>
            <w:noWrap/>
            <w:tcMar>
              <w:top w:w="0" w:type="dxa"/>
              <w:left w:w="108" w:type="dxa"/>
              <w:bottom w:w="0" w:type="dxa"/>
              <w:right w:w="108" w:type="dxa"/>
            </w:tcMar>
            <w:vAlign w:val="center"/>
            <w:hideMark/>
          </w:tcPr>
          <w:p w14:paraId="350428AF" w14:textId="77777777" w:rsidR="000309B5" w:rsidRPr="005A284F" w:rsidRDefault="00000000" w:rsidP="0078003E">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79.83</w:t>
            </w:r>
          </w:p>
        </w:tc>
      </w:tr>
      <w:tr w:rsidR="000309B5" w:rsidRPr="005A284F" w14:paraId="0EF05935" w14:textId="77777777" w:rsidTr="0078003E">
        <w:trPr>
          <w:divId w:val="813445847"/>
          <w:trHeight w:val="340"/>
        </w:trPr>
        <w:tc>
          <w:tcPr>
            <w:tcW w:w="2600" w:type="pct"/>
            <w:noWrap/>
            <w:tcMar>
              <w:top w:w="0" w:type="dxa"/>
              <w:left w:w="108" w:type="dxa"/>
              <w:bottom w:w="0" w:type="dxa"/>
              <w:right w:w="108" w:type="dxa"/>
            </w:tcMar>
            <w:vAlign w:val="center"/>
            <w:hideMark/>
          </w:tcPr>
          <w:p w14:paraId="4BA4A8F1" w14:textId="77777777" w:rsidR="000309B5" w:rsidRPr="005A284F" w:rsidRDefault="00000000" w:rsidP="0078003E">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3</w:t>
            </w:r>
            <w:r w:rsidRPr="005A284F">
              <w:rPr>
                <w:rFonts w:ascii="Times New Roman" w:hAnsi="Times New Roman" w:cs="Times New Roman"/>
                <w:sz w:val="18"/>
                <w:szCs w:val="18"/>
              </w:rPr>
              <w:t>年以上</w:t>
            </w:r>
          </w:p>
        </w:tc>
        <w:tc>
          <w:tcPr>
            <w:tcW w:w="2400" w:type="pct"/>
            <w:noWrap/>
            <w:tcMar>
              <w:top w:w="0" w:type="dxa"/>
              <w:left w:w="108" w:type="dxa"/>
              <w:bottom w:w="0" w:type="dxa"/>
              <w:right w:w="108" w:type="dxa"/>
            </w:tcMar>
            <w:vAlign w:val="center"/>
            <w:hideMark/>
          </w:tcPr>
          <w:p w14:paraId="06F20D2E" w14:textId="77777777" w:rsidR="000309B5" w:rsidRPr="005A284F" w:rsidRDefault="00000000" w:rsidP="0078003E">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100.00</w:t>
            </w:r>
          </w:p>
        </w:tc>
      </w:tr>
    </w:tbl>
    <w:p w14:paraId="359B0246" w14:textId="77777777" w:rsidR="000309B5" w:rsidRPr="005A284F" w:rsidRDefault="00000000">
      <w:pPr>
        <w:pStyle w:val="a3"/>
        <w:spacing w:before="0" w:beforeAutospacing="0" w:after="0" w:afterAutospacing="0" w:line="273" w:lineRule="auto"/>
        <w:ind w:firstLine="357"/>
        <w:jc w:val="both"/>
        <w:divId w:val="813445847"/>
        <w:rPr>
          <w:rFonts w:ascii="Times New Roman" w:hAnsi="Times New Roman" w:cs="Times New Roman"/>
        </w:rPr>
      </w:pPr>
      <w:r w:rsidRPr="005A284F">
        <w:rPr>
          <w:rFonts w:ascii="Times New Roman" w:hAnsi="Times New Roman" w:cs="Times New Roman"/>
          <w:sz w:val="18"/>
          <w:szCs w:val="18"/>
        </w:rPr>
        <w:t>合同资产减值</w:t>
      </w:r>
    </w:p>
    <w:p w14:paraId="16B2FDDD" w14:textId="77777777" w:rsidR="000309B5" w:rsidRPr="005A284F" w:rsidRDefault="00000000">
      <w:pPr>
        <w:pStyle w:val="a3"/>
        <w:spacing w:before="0" w:beforeAutospacing="0" w:after="0" w:afterAutospacing="0" w:line="273" w:lineRule="auto"/>
        <w:ind w:firstLine="357"/>
        <w:jc w:val="both"/>
        <w:divId w:val="813445847"/>
        <w:rPr>
          <w:rFonts w:ascii="Times New Roman" w:hAnsi="Times New Roman" w:cs="Times New Roman"/>
        </w:rPr>
      </w:pPr>
      <w:r w:rsidRPr="005A284F">
        <w:rPr>
          <w:rFonts w:ascii="Times New Roman" w:hAnsi="Times New Roman" w:cs="Times New Roman"/>
          <w:sz w:val="18"/>
          <w:szCs w:val="18"/>
        </w:rPr>
        <w:t>当单项合同资产无法以合理成本评估预期信用损失的信息时，本公司依据信用风险特征将合同资产划分为若干组合，在组合基础上计算预期信用损失。对于按账龄划分组合的合同资产，账龄自确认之日起计算。</w:t>
      </w:r>
    </w:p>
    <w:p w14:paraId="6BC1D73B" w14:textId="77777777" w:rsidR="000309B5" w:rsidRPr="005A284F" w:rsidRDefault="00000000">
      <w:pPr>
        <w:pStyle w:val="a3"/>
        <w:spacing w:before="0" w:beforeAutospacing="0" w:after="0" w:afterAutospacing="0" w:line="273" w:lineRule="auto"/>
        <w:ind w:firstLine="357"/>
        <w:jc w:val="both"/>
        <w:divId w:val="813445847"/>
        <w:rPr>
          <w:rFonts w:ascii="Times New Roman" w:hAnsi="Times New Roman" w:cs="Times New Roman"/>
        </w:rPr>
      </w:pPr>
      <w:r w:rsidRPr="005A284F">
        <w:rPr>
          <w:rFonts w:ascii="Times New Roman" w:hAnsi="Times New Roman" w:cs="Times New Roman"/>
          <w:sz w:val="18"/>
          <w:szCs w:val="18"/>
        </w:rPr>
        <w:t>确定组合的依据如下：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7"/>
        <w:gridCol w:w="7910"/>
      </w:tblGrid>
      <w:tr w:rsidR="000309B5" w:rsidRPr="005A284F" w14:paraId="42E40634" w14:textId="77777777" w:rsidTr="0078003E">
        <w:trPr>
          <w:divId w:val="813445847"/>
          <w:trHeight w:val="340"/>
        </w:trPr>
        <w:tc>
          <w:tcPr>
            <w:tcW w:w="902" w:type="pct"/>
            <w:tcMar>
              <w:top w:w="0" w:type="dxa"/>
              <w:left w:w="108" w:type="dxa"/>
              <w:bottom w:w="0" w:type="dxa"/>
              <w:right w:w="108" w:type="dxa"/>
            </w:tcMar>
            <w:vAlign w:val="center"/>
            <w:hideMark/>
          </w:tcPr>
          <w:p w14:paraId="066AEB5F"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项目</w:t>
            </w:r>
          </w:p>
        </w:tc>
        <w:tc>
          <w:tcPr>
            <w:tcW w:w="4098" w:type="pct"/>
            <w:tcMar>
              <w:top w:w="0" w:type="dxa"/>
              <w:left w:w="108" w:type="dxa"/>
              <w:bottom w:w="0" w:type="dxa"/>
              <w:right w:w="108" w:type="dxa"/>
            </w:tcMar>
            <w:vAlign w:val="center"/>
            <w:hideMark/>
          </w:tcPr>
          <w:p w14:paraId="4ED45595" w14:textId="77777777" w:rsidR="000309B5" w:rsidRPr="005A284F" w:rsidRDefault="00000000">
            <w:pPr>
              <w:pStyle w:val="a3"/>
              <w:spacing w:before="0" w:beforeAutospacing="0" w:after="0" w:afterAutospacing="0" w:line="273" w:lineRule="auto"/>
              <w:ind w:firstLine="360"/>
              <w:jc w:val="center"/>
              <w:rPr>
                <w:rFonts w:ascii="Times New Roman" w:hAnsi="Times New Roman" w:cs="Times New Roman"/>
              </w:rPr>
            </w:pPr>
            <w:r w:rsidRPr="005A284F">
              <w:rPr>
                <w:rFonts w:ascii="Times New Roman" w:hAnsi="Times New Roman" w:cs="Times New Roman"/>
                <w:sz w:val="18"/>
                <w:szCs w:val="18"/>
              </w:rPr>
              <w:t>确定组合的依据</w:t>
            </w:r>
          </w:p>
        </w:tc>
      </w:tr>
      <w:tr w:rsidR="000309B5" w:rsidRPr="005A284F" w14:paraId="44DA9EB8" w14:textId="77777777" w:rsidTr="0078003E">
        <w:trPr>
          <w:divId w:val="813445847"/>
          <w:trHeight w:val="340"/>
        </w:trPr>
        <w:tc>
          <w:tcPr>
            <w:tcW w:w="902" w:type="pct"/>
            <w:noWrap/>
            <w:tcMar>
              <w:top w:w="0" w:type="dxa"/>
              <w:left w:w="108" w:type="dxa"/>
              <w:bottom w:w="0" w:type="dxa"/>
              <w:right w:w="108" w:type="dxa"/>
            </w:tcMar>
            <w:vAlign w:val="center"/>
            <w:hideMark/>
          </w:tcPr>
          <w:p w14:paraId="40CEC0E6" w14:textId="77777777" w:rsidR="000309B5" w:rsidRPr="005A284F" w:rsidRDefault="00000000">
            <w:pPr>
              <w:pStyle w:val="a3"/>
              <w:spacing w:before="0" w:beforeAutospacing="0" w:after="0" w:afterAutospacing="0" w:line="273" w:lineRule="auto"/>
              <w:jc w:val="both"/>
              <w:rPr>
                <w:rFonts w:ascii="Times New Roman" w:hAnsi="Times New Roman" w:cs="Times New Roman"/>
              </w:rPr>
            </w:pPr>
            <w:r w:rsidRPr="005A284F">
              <w:rPr>
                <w:rFonts w:ascii="Times New Roman" w:hAnsi="Times New Roman" w:cs="Times New Roman"/>
                <w:sz w:val="18"/>
                <w:szCs w:val="18"/>
              </w:rPr>
              <w:t>组合</w:t>
            </w:r>
            <w:r w:rsidRPr="005A284F">
              <w:rPr>
                <w:rFonts w:ascii="Times New Roman" w:hAnsi="Times New Roman" w:cs="Times New Roman"/>
                <w:sz w:val="18"/>
                <w:szCs w:val="18"/>
              </w:rPr>
              <w:t>1</w:t>
            </w:r>
            <w:r w:rsidRPr="005A284F">
              <w:rPr>
                <w:rFonts w:ascii="Times New Roman" w:hAnsi="Times New Roman" w:cs="Times New Roman"/>
                <w:sz w:val="18"/>
                <w:szCs w:val="18"/>
              </w:rPr>
              <w:t>：应收合并范围内关联方款项组合</w:t>
            </w:r>
          </w:p>
        </w:tc>
        <w:tc>
          <w:tcPr>
            <w:tcW w:w="4098" w:type="pct"/>
            <w:noWrap/>
            <w:tcMar>
              <w:top w:w="0" w:type="dxa"/>
              <w:left w:w="108" w:type="dxa"/>
              <w:bottom w:w="0" w:type="dxa"/>
              <w:right w:w="108" w:type="dxa"/>
            </w:tcMar>
            <w:vAlign w:val="center"/>
            <w:hideMark/>
          </w:tcPr>
          <w:p w14:paraId="56CB0062" w14:textId="77777777" w:rsidR="000309B5" w:rsidRPr="005A284F" w:rsidRDefault="00000000">
            <w:pPr>
              <w:pStyle w:val="a3"/>
              <w:spacing w:before="0" w:beforeAutospacing="0" w:after="0" w:afterAutospacing="0" w:line="273" w:lineRule="auto"/>
              <w:jc w:val="both"/>
              <w:rPr>
                <w:rFonts w:ascii="Times New Roman" w:hAnsi="Times New Roman" w:cs="Times New Roman"/>
              </w:rPr>
            </w:pPr>
            <w:r w:rsidRPr="005A284F">
              <w:rPr>
                <w:rFonts w:ascii="Times New Roman" w:hAnsi="Times New Roman" w:cs="Times New Roman"/>
                <w:sz w:val="18"/>
                <w:szCs w:val="18"/>
              </w:rPr>
              <w:t>合并范围内各家单位之间的往来款项</w:t>
            </w:r>
          </w:p>
        </w:tc>
      </w:tr>
      <w:tr w:rsidR="000309B5" w:rsidRPr="005A284F" w14:paraId="269E2C65" w14:textId="77777777" w:rsidTr="0078003E">
        <w:trPr>
          <w:divId w:val="813445847"/>
          <w:trHeight w:val="340"/>
        </w:trPr>
        <w:tc>
          <w:tcPr>
            <w:tcW w:w="902" w:type="pct"/>
            <w:noWrap/>
            <w:tcMar>
              <w:top w:w="0" w:type="dxa"/>
              <w:left w:w="108" w:type="dxa"/>
              <w:bottom w:w="0" w:type="dxa"/>
              <w:right w:w="108" w:type="dxa"/>
            </w:tcMar>
            <w:vAlign w:val="center"/>
            <w:hideMark/>
          </w:tcPr>
          <w:p w14:paraId="1207E0FF" w14:textId="77777777" w:rsidR="000309B5" w:rsidRPr="005A284F" w:rsidRDefault="00000000">
            <w:pPr>
              <w:pStyle w:val="a3"/>
              <w:spacing w:before="0" w:beforeAutospacing="0" w:after="0" w:afterAutospacing="0" w:line="273" w:lineRule="auto"/>
              <w:jc w:val="both"/>
              <w:rPr>
                <w:rFonts w:ascii="Times New Roman" w:hAnsi="Times New Roman" w:cs="Times New Roman"/>
              </w:rPr>
            </w:pPr>
            <w:r w:rsidRPr="005A284F">
              <w:rPr>
                <w:rFonts w:ascii="Times New Roman" w:hAnsi="Times New Roman" w:cs="Times New Roman"/>
                <w:sz w:val="18"/>
                <w:szCs w:val="18"/>
              </w:rPr>
              <w:lastRenderedPageBreak/>
              <w:t>组合</w:t>
            </w:r>
            <w:r w:rsidRPr="005A284F">
              <w:rPr>
                <w:rFonts w:ascii="Times New Roman" w:hAnsi="Times New Roman" w:cs="Times New Roman"/>
                <w:sz w:val="18"/>
                <w:szCs w:val="18"/>
              </w:rPr>
              <w:t>2</w:t>
            </w:r>
            <w:r w:rsidRPr="005A284F">
              <w:rPr>
                <w:rFonts w:ascii="Times New Roman" w:hAnsi="Times New Roman" w:cs="Times New Roman"/>
                <w:sz w:val="18"/>
                <w:szCs w:val="18"/>
              </w:rPr>
              <w:t>：账龄组合</w:t>
            </w:r>
          </w:p>
        </w:tc>
        <w:tc>
          <w:tcPr>
            <w:tcW w:w="4098" w:type="pct"/>
            <w:noWrap/>
            <w:tcMar>
              <w:top w:w="0" w:type="dxa"/>
              <w:left w:w="108" w:type="dxa"/>
              <w:bottom w:w="0" w:type="dxa"/>
              <w:right w:w="108" w:type="dxa"/>
            </w:tcMar>
            <w:vAlign w:val="center"/>
            <w:hideMark/>
          </w:tcPr>
          <w:p w14:paraId="534F5C8B" w14:textId="77777777" w:rsidR="000309B5" w:rsidRPr="005A284F" w:rsidRDefault="00000000">
            <w:pPr>
              <w:pStyle w:val="a3"/>
              <w:spacing w:before="0" w:beforeAutospacing="0" w:after="0" w:afterAutospacing="0" w:line="273" w:lineRule="auto"/>
              <w:jc w:val="both"/>
              <w:rPr>
                <w:rFonts w:ascii="Times New Roman" w:hAnsi="Times New Roman" w:cs="Times New Roman"/>
              </w:rPr>
            </w:pPr>
            <w:r w:rsidRPr="005A284F">
              <w:rPr>
                <w:rFonts w:ascii="Times New Roman" w:hAnsi="Times New Roman" w:cs="Times New Roman"/>
                <w:sz w:val="18"/>
                <w:szCs w:val="18"/>
              </w:rPr>
              <w:t>除上述组合外的其他组合，本组合以长期应收款的账龄作为信用风险特征。公司根据账龄段划分的具有类似信用风险特征的长期应收款组合的预期损失率为基础，结合现时情况分析法确定坏账准备计提的比例</w:t>
            </w:r>
          </w:p>
        </w:tc>
      </w:tr>
    </w:tbl>
    <w:p w14:paraId="1D19E7C0" w14:textId="77777777" w:rsidR="000309B5" w:rsidRPr="005A284F" w:rsidRDefault="00000000">
      <w:pPr>
        <w:pStyle w:val="a3"/>
        <w:spacing w:before="0" w:beforeAutospacing="0" w:after="0" w:afterAutospacing="0" w:line="273" w:lineRule="auto"/>
        <w:ind w:firstLine="357"/>
        <w:jc w:val="both"/>
        <w:divId w:val="813445847"/>
        <w:rPr>
          <w:rFonts w:ascii="Times New Roman" w:hAnsi="Times New Roman" w:cs="Times New Roman"/>
        </w:rPr>
      </w:pPr>
      <w:r w:rsidRPr="005A284F">
        <w:rPr>
          <w:rFonts w:ascii="Times New Roman" w:hAnsi="Times New Roman" w:cs="Times New Roman"/>
          <w:sz w:val="18"/>
          <w:szCs w:val="18"/>
        </w:rPr>
        <w:t>长期应收款减值</w:t>
      </w:r>
    </w:p>
    <w:p w14:paraId="05DC680D" w14:textId="77777777" w:rsidR="000309B5" w:rsidRPr="005A284F" w:rsidRDefault="00000000">
      <w:pPr>
        <w:pStyle w:val="a3"/>
        <w:spacing w:before="0" w:beforeAutospacing="0" w:after="0" w:afterAutospacing="0" w:line="273" w:lineRule="auto"/>
        <w:ind w:firstLine="357"/>
        <w:jc w:val="both"/>
        <w:divId w:val="813445847"/>
        <w:rPr>
          <w:rFonts w:ascii="Times New Roman" w:hAnsi="Times New Roman" w:cs="Times New Roman"/>
        </w:rPr>
      </w:pPr>
      <w:r w:rsidRPr="005A284F">
        <w:rPr>
          <w:rFonts w:ascii="Times New Roman" w:hAnsi="Times New Roman" w:cs="Times New Roman"/>
          <w:sz w:val="18"/>
          <w:szCs w:val="18"/>
        </w:rPr>
        <w:t>对于由《企业会计准则第</w:t>
      </w:r>
      <w:r w:rsidRPr="005A284F">
        <w:rPr>
          <w:rFonts w:ascii="Times New Roman" w:hAnsi="Times New Roman" w:cs="Times New Roman"/>
          <w:sz w:val="18"/>
          <w:szCs w:val="18"/>
        </w:rPr>
        <w:t>14</w:t>
      </w:r>
      <w:r w:rsidRPr="005A284F">
        <w:rPr>
          <w:rFonts w:ascii="Times New Roman" w:hAnsi="Times New Roman" w:cs="Times New Roman"/>
          <w:sz w:val="18"/>
          <w:szCs w:val="18"/>
        </w:rPr>
        <w:t>号</w:t>
      </w:r>
      <w:r w:rsidRPr="005A284F">
        <w:rPr>
          <w:rFonts w:ascii="Times New Roman" w:hAnsi="Times New Roman" w:cs="Times New Roman"/>
          <w:sz w:val="18"/>
          <w:szCs w:val="18"/>
        </w:rPr>
        <w:t>——</w:t>
      </w:r>
      <w:r w:rsidRPr="005A284F">
        <w:rPr>
          <w:rFonts w:ascii="Times New Roman" w:hAnsi="Times New Roman" w:cs="Times New Roman"/>
          <w:sz w:val="18"/>
          <w:szCs w:val="18"/>
        </w:rPr>
        <w:t>收入》规范的交易形成的长期应收款，无论是否存在重大融资成分，本公司均按照整个存续期的预期信用损失计量损失准备。其他情形形成的长期应收款，则按照附注五、</w:t>
      </w:r>
      <w:r w:rsidRPr="005A284F">
        <w:rPr>
          <w:rFonts w:ascii="Times New Roman" w:hAnsi="Times New Roman" w:cs="Times New Roman"/>
          <w:sz w:val="18"/>
          <w:szCs w:val="18"/>
        </w:rPr>
        <w:t>11</w:t>
      </w:r>
      <w:r w:rsidRPr="005A284F">
        <w:rPr>
          <w:rFonts w:ascii="Times New Roman" w:hAnsi="Times New Roman" w:cs="Times New Roman"/>
          <w:sz w:val="18"/>
          <w:szCs w:val="18"/>
        </w:rPr>
        <w:t>、（</w:t>
      </w:r>
      <w:r w:rsidRPr="005A284F">
        <w:rPr>
          <w:rFonts w:ascii="Times New Roman" w:hAnsi="Times New Roman" w:cs="Times New Roman"/>
          <w:sz w:val="18"/>
          <w:szCs w:val="18"/>
        </w:rPr>
        <w:t>2</w:t>
      </w:r>
      <w:r w:rsidRPr="005A284F">
        <w:rPr>
          <w:rFonts w:ascii="Times New Roman" w:hAnsi="Times New Roman" w:cs="Times New Roman"/>
          <w:sz w:val="18"/>
          <w:szCs w:val="18"/>
        </w:rPr>
        <w:t>）减值准备的确认和计量中的描述确认和计量减值。</w:t>
      </w:r>
    </w:p>
    <w:p w14:paraId="73907025" w14:textId="77777777" w:rsidR="000309B5" w:rsidRPr="005A284F" w:rsidRDefault="00000000">
      <w:pPr>
        <w:pStyle w:val="a3"/>
        <w:spacing w:before="0" w:beforeAutospacing="0" w:after="0" w:afterAutospacing="0" w:line="273" w:lineRule="auto"/>
        <w:ind w:firstLine="357"/>
        <w:jc w:val="both"/>
        <w:divId w:val="813445847"/>
        <w:rPr>
          <w:rFonts w:ascii="Times New Roman" w:hAnsi="Times New Roman" w:cs="Times New Roman"/>
        </w:rPr>
      </w:pPr>
      <w:r w:rsidRPr="005A284F">
        <w:rPr>
          <w:rFonts w:ascii="Times New Roman" w:hAnsi="Times New Roman" w:cs="Times New Roman"/>
          <w:sz w:val="18"/>
          <w:szCs w:val="18"/>
        </w:rPr>
        <w:t>当单项长期应收款无法以合理成本评估预期信用损失的信息时，本公司依据信用风险特征将长期应收款划分为若干组合，在组合基础上计算预期信用损失，确定组合的依据如下：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7"/>
        <w:gridCol w:w="7910"/>
      </w:tblGrid>
      <w:tr w:rsidR="000309B5" w:rsidRPr="005A284F" w14:paraId="7BE05FDD" w14:textId="77777777" w:rsidTr="0078003E">
        <w:trPr>
          <w:divId w:val="813445847"/>
          <w:trHeight w:val="340"/>
        </w:trPr>
        <w:tc>
          <w:tcPr>
            <w:tcW w:w="902" w:type="pct"/>
            <w:tcMar>
              <w:top w:w="0" w:type="dxa"/>
              <w:left w:w="108" w:type="dxa"/>
              <w:bottom w:w="0" w:type="dxa"/>
              <w:right w:w="108" w:type="dxa"/>
            </w:tcMar>
            <w:vAlign w:val="center"/>
            <w:hideMark/>
          </w:tcPr>
          <w:p w14:paraId="072B28D7"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项目</w:t>
            </w:r>
          </w:p>
        </w:tc>
        <w:tc>
          <w:tcPr>
            <w:tcW w:w="4098" w:type="pct"/>
            <w:tcMar>
              <w:top w:w="0" w:type="dxa"/>
              <w:left w:w="108" w:type="dxa"/>
              <w:bottom w:w="0" w:type="dxa"/>
              <w:right w:w="108" w:type="dxa"/>
            </w:tcMar>
            <w:vAlign w:val="center"/>
            <w:hideMark/>
          </w:tcPr>
          <w:p w14:paraId="1DCA7B14" w14:textId="77777777" w:rsidR="000309B5" w:rsidRPr="005A284F" w:rsidRDefault="00000000">
            <w:pPr>
              <w:pStyle w:val="a3"/>
              <w:spacing w:before="0" w:beforeAutospacing="0" w:after="0" w:afterAutospacing="0" w:line="273" w:lineRule="auto"/>
              <w:ind w:firstLine="360"/>
              <w:jc w:val="center"/>
              <w:rPr>
                <w:rFonts w:ascii="Times New Roman" w:hAnsi="Times New Roman" w:cs="Times New Roman"/>
              </w:rPr>
            </w:pPr>
            <w:r w:rsidRPr="005A284F">
              <w:rPr>
                <w:rFonts w:ascii="Times New Roman" w:hAnsi="Times New Roman" w:cs="Times New Roman"/>
                <w:sz w:val="18"/>
                <w:szCs w:val="18"/>
              </w:rPr>
              <w:t>确定组合的依据</w:t>
            </w:r>
          </w:p>
        </w:tc>
      </w:tr>
      <w:tr w:rsidR="000309B5" w:rsidRPr="005A284F" w14:paraId="33149F1D" w14:textId="77777777" w:rsidTr="0078003E">
        <w:trPr>
          <w:divId w:val="813445847"/>
          <w:trHeight w:val="340"/>
        </w:trPr>
        <w:tc>
          <w:tcPr>
            <w:tcW w:w="902" w:type="pct"/>
            <w:noWrap/>
            <w:tcMar>
              <w:top w:w="0" w:type="dxa"/>
              <w:left w:w="108" w:type="dxa"/>
              <w:bottom w:w="0" w:type="dxa"/>
              <w:right w:w="108" w:type="dxa"/>
            </w:tcMar>
            <w:vAlign w:val="center"/>
            <w:hideMark/>
          </w:tcPr>
          <w:p w14:paraId="69CAAAED" w14:textId="77777777" w:rsidR="000309B5" w:rsidRPr="005A284F" w:rsidRDefault="00000000">
            <w:pPr>
              <w:pStyle w:val="a3"/>
              <w:spacing w:before="0" w:beforeAutospacing="0" w:after="0" w:afterAutospacing="0" w:line="273" w:lineRule="auto"/>
              <w:jc w:val="both"/>
              <w:rPr>
                <w:rFonts w:ascii="Times New Roman" w:hAnsi="Times New Roman" w:cs="Times New Roman"/>
              </w:rPr>
            </w:pPr>
            <w:r w:rsidRPr="005A284F">
              <w:rPr>
                <w:rFonts w:ascii="Times New Roman" w:hAnsi="Times New Roman" w:cs="Times New Roman"/>
                <w:sz w:val="18"/>
                <w:szCs w:val="18"/>
              </w:rPr>
              <w:t>组合</w:t>
            </w:r>
            <w:r w:rsidRPr="005A284F">
              <w:rPr>
                <w:rFonts w:ascii="Times New Roman" w:hAnsi="Times New Roman" w:cs="Times New Roman"/>
                <w:sz w:val="18"/>
                <w:szCs w:val="18"/>
              </w:rPr>
              <w:t>1</w:t>
            </w:r>
            <w:r w:rsidRPr="005A284F">
              <w:rPr>
                <w:rFonts w:ascii="Times New Roman" w:hAnsi="Times New Roman" w:cs="Times New Roman"/>
                <w:sz w:val="18"/>
                <w:szCs w:val="18"/>
              </w:rPr>
              <w:t>：应收合并范围内关联方款项组合</w:t>
            </w:r>
          </w:p>
        </w:tc>
        <w:tc>
          <w:tcPr>
            <w:tcW w:w="4098" w:type="pct"/>
            <w:noWrap/>
            <w:tcMar>
              <w:top w:w="0" w:type="dxa"/>
              <w:left w:w="108" w:type="dxa"/>
              <w:bottom w:w="0" w:type="dxa"/>
              <w:right w:w="108" w:type="dxa"/>
            </w:tcMar>
            <w:vAlign w:val="center"/>
            <w:hideMark/>
          </w:tcPr>
          <w:p w14:paraId="1F0C39DD" w14:textId="77777777" w:rsidR="000309B5" w:rsidRPr="005A284F" w:rsidRDefault="00000000">
            <w:pPr>
              <w:pStyle w:val="a3"/>
              <w:spacing w:before="0" w:beforeAutospacing="0" w:after="0" w:afterAutospacing="0" w:line="273" w:lineRule="auto"/>
              <w:jc w:val="both"/>
              <w:rPr>
                <w:rFonts w:ascii="Times New Roman" w:hAnsi="Times New Roman" w:cs="Times New Roman"/>
              </w:rPr>
            </w:pPr>
            <w:r w:rsidRPr="005A284F">
              <w:rPr>
                <w:rFonts w:ascii="Times New Roman" w:hAnsi="Times New Roman" w:cs="Times New Roman"/>
                <w:sz w:val="18"/>
                <w:szCs w:val="18"/>
              </w:rPr>
              <w:t>合并范围内各家单位之间的往来款项</w:t>
            </w:r>
          </w:p>
        </w:tc>
      </w:tr>
      <w:tr w:rsidR="000309B5" w:rsidRPr="005A284F" w14:paraId="4577074F" w14:textId="77777777" w:rsidTr="0078003E">
        <w:trPr>
          <w:divId w:val="813445847"/>
          <w:trHeight w:val="340"/>
        </w:trPr>
        <w:tc>
          <w:tcPr>
            <w:tcW w:w="902" w:type="pct"/>
            <w:noWrap/>
            <w:tcMar>
              <w:top w:w="0" w:type="dxa"/>
              <w:left w:w="108" w:type="dxa"/>
              <w:bottom w:w="0" w:type="dxa"/>
              <w:right w:w="108" w:type="dxa"/>
            </w:tcMar>
            <w:vAlign w:val="center"/>
            <w:hideMark/>
          </w:tcPr>
          <w:p w14:paraId="3928EE7B" w14:textId="77777777" w:rsidR="000309B5" w:rsidRPr="005A284F" w:rsidRDefault="00000000">
            <w:pPr>
              <w:pStyle w:val="a3"/>
              <w:spacing w:before="0" w:beforeAutospacing="0" w:after="0" w:afterAutospacing="0" w:line="273" w:lineRule="auto"/>
              <w:jc w:val="both"/>
              <w:rPr>
                <w:rFonts w:ascii="Times New Roman" w:hAnsi="Times New Roman" w:cs="Times New Roman"/>
              </w:rPr>
            </w:pPr>
            <w:r w:rsidRPr="005A284F">
              <w:rPr>
                <w:rFonts w:ascii="Times New Roman" w:hAnsi="Times New Roman" w:cs="Times New Roman"/>
                <w:sz w:val="18"/>
                <w:szCs w:val="18"/>
              </w:rPr>
              <w:t>组合</w:t>
            </w:r>
            <w:r w:rsidRPr="005A284F">
              <w:rPr>
                <w:rFonts w:ascii="Times New Roman" w:hAnsi="Times New Roman" w:cs="Times New Roman"/>
                <w:sz w:val="18"/>
                <w:szCs w:val="18"/>
              </w:rPr>
              <w:t>2</w:t>
            </w:r>
            <w:r w:rsidRPr="005A284F">
              <w:rPr>
                <w:rFonts w:ascii="Times New Roman" w:hAnsi="Times New Roman" w:cs="Times New Roman"/>
                <w:sz w:val="18"/>
                <w:szCs w:val="18"/>
              </w:rPr>
              <w:t>：账龄组合</w:t>
            </w:r>
          </w:p>
        </w:tc>
        <w:tc>
          <w:tcPr>
            <w:tcW w:w="4098" w:type="pct"/>
            <w:noWrap/>
            <w:tcMar>
              <w:top w:w="0" w:type="dxa"/>
              <w:left w:w="108" w:type="dxa"/>
              <w:bottom w:w="0" w:type="dxa"/>
              <w:right w:w="108" w:type="dxa"/>
            </w:tcMar>
            <w:vAlign w:val="center"/>
            <w:hideMark/>
          </w:tcPr>
          <w:p w14:paraId="7251C171" w14:textId="77777777" w:rsidR="000309B5" w:rsidRPr="005A284F" w:rsidRDefault="00000000">
            <w:pPr>
              <w:pStyle w:val="a3"/>
              <w:spacing w:before="0" w:beforeAutospacing="0" w:after="0" w:afterAutospacing="0" w:line="273" w:lineRule="auto"/>
              <w:jc w:val="both"/>
              <w:rPr>
                <w:rFonts w:ascii="Times New Roman" w:hAnsi="Times New Roman" w:cs="Times New Roman"/>
              </w:rPr>
            </w:pPr>
            <w:r w:rsidRPr="005A284F">
              <w:rPr>
                <w:rFonts w:ascii="Times New Roman" w:hAnsi="Times New Roman" w:cs="Times New Roman"/>
                <w:sz w:val="18"/>
                <w:szCs w:val="18"/>
              </w:rPr>
              <w:t>除上述组合外的其他组合，本组合以长期应收款的账龄作为信用风险特征。公司根据账龄段划分的具有类似信用风险特征的长期应收款组合的预期损失率为基础，结合现时情况分析法确定坏账准备计提的比例</w:t>
            </w:r>
          </w:p>
        </w:tc>
      </w:tr>
    </w:tbl>
    <w:p w14:paraId="026033E6" w14:textId="77777777" w:rsidR="000309B5" w:rsidRPr="005A284F" w:rsidRDefault="00000000" w:rsidP="00D15C4E">
      <w:pPr>
        <w:pStyle w:val="a3"/>
        <w:spacing w:before="0" w:beforeAutospacing="0" w:after="0" w:afterAutospacing="0" w:line="276" w:lineRule="auto"/>
        <w:ind w:firstLineChars="200" w:firstLine="360"/>
        <w:jc w:val="both"/>
        <w:divId w:val="813445847"/>
        <w:rPr>
          <w:rFonts w:ascii="Times New Roman" w:hAnsi="Times New Roman" w:cs="Times New Roman"/>
        </w:rPr>
      </w:pPr>
      <w:r w:rsidRPr="005A284F">
        <w:rPr>
          <w:rFonts w:ascii="Times New Roman" w:hAnsi="Times New Roman" w:cs="Times New Roman"/>
          <w:sz w:val="18"/>
          <w:szCs w:val="18"/>
        </w:rPr>
        <w:t>利得和损失</w:t>
      </w:r>
    </w:p>
    <w:p w14:paraId="3FB3BBFF" w14:textId="77777777" w:rsidR="000309B5" w:rsidRPr="005A284F" w:rsidRDefault="00000000" w:rsidP="00D15C4E">
      <w:pPr>
        <w:pStyle w:val="a3"/>
        <w:spacing w:before="0" w:beforeAutospacing="0" w:after="0" w:afterAutospacing="0" w:line="276" w:lineRule="auto"/>
        <w:ind w:firstLineChars="200" w:firstLine="360"/>
        <w:jc w:val="both"/>
        <w:divId w:val="813445847"/>
        <w:rPr>
          <w:rFonts w:ascii="Times New Roman" w:hAnsi="Times New Roman" w:cs="Times New Roman"/>
        </w:rPr>
      </w:pPr>
      <w:r w:rsidRPr="005A284F">
        <w:rPr>
          <w:rFonts w:ascii="Times New Roman" w:hAnsi="Times New Roman" w:cs="Times New Roman"/>
          <w:sz w:val="18"/>
          <w:szCs w:val="18"/>
        </w:rPr>
        <w:t>本公司将以公允价值计量的金融资产或金融负债的利得或损失计入当期损益，除非该金融资产或金融负债属于下列情形之一：</w:t>
      </w:r>
    </w:p>
    <w:p w14:paraId="6D3FFD61" w14:textId="77777777" w:rsidR="000309B5" w:rsidRPr="005A284F" w:rsidRDefault="00000000" w:rsidP="00D15C4E">
      <w:pPr>
        <w:pStyle w:val="a3"/>
        <w:spacing w:before="0" w:beforeAutospacing="0" w:after="0" w:afterAutospacing="0" w:line="276" w:lineRule="auto"/>
        <w:ind w:firstLineChars="200" w:firstLine="360"/>
        <w:jc w:val="both"/>
        <w:divId w:val="813445847"/>
        <w:rPr>
          <w:rFonts w:ascii="Times New Roman" w:hAnsi="Times New Roman" w:cs="Times New Roman"/>
        </w:rPr>
      </w:pPr>
      <w:r w:rsidRPr="005A284F">
        <w:rPr>
          <w:rFonts w:ascii="Times New Roman" w:hAnsi="Times New Roman" w:cs="Times New Roman"/>
          <w:sz w:val="18"/>
          <w:szCs w:val="18"/>
        </w:rPr>
        <w:t>1</w:t>
      </w:r>
      <w:r w:rsidRPr="005A284F">
        <w:rPr>
          <w:rFonts w:ascii="Times New Roman" w:hAnsi="Times New Roman" w:cs="Times New Roman"/>
          <w:sz w:val="18"/>
          <w:szCs w:val="18"/>
        </w:rPr>
        <w:t>）属于《企业会计准则第</w:t>
      </w:r>
      <w:r w:rsidRPr="005A284F">
        <w:rPr>
          <w:rFonts w:ascii="Times New Roman" w:hAnsi="Times New Roman" w:cs="Times New Roman"/>
          <w:sz w:val="18"/>
          <w:szCs w:val="18"/>
        </w:rPr>
        <w:t>24</w:t>
      </w:r>
      <w:r w:rsidRPr="005A284F">
        <w:rPr>
          <w:rFonts w:ascii="Times New Roman" w:hAnsi="Times New Roman" w:cs="Times New Roman"/>
          <w:sz w:val="18"/>
          <w:szCs w:val="18"/>
        </w:rPr>
        <w:t>号</w:t>
      </w:r>
      <w:r w:rsidRPr="005A284F">
        <w:rPr>
          <w:rFonts w:ascii="Times New Roman" w:hAnsi="Times New Roman" w:cs="Times New Roman"/>
          <w:sz w:val="18"/>
          <w:szCs w:val="18"/>
        </w:rPr>
        <w:t>——</w:t>
      </w:r>
      <w:r w:rsidRPr="005A284F">
        <w:rPr>
          <w:rFonts w:ascii="Times New Roman" w:hAnsi="Times New Roman" w:cs="Times New Roman"/>
          <w:sz w:val="18"/>
          <w:szCs w:val="18"/>
        </w:rPr>
        <w:t>套期会计》规定的套期关系的一部分。</w:t>
      </w:r>
    </w:p>
    <w:p w14:paraId="4AE8579E" w14:textId="77777777" w:rsidR="000309B5" w:rsidRPr="005A284F" w:rsidRDefault="00000000" w:rsidP="00D15C4E">
      <w:pPr>
        <w:pStyle w:val="a3"/>
        <w:spacing w:before="0" w:beforeAutospacing="0" w:after="0" w:afterAutospacing="0" w:line="276" w:lineRule="auto"/>
        <w:ind w:firstLineChars="200" w:firstLine="360"/>
        <w:jc w:val="both"/>
        <w:divId w:val="813445847"/>
        <w:rPr>
          <w:rFonts w:ascii="Times New Roman" w:hAnsi="Times New Roman" w:cs="Times New Roman"/>
        </w:rPr>
      </w:pPr>
      <w:r w:rsidRPr="005A284F">
        <w:rPr>
          <w:rFonts w:ascii="Times New Roman" w:hAnsi="Times New Roman" w:cs="Times New Roman"/>
          <w:sz w:val="18"/>
          <w:szCs w:val="18"/>
        </w:rPr>
        <w:t>2</w:t>
      </w:r>
      <w:r w:rsidRPr="005A284F">
        <w:rPr>
          <w:rFonts w:ascii="Times New Roman" w:hAnsi="Times New Roman" w:cs="Times New Roman"/>
          <w:sz w:val="18"/>
          <w:szCs w:val="18"/>
        </w:rPr>
        <w:t>）是一项对非交易性权益工具的投资，且本公司将其指定为以公允价值计量且其变动计入其他综合收益的金融资产。</w:t>
      </w:r>
    </w:p>
    <w:p w14:paraId="4E761918" w14:textId="77777777" w:rsidR="000309B5" w:rsidRPr="005A284F" w:rsidRDefault="00000000" w:rsidP="00D15C4E">
      <w:pPr>
        <w:pStyle w:val="a3"/>
        <w:spacing w:before="0" w:beforeAutospacing="0" w:after="0" w:afterAutospacing="0" w:line="276" w:lineRule="auto"/>
        <w:ind w:firstLineChars="200" w:firstLine="360"/>
        <w:jc w:val="both"/>
        <w:divId w:val="813445847"/>
        <w:rPr>
          <w:rFonts w:ascii="Times New Roman" w:hAnsi="Times New Roman" w:cs="Times New Roman"/>
        </w:rPr>
      </w:pPr>
      <w:r w:rsidRPr="005A284F">
        <w:rPr>
          <w:rFonts w:ascii="Times New Roman" w:hAnsi="Times New Roman" w:cs="Times New Roman"/>
          <w:sz w:val="18"/>
          <w:szCs w:val="18"/>
        </w:rPr>
        <w:t>3</w:t>
      </w:r>
      <w:r w:rsidRPr="005A284F">
        <w:rPr>
          <w:rFonts w:ascii="Times New Roman" w:hAnsi="Times New Roman" w:cs="Times New Roman"/>
          <w:sz w:val="18"/>
          <w:szCs w:val="18"/>
        </w:rPr>
        <w:t>）是一项被指定为以公允价值计量且其变动计入当期损益的金融负债，该负债由本公司自身信用风险变动引起的其公允价值变动应当计入其他综合收益。</w:t>
      </w:r>
    </w:p>
    <w:p w14:paraId="23AD9F9D" w14:textId="77777777" w:rsidR="000309B5" w:rsidRPr="005A284F" w:rsidRDefault="00000000" w:rsidP="00D15C4E">
      <w:pPr>
        <w:pStyle w:val="a3"/>
        <w:spacing w:before="0" w:beforeAutospacing="0" w:after="0" w:afterAutospacing="0" w:line="276" w:lineRule="auto"/>
        <w:ind w:firstLineChars="200" w:firstLine="360"/>
        <w:jc w:val="both"/>
        <w:divId w:val="813445847"/>
        <w:rPr>
          <w:rFonts w:ascii="Times New Roman" w:hAnsi="Times New Roman" w:cs="Times New Roman"/>
        </w:rPr>
      </w:pPr>
      <w:r w:rsidRPr="005A284F">
        <w:rPr>
          <w:rFonts w:ascii="Times New Roman" w:hAnsi="Times New Roman" w:cs="Times New Roman"/>
          <w:sz w:val="18"/>
          <w:szCs w:val="18"/>
        </w:rPr>
        <w:t>4</w:t>
      </w:r>
      <w:r w:rsidRPr="005A284F">
        <w:rPr>
          <w:rFonts w:ascii="Times New Roman" w:hAnsi="Times New Roman" w:cs="Times New Roman"/>
          <w:sz w:val="18"/>
          <w:szCs w:val="18"/>
        </w:rPr>
        <w:t>）是一项分类为以公允价值计量且其变动计入其他综合收益的金融资产（债务工具投资），其减值损失或利得和汇兑损益之外的公允价值变动计入其他综合收益。</w:t>
      </w:r>
    </w:p>
    <w:p w14:paraId="56D1011B" w14:textId="77777777" w:rsidR="000309B5" w:rsidRPr="005A284F" w:rsidRDefault="00000000" w:rsidP="00D15C4E">
      <w:pPr>
        <w:pStyle w:val="a3"/>
        <w:spacing w:before="0" w:beforeAutospacing="0" w:after="0" w:afterAutospacing="0" w:line="276" w:lineRule="auto"/>
        <w:ind w:firstLineChars="200" w:firstLine="360"/>
        <w:jc w:val="both"/>
        <w:divId w:val="813445847"/>
        <w:rPr>
          <w:rFonts w:ascii="Times New Roman" w:hAnsi="Times New Roman" w:cs="Times New Roman"/>
        </w:rPr>
      </w:pPr>
      <w:r w:rsidRPr="005A284F">
        <w:rPr>
          <w:rFonts w:ascii="Times New Roman" w:hAnsi="Times New Roman" w:cs="Times New Roman"/>
          <w:sz w:val="18"/>
          <w:szCs w:val="18"/>
        </w:rPr>
        <w:t>本公司只有在同时符合下列条件时，才能确认股利收入并计入当期损益：</w:t>
      </w:r>
    </w:p>
    <w:p w14:paraId="2B24560E" w14:textId="77777777" w:rsidR="000309B5" w:rsidRPr="005A284F" w:rsidRDefault="00000000" w:rsidP="00D15C4E">
      <w:pPr>
        <w:pStyle w:val="a3"/>
        <w:spacing w:before="0" w:beforeAutospacing="0" w:after="0" w:afterAutospacing="0" w:line="276" w:lineRule="auto"/>
        <w:ind w:firstLineChars="200" w:firstLine="360"/>
        <w:jc w:val="both"/>
        <w:divId w:val="813445847"/>
        <w:rPr>
          <w:rFonts w:ascii="Times New Roman" w:hAnsi="Times New Roman" w:cs="Times New Roman"/>
        </w:rPr>
      </w:pPr>
      <w:r w:rsidRPr="005A284F">
        <w:rPr>
          <w:rFonts w:ascii="Times New Roman" w:hAnsi="Times New Roman" w:cs="Times New Roman"/>
          <w:sz w:val="18"/>
          <w:szCs w:val="18"/>
        </w:rPr>
        <w:t>1</w:t>
      </w:r>
      <w:r w:rsidRPr="005A284F">
        <w:rPr>
          <w:rFonts w:ascii="Times New Roman" w:hAnsi="Times New Roman" w:cs="Times New Roman"/>
          <w:sz w:val="18"/>
          <w:szCs w:val="18"/>
        </w:rPr>
        <w:t>）本公司收取股利的权利已经确立；</w:t>
      </w:r>
    </w:p>
    <w:p w14:paraId="2C062A7C" w14:textId="77777777" w:rsidR="000309B5" w:rsidRPr="005A284F" w:rsidRDefault="00000000" w:rsidP="00D15C4E">
      <w:pPr>
        <w:pStyle w:val="a3"/>
        <w:spacing w:before="0" w:beforeAutospacing="0" w:after="0" w:afterAutospacing="0" w:line="276" w:lineRule="auto"/>
        <w:ind w:firstLineChars="200" w:firstLine="360"/>
        <w:jc w:val="both"/>
        <w:divId w:val="813445847"/>
        <w:rPr>
          <w:rFonts w:ascii="Times New Roman" w:hAnsi="Times New Roman" w:cs="Times New Roman"/>
        </w:rPr>
      </w:pPr>
      <w:r w:rsidRPr="005A284F">
        <w:rPr>
          <w:rFonts w:ascii="Times New Roman" w:hAnsi="Times New Roman" w:cs="Times New Roman"/>
          <w:sz w:val="18"/>
          <w:szCs w:val="18"/>
        </w:rPr>
        <w:t>2</w:t>
      </w:r>
      <w:r w:rsidRPr="005A284F">
        <w:rPr>
          <w:rFonts w:ascii="Times New Roman" w:hAnsi="Times New Roman" w:cs="Times New Roman"/>
          <w:sz w:val="18"/>
          <w:szCs w:val="18"/>
        </w:rPr>
        <w:t>）与股利相关的经济利益很可能流入本公司；</w:t>
      </w:r>
    </w:p>
    <w:p w14:paraId="039890E5" w14:textId="77777777" w:rsidR="000309B5" w:rsidRPr="005A284F" w:rsidRDefault="00000000" w:rsidP="00D15C4E">
      <w:pPr>
        <w:pStyle w:val="a3"/>
        <w:spacing w:before="0" w:beforeAutospacing="0" w:after="0" w:afterAutospacing="0" w:line="276" w:lineRule="auto"/>
        <w:ind w:firstLineChars="200" w:firstLine="360"/>
        <w:jc w:val="both"/>
        <w:divId w:val="813445847"/>
        <w:rPr>
          <w:rFonts w:ascii="Times New Roman" w:hAnsi="Times New Roman" w:cs="Times New Roman"/>
        </w:rPr>
      </w:pPr>
      <w:r w:rsidRPr="005A284F">
        <w:rPr>
          <w:rFonts w:ascii="Times New Roman" w:hAnsi="Times New Roman" w:cs="Times New Roman"/>
          <w:sz w:val="18"/>
          <w:szCs w:val="18"/>
        </w:rPr>
        <w:t>3</w:t>
      </w:r>
      <w:r w:rsidRPr="005A284F">
        <w:rPr>
          <w:rFonts w:ascii="Times New Roman" w:hAnsi="Times New Roman" w:cs="Times New Roman"/>
          <w:sz w:val="18"/>
          <w:szCs w:val="18"/>
        </w:rPr>
        <w:t>）股利的金额能够可靠计量。</w:t>
      </w:r>
    </w:p>
    <w:p w14:paraId="0EFB5D5D" w14:textId="77777777" w:rsidR="000309B5" w:rsidRPr="005A284F" w:rsidRDefault="00000000" w:rsidP="00D15C4E">
      <w:pPr>
        <w:pStyle w:val="a3"/>
        <w:spacing w:before="0" w:beforeAutospacing="0" w:after="0" w:afterAutospacing="0" w:line="276" w:lineRule="auto"/>
        <w:ind w:firstLineChars="200" w:firstLine="360"/>
        <w:jc w:val="both"/>
        <w:divId w:val="813445847"/>
        <w:rPr>
          <w:rFonts w:ascii="Times New Roman" w:hAnsi="Times New Roman" w:cs="Times New Roman"/>
        </w:rPr>
      </w:pPr>
      <w:r w:rsidRPr="005A284F">
        <w:rPr>
          <w:rFonts w:ascii="Times New Roman" w:hAnsi="Times New Roman" w:cs="Times New Roman"/>
          <w:sz w:val="18"/>
          <w:szCs w:val="18"/>
        </w:rPr>
        <w:t>以摊余成本计量且不属于任何套期关系的一部分的金融资产所产生的利得或损失，在终止确认、按照本项重分类、按照实际利率法摊销或确认减值时，计入当期损益。本公司将一项以摊余成本计量的金融资产重分类为以公允价值计量且其变动计入当期损益的金融资产的，按照该资产在重分类日的公允价值进行计量。原账面价值与公允价值之间的差额计入当期损益。将一项以摊余成本计量的金融资产重分类为以公允价值计量且其变动计入其他综合收益的金融资产的，按照该金融资产在重分类日的公允价值进行计量。原账面价值与公允价值之间的差额计入其他综合收益。以摊余成本计量且不属于任何套期关系的一部分的金融负债所产生的利得或损失，在终止确认时计入当期损益或在按照实际利率法摊销时计入相关期间损益。</w:t>
      </w:r>
    </w:p>
    <w:p w14:paraId="5C3966CA" w14:textId="77777777" w:rsidR="000309B5" w:rsidRPr="005A284F" w:rsidRDefault="00000000" w:rsidP="00D15C4E">
      <w:pPr>
        <w:pStyle w:val="a3"/>
        <w:spacing w:before="0" w:beforeAutospacing="0" w:after="0" w:afterAutospacing="0" w:line="276" w:lineRule="auto"/>
        <w:ind w:firstLineChars="200" w:firstLine="360"/>
        <w:jc w:val="both"/>
        <w:divId w:val="813445847"/>
        <w:rPr>
          <w:rFonts w:ascii="Times New Roman" w:hAnsi="Times New Roman" w:cs="Times New Roman"/>
        </w:rPr>
      </w:pPr>
      <w:r w:rsidRPr="005A284F">
        <w:rPr>
          <w:rFonts w:ascii="Times New Roman" w:hAnsi="Times New Roman" w:cs="Times New Roman"/>
          <w:sz w:val="18"/>
          <w:szCs w:val="18"/>
        </w:rPr>
        <w:t>对于本公司将金融负债指定为以公允价值计量且其变动计入当期损益的金融负债，该金融负债所产生的利得或损失按照下列规定进行处理：</w:t>
      </w:r>
    </w:p>
    <w:p w14:paraId="21294174" w14:textId="77777777" w:rsidR="000309B5" w:rsidRPr="005A284F" w:rsidRDefault="00000000" w:rsidP="00D15C4E">
      <w:pPr>
        <w:pStyle w:val="a3"/>
        <w:spacing w:before="0" w:beforeAutospacing="0" w:after="0" w:afterAutospacing="0" w:line="276" w:lineRule="auto"/>
        <w:ind w:firstLineChars="200" w:firstLine="360"/>
        <w:jc w:val="both"/>
        <w:divId w:val="813445847"/>
        <w:rPr>
          <w:rFonts w:ascii="Times New Roman" w:hAnsi="Times New Roman" w:cs="Times New Roman"/>
        </w:rPr>
      </w:pPr>
      <w:r w:rsidRPr="005A284F">
        <w:rPr>
          <w:rFonts w:ascii="Times New Roman" w:hAnsi="Times New Roman" w:cs="Times New Roman"/>
          <w:sz w:val="18"/>
          <w:szCs w:val="18"/>
        </w:rPr>
        <w:t>1</w:t>
      </w:r>
      <w:r w:rsidRPr="005A284F">
        <w:rPr>
          <w:rFonts w:ascii="Times New Roman" w:hAnsi="Times New Roman" w:cs="Times New Roman"/>
          <w:sz w:val="18"/>
          <w:szCs w:val="18"/>
        </w:rPr>
        <w:t>）由本公司自身信用风险变动引起的该金融负债公允价值的变动金额，计入其他综合收益；</w:t>
      </w:r>
    </w:p>
    <w:p w14:paraId="46C0D276" w14:textId="77777777" w:rsidR="000309B5" w:rsidRPr="005A284F" w:rsidRDefault="00000000" w:rsidP="00D15C4E">
      <w:pPr>
        <w:pStyle w:val="a3"/>
        <w:spacing w:before="0" w:beforeAutospacing="0" w:after="0" w:afterAutospacing="0" w:line="276" w:lineRule="auto"/>
        <w:ind w:firstLineChars="200" w:firstLine="360"/>
        <w:jc w:val="both"/>
        <w:divId w:val="813445847"/>
        <w:rPr>
          <w:rFonts w:ascii="Times New Roman" w:hAnsi="Times New Roman" w:cs="Times New Roman"/>
        </w:rPr>
      </w:pPr>
      <w:r w:rsidRPr="005A284F">
        <w:rPr>
          <w:rFonts w:ascii="Times New Roman" w:hAnsi="Times New Roman" w:cs="Times New Roman"/>
          <w:sz w:val="18"/>
          <w:szCs w:val="18"/>
        </w:rPr>
        <w:t>2</w:t>
      </w:r>
      <w:r w:rsidRPr="005A284F">
        <w:rPr>
          <w:rFonts w:ascii="Times New Roman" w:hAnsi="Times New Roman" w:cs="Times New Roman"/>
          <w:sz w:val="18"/>
          <w:szCs w:val="18"/>
        </w:rPr>
        <w:t>）该金融负债的其他公允价值变动计入当期损益。</w:t>
      </w:r>
    </w:p>
    <w:p w14:paraId="6E56D21B" w14:textId="77777777" w:rsidR="000309B5" w:rsidRPr="005A284F" w:rsidRDefault="00000000" w:rsidP="00D15C4E">
      <w:pPr>
        <w:pStyle w:val="a3"/>
        <w:spacing w:before="0" w:beforeAutospacing="0" w:after="0" w:afterAutospacing="0" w:line="276" w:lineRule="auto"/>
        <w:ind w:firstLineChars="200" w:firstLine="360"/>
        <w:jc w:val="both"/>
        <w:divId w:val="813445847"/>
        <w:rPr>
          <w:rFonts w:ascii="Times New Roman" w:hAnsi="Times New Roman" w:cs="Times New Roman"/>
        </w:rPr>
      </w:pPr>
      <w:r w:rsidRPr="005A284F">
        <w:rPr>
          <w:rFonts w:ascii="Times New Roman" w:hAnsi="Times New Roman" w:cs="Times New Roman"/>
          <w:sz w:val="18"/>
          <w:szCs w:val="18"/>
        </w:rPr>
        <w:lastRenderedPageBreak/>
        <w:t>按照本条第</w:t>
      </w:r>
      <w:r w:rsidRPr="005A284F">
        <w:rPr>
          <w:rFonts w:ascii="Times New Roman" w:hAnsi="Times New Roman" w:cs="Times New Roman"/>
          <w:sz w:val="18"/>
          <w:szCs w:val="18"/>
        </w:rPr>
        <w:t>1</w:t>
      </w:r>
      <w:r w:rsidRPr="005A284F">
        <w:rPr>
          <w:rFonts w:ascii="Times New Roman" w:hAnsi="Times New Roman" w:cs="Times New Roman"/>
          <w:sz w:val="18"/>
          <w:szCs w:val="18"/>
        </w:rPr>
        <w:t>）规定对该金融负债的自身信用风险变动的影响进行处理会造成或扩大损益中的会计错配的，本公司将该金融负债的全部利得或损失（包括本公司自身信用风险变动的影响金额）计入当期损益。该金融负债终止确认时，之前计入其他综合收益的累计利得或损失应当从其他综合收益中转出，计入留存收益。</w:t>
      </w:r>
    </w:p>
    <w:p w14:paraId="13C73C77" w14:textId="77777777" w:rsidR="000309B5" w:rsidRPr="005A284F" w:rsidRDefault="00000000" w:rsidP="00D15C4E">
      <w:pPr>
        <w:pStyle w:val="a3"/>
        <w:spacing w:before="0" w:beforeAutospacing="0" w:after="0" w:afterAutospacing="0" w:line="276" w:lineRule="auto"/>
        <w:ind w:firstLineChars="200" w:firstLine="360"/>
        <w:jc w:val="both"/>
        <w:divId w:val="813445847"/>
        <w:rPr>
          <w:rFonts w:ascii="Times New Roman" w:hAnsi="Times New Roman" w:cs="Times New Roman"/>
        </w:rPr>
      </w:pPr>
      <w:r w:rsidRPr="005A284F">
        <w:rPr>
          <w:rFonts w:ascii="Times New Roman" w:hAnsi="Times New Roman" w:cs="Times New Roman"/>
          <w:sz w:val="18"/>
          <w:szCs w:val="18"/>
        </w:rPr>
        <w:t>本公司将非交易性权益工具投资指定为以公允价值计量且其变动计入其他综合收益的金融资产的，当该金融资产终止确认时，之前计入其他综合收益的累计利得或损失从其他综合收益中转出，计入留存收益。</w:t>
      </w:r>
    </w:p>
    <w:p w14:paraId="5D674F03" w14:textId="77777777" w:rsidR="000309B5" w:rsidRPr="005A284F" w:rsidRDefault="00000000" w:rsidP="00D15C4E">
      <w:pPr>
        <w:pStyle w:val="a3"/>
        <w:spacing w:before="0" w:beforeAutospacing="0" w:after="0" w:afterAutospacing="0" w:line="276" w:lineRule="auto"/>
        <w:ind w:firstLineChars="200" w:firstLine="360"/>
        <w:jc w:val="both"/>
        <w:divId w:val="813445847"/>
        <w:rPr>
          <w:rFonts w:ascii="Times New Roman" w:hAnsi="Times New Roman" w:cs="Times New Roman"/>
        </w:rPr>
      </w:pPr>
      <w:r w:rsidRPr="005A284F">
        <w:rPr>
          <w:rFonts w:ascii="Times New Roman" w:hAnsi="Times New Roman" w:cs="Times New Roman"/>
          <w:sz w:val="18"/>
          <w:szCs w:val="18"/>
        </w:rPr>
        <w:t>分类为以公允价值计量且其变动计入其他综合收益的金融资产所产生的所有利得或损失（债务工具投资），除减值损失或利得和汇兑损益之外，均计入其他综合收益，直至该金融资产终止确认或被重分类。但是，采用实际利率法计算的该金融资产的利息计入当期损益。该金融资产终止确认时，之前计入其他综合收益的累计利得或损失应当从其他综合收益中转出，计入当期损益。本公司将该金融资产重分类为其他类别金融资产的，对之前计入其他综合收益的累计利得或损失转出，调整该金融资产在重分类日的公允价值，并以调整后的金额作为新的账面价值。</w:t>
      </w:r>
    </w:p>
    <w:p w14:paraId="5F4EFF41" w14:textId="77777777" w:rsidR="000309B5" w:rsidRPr="005A284F" w:rsidRDefault="00000000" w:rsidP="00D15C4E">
      <w:pPr>
        <w:pStyle w:val="a3"/>
        <w:spacing w:before="0" w:beforeAutospacing="0" w:after="0" w:afterAutospacing="0" w:line="276" w:lineRule="auto"/>
        <w:ind w:firstLineChars="200" w:firstLine="360"/>
        <w:jc w:val="both"/>
        <w:divId w:val="813445847"/>
        <w:rPr>
          <w:rFonts w:ascii="Times New Roman" w:hAnsi="Times New Roman" w:cs="Times New Roman"/>
        </w:rPr>
      </w:pPr>
      <w:r w:rsidRPr="005A284F">
        <w:rPr>
          <w:rFonts w:ascii="Times New Roman" w:hAnsi="Times New Roman" w:cs="Times New Roman"/>
          <w:sz w:val="18"/>
          <w:szCs w:val="18"/>
        </w:rPr>
        <w:t>报表列示</w:t>
      </w:r>
    </w:p>
    <w:p w14:paraId="74A3404B" w14:textId="77777777" w:rsidR="000309B5" w:rsidRPr="005A284F" w:rsidRDefault="00000000" w:rsidP="00D15C4E">
      <w:pPr>
        <w:pStyle w:val="a3"/>
        <w:spacing w:before="0" w:beforeAutospacing="0" w:after="0" w:afterAutospacing="0" w:line="276" w:lineRule="auto"/>
        <w:ind w:firstLineChars="200" w:firstLine="360"/>
        <w:jc w:val="both"/>
        <w:divId w:val="813445847"/>
        <w:rPr>
          <w:rFonts w:ascii="Times New Roman" w:hAnsi="Times New Roman" w:cs="Times New Roman"/>
        </w:rPr>
      </w:pPr>
      <w:r w:rsidRPr="005A284F">
        <w:rPr>
          <w:rFonts w:ascii="Times New Roman" w:hAnsi="Times New Roman" w:cs="Times New Roman"/>
          <w:sz w:val="18"/>
          <w:szCs w:val="18"/>
        </w:rPr>
        <w:t>本公司将分类为以公允价值计量且其变动计入当期损益的金融资产，在</w:t>
      </w:r>
      <w:r w:rsidRPr="005A284F">
        <w:rPr>
          <w:rFonts w:ascii="Times New Roman" w:hAnsi="Times New Roman" w:cs="Times New Roman"/>
          <w:sz w:val="18"/>
          <w:szCs w:val="18"/>
        </w:rPr>
        <w:t>“</w:t>
      </w:r>
      <w:r w:rsidRPr="005A284F">
        <w:rPr>
          <w:rFonts w:ascii="Times New Roman" w:hAnsi="Times New Roman" w:cs="Times New Roman"/>
          <w:sz w:val="18"/>
          <w:szCs w:val="18"/>
        </w:rPr>
        <w:t>交易性金融资产</w:t>
      </w:r>
      <w:r w:rsidRPr="005A284F">
        <w:rPr>
          <w:rFonts w:ascii="Times New Roman" w:hAnsi="Times New Roman" w:cs="Times New Roman"/>
          <w:sz w:val="18"/>
          <w:szCs w:val="18"/>
        </w:rPr>
        <w:t>”</w:t>
      </w:r>
      <w:r w:rsidRPr="005A284F">
        <w:rPr>
          <w:rFonts w:ascii="Times New Roman" w:hAnsi="Times New Roman" w:cs="Times New Roman"/>
          <w:sz w:val="18"/>
          <w:szCs w:val="18"/>
        </w:rPr>
        <w:t>科目中列示。自资产负债表日起超过一年到期且预期持有超过一年的以公允价值计量且其变动计入当期损益的非流动金融资产，在</w:t>
      </w:r>
      <w:r w:rsidRPr="005A284F">
        <w:rPr>
          <w:rFonts w:ascii="Times New Roman" w:hAnsi="Times New Roman" w:cs="Times New Roman"/>
          <w:sz w:val="18"/>
          <w:szCs w:val="18"/>
        </w:rPr>
        <w:t>“</w:t>
      </w:r>
      <w:r w:rsidRPr="005A284F">
        <w:rPr>
          <w:rFonts w:ascii="Times New Roman" w:hAnsi="Times New Roman" w:cs="Times New Roman"/>
          <w:sz w:val="18"/>
          <w:szCs w:val="18"/>
        </w:rPr>
        <w:t>其他非流动金融资产</w:t>
      </w:r>
      <w:r w:rsidRPr="005A284F">
        <w:rPr>
          <w:rFonts w:ascii="Times New Roman" w:hAnsi="Times New Roman" w:cs="Times New Roman"/>
          <w:sz w:val="18"/>
          <w:szCs w:val="18"/>
        </w:rPr>
        <w:t>”</w:t>
      </w:r>
      <w:r w:rsidRPr="005A284F">
        <w:rPr>
          <w:rFonts w:ascii="Times New Roman" w:hAnsi="Times New Roman" w:cs="Times New Roman"/>
          <w:sz w:val="18"/>
          <w:szCs w:val="18"/>
        </w:rPr>
        <w:t>科目列示。</w:t>
      </w:r>
    </w:p>
    <w:p w14:paraId="35E67BBA" w14:textId="77777777" w:rsidR="000309B5" w:rsidRPr="005A284F" w:rsidRDefault="00000000" w:rsidP="00D15C4E">
      <w:pPr>
        <w:pStyle w:val="a3"/>
        <w:spacing w:before="0" w:beforeAutospacing="0" w:after="0" w:afterAutospacing="0" w:line="276" w:lineRule="auto"/>
        <w:ind w:firstLineChars="200" w:firstLine="360"/>
        <w:jc w:val="both"/>
        <w:divId w:val="813445847"/>
        <w:rPr>
          <w:rFonts w:ascii="Times New Roman" w:hAnsi="Times New Roman" w:cs="Times New Roman"/>
        </w:rPr>
      </w:pPr>
      <w:r w:rsidRPr="005A284F">
        <w:rPr>
          <w:rFonts w:ascii="Times New Roman" w:hAnsi="Times New Roman" w:cs="Times New Roman"/>
          <w:sz w:val="18"/>
          <w:szCs w:val="18"/>
        </w:rPr>
        <w:t>本公司将分类为以摊余成本计量的长期债权投资，在</w:t>
      </w:r>
      <w:r w:rsidRPr="005A284F">
        <w:rPr>
          <w:rFonts w:ascii="Times New Roman" w:hAnsi="Times New Roman" w:cs="Times New Roman"/>
          <w:sz w:val="18"/>
          <w:szCs w:val="18"/>
        </w:rPr>
        <w:t>“</w:t>
      </w:r>
      <w:r w:rsidRPr="005A284F">
        <w:rPr>
          <w:rFonts w:ascii="Times New Roman" w:hAnsi="Times New Roman" w:cs="Times New Roman"/>
          <w:sz w:val="18"/>
          <w:szCs w:val="18"/>
        </w:rPr>
        <w:t>债权投资</w:t>
      </w:r>
      <w:r w:rsidRPr="005A284F">
        <w:rPr>
          <w:rFonts w:ascii="Times New Roman" w:hAnsi="Times New Roman" w:cs="Times New Roman"/>
          <w:sz w:val="18"/>
          <w:szCs w:val="18"/>
        </w:rPr>
        <w:t>”</w:t>
      </w:r>
      <w:r w:rsidRPr="005A284F">
        <w:rPr>
          <w:rFonts w:ascii="Times New Roman" w:hAnsi="Times New Roman" w:cs="Times New Roman"/>
          <w:sz w:val="18"/>
          <w:szCs w:val="18"/>
        </w:rPr>
        <w:t>科目中列示。自资产负债表日起一年内到期的长期债权投资，在</w:t>
      </w:r>
      <w:r w:rsidRPr="005A284F">
        <w:rPr>
          <w:rFonts w:ascii="Times New Roman" w:hAnsi="Times New Roman" w:cs="Times New Roman"/>
          <w:sz w:val="18"/>
          <w:szCs w:val="18"/>
        </w:rPr>
        <w:t>“</w:t>
      </w:r>
      <w:r w:rsidRPr="005A284F">
        <w:rPr>
          <w:rFonts w:ascii="Times New Roman" w:hAnsi="Times New Roman" w:cs="Times New Roman"/>
          <w:sz w:val="18"/>
          <w:szCs w:val="18"/>
        </w:rPr>
        <w:t>一年内到期的非流动资产</w:t>
      </w:r>
      <w:r w:rsidRPr="005A284F">
        <w:rPr>
          <w:rFonts w:ascii="Times New Roman" w:hAnsi="Times New Roman" w:cs="Times New Roman"/>
          <w:sz w:val="18"/>
          <w:szCs w:val="18"/>
        </w:rPr>
        <w:t>”</w:t>
      </w:r>
      <w:r w:rsidRPr="005A284F">
        <w:rPr>
          <w:rFonts w:ascii="Times New Roman" w:hAnsi="Times New Roman" w:cs="Times New Roman"/>
          <w:sz w:val="18"/>
          <w:szCs w:val="18"/>
        </w:rPr>
        <w:t>科目列示。本公司购入的以摊余成本计量的一年内到期的债权投资，在</w:t>
      </w:r>
      <w:r w:rsidRPr="005A284F">
        <w:rPr>
          <w:rFonts w:ascii="Times New Roman" w:hAnsi="Times New Roman" w:cs="Times New Roman"/>
          <w:sz w:val="18"/>
          <w:szCs w:val="18"/>
        </w:rPr>
        <w:t>“</w:t>
      </w:r>
      <w:r w:rsidRPr="005A284F">
        <w:rPr>
          <w:rFonts w:ascii="Times New Roman" w:hAnsi="Times New Roman" w:cs="Times New Roman"/>
          <w:sz w:val="18"/>
          <w:szCs w:val="18"/>
        </w:rPr>
        <w:t>其他流动资产</w:t>
      </w:r>
      <w:r w:rsidRPr="005A284F">
        <w:rPr>
          <w:rFonts w:ascii="Times New Roman" w:hAnsi="Times New Roman" w:cs="Times New Roman"/>
          <w:sz w:val="18"/>
          <w:szCs w:val="18"/>
        </w:rPr>
        <w:t>”</w:t>
      </w:r>
      <w:r w:rsidRPr="005A284F">
        <w:rPr>
          <w:rFonts w:ascii="Times New Roman" w:hAnsi="Times New Roman" w:cs="Times New Roman"/>
          <w:sz w:val="18"/>
          <w:szCs w:val="18"/>
        </w:rPr>
        <w:t>科目列示。</w:t>
      </w:r>
    </w:p>
    <w:p w14:paraId="6625596C" w14:textId="77777777" w:rsidR="000309B5" w:rsidRPr="005A284F" w:rsidRDefault="00000000" w:rsidP="00D15C4E">
      <w:pPr>
        <w:pStyle w:val="a3"/>
        <w:spacing w:before="0" w:beforeAutospacing="0" w:after="0" w:afterAutospacing="0" w:line="276" w:lineRule="auto"/>
        <w:ind w:firstLineChars="200" w:firstLine="360"/>
        <w:jc w:val="both"/>
        <w:divId w:val="813445847"/>
        <w:rPr>
          <w:rFonts w:ascii="Times New Roman" w:hAnsi="Times New Roman" w:cs="Times New Roman"/>
        </w:rPr>
      </w:pPr>
      <w:r w:rsidRPr="005A284F">
        <w:rPr>
          <w:rFonts w:ascii="Times New Roman" w:hAnsi="Times New Roman" w:cs="Times New Roman"/>
          <w:sz w:val="18"/>
          <w:szCs w:val="18"/>
        </w:rPr>
        <w:t>本公司将分类为以公允价值计量且其变动计入其他综合收益的长期债权投资，在</w:t>
      </w:r>
      <w:r w:rsidRPr="005A284F">
        <w:rPr>
          <w:rFonts w:ascii="Times New Roman" w:hAnsi="Times New Roman" w:cs="Times New Roman"/>
          <w:sz w:val="18"/>
          <w:szCs w:val="18"/>
        </w:rPr>
        <w:t>“</w:t>
      </w:r>
      <w:r w:rsidRPr="005A284F">
        <w:rPr>
          <w:rFonts w:ascii="Times New Roman" w:hAnsi="Times New Roman" w:cs="Times New Roman"/>
          <w:sz w:val="18"/>
          <w:szCs w:val="18"/>
        </w:rPr>
        <w:t>其他债权投资</w:t>
      </w:r>
      <w:r w:rsidRPr="005A284F">
        <w:rPr>
          <w:rFonts w:ascii="Times New Roman" w:hAnsi="Times New Roman" w:cs="Times New Roman"/>
          <w:sz w:val="18"/>
          <w:szCs w:val="18"/>
        </w:rPr>
        <w:t>”</w:t>
      </w:r>
      <w:r w:rsidRPr="005A284F">
        <w:rPr>
          <w:rFonts w:ascii="Times New Roman" w:hAnsi="Times New Roman" w:cs="Times New Roman"/>
          <w:sz w:val="18"/>
          <w:szCs w:val="18"/>
        </w:rPr>
        <w:t>科目列示。自资产负债表日起一年内到期的长期债权投资的期末账面价值，在</w:t>
      </w:r>
      <w:r w:rsidRPr="005A284F">
        <w:rPr>
          <w:rFonts w:ascii="Times New Roman" w:hAnsi="Times New Roman" w:cs="Times New Roman"/>
          <w:sz w:val="18"/>
          <w:szCs w:val="18"/>
        </w:rPr>
        <w:t>“</w:t>
      </w:r>
      <w:r w:rsidRPr="005A284F">
        <w:rPr>
          <w:rFonts w:ascii="Times New Roman" w:hAnsi="Times New Roman" w:cs="Times New Roman"/>
          <w:sz w:val="18"/>
          <w:szCs w:val="18"/>
        </w:rPr>
        <w:t>一年内到期的非流动资产</w:t>
      </w:r>
      <w:r w:rsidRPr="005A284F">
        <w:rPr>
          <w:rFonts w:ascii="Times New Roman" w:hAnsi="Times New Roman" w:cs="Times New Roman"/>
          <w:sz w:val="18"/>
          <w:szCs w:val="18"/>
        </w:rPr>
        <w:t>”</w:t>
      </w:r>
      <w:r w:rsidRPr="005A284F">
        <w:rPr>
          <w:rFonts w:ascii="Times New Roman" w:hAnsi="Times New Roman" w:cs="Times New Roman"/>
          <w:sz w:val="18"/>
          <w:szCs w:val="18"/>
        </w:rPr>
        <w:t>科目列示。本公司购入的以公允价值计量且其变动计入其他综合收益的一年内到期的债权投资，在</w:t>
      </w:r>
      <w:r w:rsidRPr="005A284F">
        <w:rPr>
          <w:rFonts w:ascii="Times New Roman" w:hAnsi="Times New Roman" w:cs="Times New Roman"/>
          <w:sz w:val="18"/>
          <w:szCs w:val="18"/>
        </w:rPr>
        <w:t>“</w:t>
      </w:r>
      <w:r w:rsidRPr="005A284F">
        <w:rPr>
          <w:rFonts w:ascii="Times New Roman" w:hAnsi="Times New Roman" w:cs="Times New Roman"/>
          <w:sz w:val="18"/>
          <w:szCs w:val="18"/>
        </w:rPr>
        <w:t>其他流动资产</w:t>
      </w:r>
      <w:r w:rsidRPr="005A284F">
        <w:rPr>
          <w:rFonts w:ascii="Times New Roman" w:hAnsi="Times New Roman" w:cs="Times New Roman"/>
          <w:sz w:val="18"/>
          <w:szCs w:val="18"/>
        </w:rPr>
        <w:t>”</w:t>
      </w:r>
      <w:r w:rsidRPr="005A284F">
        <w:rPr>
          <w:rFonts w:ascii="Times New Roman" w:hAnsi="Times New Roman" w:cs="Times New Roman"/>
          <w:sz w:val="18"/>
          <w:szCs w:val="18"/>
        </w:rPr>
        <w:t>科目列示。</w:t>
      </w:r>
    </w:p>
    <w:p w14:paraId="41E46FAF" w14:textId="77777777" w:rsidR="000309B5" w:rsidRPr="005A284F" w:rsidRDefault="00000000" w:rsidP="00D15C4E">
      <w:pPr>
        <w:pStyle w:val="a3"/>
        <w:spacing w:before="0" w:beforeAutospacing="0" w:after="0" w:afterAutospacing="0" w:line="276" w:lineRule="auto"/>
        <w:ind w:firstLineChars="200" w:firstLine="360"/>
        <w:jc w:val="both"/>
        <w:divId w:val="813445847"/>
        <w:rPr>
          <w:rFonts w:ascii="Times New Roman" w:hAnsi="Times New Roman" w:cs="Times New Roman"/>
        </w:rPr>
      </w:pPr>
      <w:r w:rsidRPr="005A284F">
        <w:rPr>
          <w:rFonts w:ascii="Times New Roman" w:hAnsi="Times New Roman" w:cs="Times New Roman"/>
          <w:sz w:val="18"/>
          <w:szCs w:val="18"/>
        </w:rPr>
        <w:t>本公司将指定为以公允价值计量且其变动计入其他综合收益的非交易性权益工具投资，在</w:t>
      </w:r>
      <w:r w:rsidRPr="005A284F">
        <w:rPr>
          <w:rFonts w:ascii="Times New Roman" w:hAnsi="Times New Roman" w:cs="Times New Roman"/>
          <w:sz w:val="18"/>
          <w:szCs w:val="18"/>
        </w:rPr>
        <w:t>“</w:t>
      </w:r>
      <w:r w:rsidRPr="005A284F">
        <w:rPr>
          <w:rFonts w:ascii="Times New Roman" w:hAnsi="Times New Roman" w:cs="Times New Roman"/>
          <w:sz w:val="18"/>
          <w:szCs w:val="18"/>
        </w:rPr>
        <w:t>其他权益工具投资</w:t>
      </w:r>
      <w:r w:rsidRPr="005A284F">
        <w:rPr>
          <w:rFonts w:ascii="Times New Roman" w:hAnsi="Times New Roman" w:cs="Times New Roman"/>
          <w:sz w:val="18"/>
          <w:szCs w:val="18"/>
        </w:rPr>
        <w:t>”</w:t>
      </w:r>
      <w:r w:rsidRPr="005A284F">
        <w:rPr>
          <w:rFonts w:ascii="Times New Roman" w:hAnsi="Times New Roman" w:cs="Times New Roman"/>
          <w:sz w:val="18"/>
          <w:szCs w:val="18"/>
        </w:rPr>
        <w:t>科目列示。</w:t>
      </w:r>
    </w:p>
    <w:p w14:paraId="739D522E" w14:textId="77777777" w:rsidR="000309B5" w:rsidRPr="005A284F" w:rsidRDefault="00000000" w:rsidP="00D15C4E">
      <w:pPr>
        <w:pStyle w:val="a3"/>
        <w:spacing w:before="0" w:beforeAutospacing="0" w:after="0" w:afterAutospacing="0" w:line="276" w:lineRule="auto"/>
        <w:ind w:firstLineChars="200" w:firstLine="360"/>
        <w:jc w:val="both"/>
        <w:divId w:val="813445847"/>
        <w:rPr>
          <w:rFonts w:ascii="Times New Roman" w:hAnsi="Times New Roman" w:cs="Times New Roman"/>
        </w:rPr>
      </w:pPr>
      <w:r w:rsidRPr="005A284F">
        <w:rPr>
          <w:rFonts w:ascii="Times New Roman" w:hAnsi="Times New Roman" w:cs="Times New Roman"/>
          <w:sz w:val="18"/>
          <w:szCs w:val="18"/>
        </w:rPr>
        <w:t>本公司承担的交易性金融负债，以及本公司持有的直接指定为以公允价值计量且其变动计入当期损益的金融负债，在</w:t>
      </w:r>
      <w:r w:rsidRPr="005A284F">
        <w:rPr>
          <w:rFonts w:ascii="Times New Roman" w:hAnsi="Times New Roman" w:cs="Times New Roman"/>
          <w:sz w:val="18"/>
          <w:szCs w:val="18"/>
        </w:rPr>
        <w:t>“</w:t>
      </w:r>
      <w:r w:rsidRPr="005A284F">
        <w:rPr>
          <w:rFonts w:ascii="Times New Roman" w:hAnsi="Times New Roman" w:cs="Times New Roman"/>
          <w:sz w:val="18"/>
          <w:szCs w:val="18"/>
        </w:rPr>
        <w:t>交易性金融负债</w:t>
      </w:r>
      <w:r w:rsidRPr="005A284F">
        <w:rPr>
          <w:rFonts w:ascii="Times New Roman" w:hAnsi="Times New Roman" w:cs="Times New Roman"/>
          <w:sz w:val="18"/>
          <w:szCs w:val="18"/>
        </w:rPr>
        <w:t>”</w:t>
      </w:r>
      <w:r w:rsidRPr="005A284F">
        <w:rPr>
          <w:rFonts w:ascii="Times New Roman" w:hAnsi="Times New Roman" w:cs="Times New Roman"/>
          <w:sz w:val="18"/>
          <w:szCs w:val="18"/>
        </w:rPr>
        <w:t>科目列示。</w:t>
      </w:r>
    </w:p>
    <w:p w14:paraId="7566A518" w14:textId="77777777" w:rsidR="000309B5" w:rsidRPr="005A284F" w:rsidRDefault="00000000" w:rsidP="00D15C4E">
      <w:pPr>
        <w:pStyle w:val="a3"/>
        <w:spacing w:before="0" w:beforeAutospacing="0" w:after="0" w:afterAutospacing="0" w:line="276" w:lineRule="auto"/>
        <w:ind w:firstLineChars="200" w:firstLine="360"/>
        <w:jc w:val="both"/>
        <w:divId w:val="813445847"/>
        <w:rPr>
          <w:rFonts w:ascii="Times New Roman" w:hAnsi="Times New Roman" w:cs="Times New Roman"/>
        </w:rPr>
      </w:pPr>
      <w:r w:rsidRPr="005A284F">
        <w:rPr>
          <w:rFonts w:ascii="Times New Roman" w:hAnsi="Times New Roman" w:cs="Times New Roman"/>
          <w:sz w:val="18"/>
          <w:szCs w:val="18"/>
        </w:rPr>
        <w:t>权益工具</w:t>
      </w:r>
    </w:p>
    <w:p w14:paraId="7DD8899E" w14:textId="704E5946" w:rsidR="000309B5" w:rsidRPr="005A284F" w:rsidRDefault="00000000" w:rsidP="00D15C4E">
      <w:pPr>
        <w:pStyle w:val="a3"/>
        <w:spacing w:before="0" w:beforeAutospacing="0" w:after="0" w:afterAutospacing="0" w:line="276" w:lineRule="auto"/>
        <w:ind w:firstLineChars="200" w:firstLine="360"/>
        <w:jc w:val="both"/>
        <w:divId w:val="813445847"/>
        <w:rPr>
          <w:rFonts w:ascii="Times New Roman" w:hAnsi="Times New Roman" w:cs="Times New Roman"/>
          <w:sz w:val="21"/>
          <w:szCs w:val="21"/>
        </w:rPr>
      </w:pPr>
      <w:r w:rsidRPr="005A284F">
        <w:rPr>
          <w:rFonts w:ascii="Times New Roman" w:hAnsi="Times New Roman" w:cs="Times New Roman"/>
          <w:sz w:val="18"/>
          <w:szCs w:val="18"/>
        </w:rPr>
        <w:t>权益工具是指能证明拥有本公司在扣除所有负债后的资产中的剩余权益的合同。本公司发行（含再融资）、回购、出售或注销权益工具作为权益的变动处理，与权益性交易相关的交易费用从权益中扣减。本公司不确认权益工具的公允价值变动。本公司对权益工具持有方的分配作为利润分配处理，发放的股票股利不影响所有者权益总额。</w:t>
      </w:r>
    </w:p>
    <w:p w14:paraId="772474FF" w14:textId="77777777" w:rsidR="006C011D" w:rsidRPr="005A284F" w:rsidRDefault="00000000">
      <w:pPr>
        <w:pStyle w:val="3"/>
        <w:spacing w:line="280" w:lineRule="exact"/>
        <w:jc w:val="left"/>
        <w:rPr>
          <w:rFonts w:ascii="Times New Roman" w:hAnsi="Times New Roman" w:cs="Times New Roman"/>
          <w:b/>
          <w:bCs/>
        </w:rPr>
      </w:pPr>
      <w:bookmarkStart w:id="126" w:name="_Toc989015"/>
      <w:r w:rsidRPr="005A284F">
        <w:rPr>
          <w:rFonts w:ascii="Times New Roman" w:hAnsi="Times New Roman" w:cs="Times New Roman"/>
          <w:b/>
          <w:bCs/>
        </w:rPr>
        <w:t>12</w:t>
      </w:r>
      <w:r w:rsidRPr="005A284F">
        <w:rPr>
          <w:rFonts w:ascii="Times New Roman" w:hAnsi="Times New Roman" w:cs="Times New Roman"/>
          <w:b/>
          <w:bCs/>
        </w:rPr>
        <w:t>、应收票据</w:t>
      </w:r>
      <w:bookmarkEnd w:id="126"/>
    </w:p>
    <w:p w14:paraId="4CA94B8E" w14:textId="77777777" w:rsidR="000309B5" w:rsidRPr="005A284F" w:rsidRDefault="00000000">
      <w:pPr>
        <w:pStyle w:val="a3"/>
        <w:spacing w:before="0" w:beforeAutospacing="0" w:after="0" w:afterAutospacing="0" w:line="273" w:lineRule="auto"/>
        <w:ind w:firstLine="357"/>
        <w:jc w:val="both"/>
        <w:divId w:val="1580939384"/>
        <w:rPr>
          <w:rFonts w:ascii="Times New Roman" w:hAnsi="Times New Roman" w:cs="Times New Roman"/>
        </w:rPr>
      </w:pPr>
      <w:r w:rsidRPr="005A284F">
        <w:rPr>
          <w:rFonts w:ascii="Times New Roman" w:hAnsi="Times New Roman" w:cs="Times New Roman"/>
          <w:sz w:val="18"/>
          <w:szCs w:val="18"/>
        </w:rPr>
        <w:t>对于应收票据及应收账款，无论是否存在重大融资成分，本公司均按照整个存续期的预期信用损失计量损失准备。</w:t>
      </w:r>
    </w:p>
    <w:p w14:paraId="15C4563D" w14:textId="77777777" w:rsidR="000309B5" w:rsidRPr="005A284F" w:rsidRDefault="00000000">
      <w:pPr>
        <w:pStyle w:val="a3"/>
        <w:spacing w:before="0" w:beforeAutospacing="0" w:after="0" w:afterAutospacing="0" w:line="273" w:lineRule="auto"/>
        <w:ind w:firstLine="357"/>
        <w:jc w:val="both"/>
        <w:divId w:val="1580939384"/>
        <w:rPr>
          <w:rFonts w:ascii="Times New Roman" w:hAnsi="Times New Roman" w:cs="Times New Roman"/>
        </w:rPr>
      </w:pPr>
      <w:r w:rsidRPr="005A284F">
        <w:rPr>
          <w:rFonts w:ascii="Times New Roman" w:hAnsi="Times New Roman" w:cs="Times New Roman"/>
          <w:sz w:val="18"/>
          <w:szCs w:val="18"/>
        </w:rPr>
        <w:t>当单项应收票据及应收账款无法以合理成本评估预期信用损失的信息时，本集团依据信用风险特征将应收票据及应收账款划分为若干组合，在组合基础上计算预期信用损失。如果有客观证据表明某项应收票据及应收账款已经发生信用减值，则本公司对该应收票据及应收账款单项计提坏账准备并确认预期信用损失。对于划分为组合的应收票据及应收账款，本公司参考历史信用损失经验，结合当前状况以及对未来经济状况的预测，通过违约风险敞口和整个存续期预期信用损失率，计算预期信用损失。对于按账龄划分组合的应收账款，账龄自确认之日起计算。</w:t>
      </w:r>
    </w:p>
    <w:p w14:paraId="282D18DC" w14:textId="77777777" w:rsidR="000309B5" w:rsidRDefault="00000000">
      <w:pPr>
        <w:pStyle w:val="a3"/>
        <w:spacing w:before="0" w:beforeAutospacing="0" w:after="0" w:afterAutospacing="0" w:line="273" w:lineRule="auto"/>
        <w:ind w:firstLine="357"/>
        <w:jc w:val="both"/>
        <w:divId w:val="1580939384"/>
        <w:rPr>
          <w:rFonts w:ascii="Times New Roman" w:hAnsi="Times New Roman" w:cs="Times New Roman"/>
          <w:sz w:val="18"/>
          <w:szCs w:val="18"/>
        </w:rPr>
      </w:pPr>
      <w:r w:rsidRPr="005A284F">
        <w:rPr>
          <w:rFonts w:ascii="Times New Roman" w:hAnsi="Times New Roman" w:cs="Times New Roman"/>
          <w:sz w:val="18"/>
          <w:szCs w:val="18"/>
        </w:rPr>
        <w:t>应收票据及应收账款组合：</w:t>
      </w:r>
    </w:p>
    <w:p w14:paraId="59609A99" w14:textId="77777777" w:rsidR="00D15C4E" w:rsidRPr="005A284F" w:rsidRDefault="00D15C4E">
      <w:pPr>
        <w:pStyle w:val="a3"/>
        <w:spacing w:before="0" w:beforeAutospacing="0" w:after="0" w:afterAutospacing="0" w:line="273" w:lineRule="auto"/>
        <w:ind w:firstLine="357"/>
        <w:jc w:val="both"/>
        <w:divId w:val="1580939384"/>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06"/>
        <w:gridCol w:w="4621"/>
      </w:tblGrid>
      <w:tr w:rsidR="000309B5" w:rsidRPr="005A284F" w14:paraId="5F207880" w14:textId="77777777" w:rsidTr="00D15C4E">
        <w:trPr>
          <w:divId w:val="1580939384"/>
          <w:trHeight w:val="340"/>
        </w:trPr>
        <w:tc>
          <w:tcPr>
            <w:tcW w:w="2600" w:type="pct"/>
            <w:tcMar>
              <w:top w:w="0" w:type="dxa"/>
              <w:left w:w="108" w:type="dxa"/>
              <w:bottom w:w="0" w:type="dxa"/>
              <w:right w:w="108" w:type="dxa"/>
            </w:tcMar>
            <w:vAlign w:val="center"/>
            <w:hideMark/>
          </w:tcPr>
          <w:p w14:paraId="651F7A53"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lastRenderedPageBreak/>
              <w:t>项目</w:t>
            </w:r>
          </w:p>
        </w:tc>
        <w:tc>
          <w:tcPr>
            <w:tcW w:w="2400" w:type="pct"/>
            <w:tcMar>
              <w:top w:w="0" w:type="dxa"/>
              <w:left w:w="108" w:type="dxa"/>
              <w:bottom w:w="0" w:type="dxa"/>
              <w:right w:w="108" w:type="dxa"/>
            </w:tcMar>
            <w:vAlign w:val="center"/>
            <w:hideMark/>
          </w:tcPr>
          <w:p w14:paraId="03A4AA28"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确定组合的依据</w:t>
            </w:r>
          </w:p>
        </w:tc>
      </w:tr>
      <w:tr w:rsidR="000309B5" w:rsidRPr="005A284F" w14:paraId="07F9DBE2" w14:textId="77777777" w:rsidTr="00D15C4E">
        <w:trPr>
          <w:divId w:val="1580939384"/>
          <w:trHeight w:val="340"/>
        </w:trPr>
        <w:tc>
          <w:tcPr>
            <w:tcW w:w="2600" w:type="pct"/>
            <w:noWrap/>
            <w:tcMar>
              <w:top w:w="0" w:type="dxa"/>
              <w:left w:w="108" w:type="dxa"/>
              <w:bottom w:w="0" w:type="dxa"/>
              <w:right w:w="108" w:type="dxa"/>
            </w:tcMar>
            <w:vAlign w:val="center"/>
            <w:hideMark/>
          </w:tcPr>
          <w:p w14:paraId="7BBBBAA3" w14:textId="77777777" w:rsidR="000309B5" w:rsidRPr="005A284F" w:rsidRDefault="00000000">
            <w:pPr>
              <w:pStyle w:val="a3"/>
              <w:spacing w:before="0" w:beforeAutospacing="0" w:after="0" w:afterAutospacing="0" w:line="273" w:lineRule="auto"/>
              <w:jc w:val="both"/>
              <w:rPr>
                <w:rFonts w:ascii="Times New Roman" w:hAnsi="Times New Roman" w:cs="Times New Roman"/>
              </w:rPr>
            </w:pPr>
            <w:r w:rsidRPr="005A284F">
              <w:rPr>
                <w:rFonts w:ascii="Times New Roman" w:hAnsi="Times New Roman" w:cs="Times New Roman"/>
                <w:sz w:val="18"/>
                <w:szCs w:val="18"/>
              </w:rPr>
              <w:t>应收票据组合</w:t>
            </w:r>
            <w:r w:rsidRPr="005A284F">
              <w:rPr>
                <w:rFonts w:ascii="Times New Roman" w:hAnsi="Times New Roman" w:cs="Times New Roman"/>
                <w:sz w:val="18"/>
                <w:szCs w:val="18"/>
              </w:rPr>
              <w:t>1</w:t>
            </w:r>
            <w:r w:rsidRPr="005A284F">
              <w:rPr>
                <w:rFonts w:ascii="Times New Roman" w:hAnsi="Times New Roman" w:cs="Times New Roman"/>
                <w:sz w:val="18"/>
                <w:szCs w:val="18"/>
              </w:rPr>
              <w:t>：银行承兑汇票</w:t>
            </w:r>
          </w:p>
        </w:tc>
        <w:tc>
          <w:tcPr>
            <w:tcW w:w="2400" w:type="pct"/>
            <w:noWrap/>
            <w:tcMar>
              <w:top w:w="0" w:type="dxa"/>
              <w:left w:w="108" w:type="dxa"/>
              <w:bottom w:w="0" w:type="dxa"/>
              <w:right w:w="108" w:type="dxa"/>
            </w:tcMar>
            <w:vAlign w:val="center"/>
            <w:hideMark/>
          </w:tcPr>
          <w:p w14:paraId="6BF3EDE2" w14:textId="77777777" w:rsidR="000309B5" w:rsidRPr="005A284F" w:rsidRDefault="00000000">
            <w:pPr>
              <w:pStyle w:val="a3"/>
              <w:spacing w:before="0" w:beforeAutospacing="0" w:after="0" w:afterAutospacing="0" w:line="273" w:lineRule="auto"/>
              <w:jc w:val="both"/>
              <w:rPr>
                <w:rFonts w:ascii="Times New Roman" w:hAnsi="Times New Roman" w:cs="Times New Roman"/>
              </w:rPr>
            </w:pPr>
            <w:r w:rsidRPr="005A284F">
              <w:rPr>
                <w:rFonts w:ascii="Times New Roman" w:hAnsi="Times New Roman" w:cs="Times New Roman"/>
                <w:sz w:val="18"/>
                <w:szCs w:val="18"/>
              </w:rPr>
              <w:t>银行承兑汇票，承兑人为信用风险较小的银行</w:t>
            </w:r>
          </w:p>
        </w:tc>
      </w:tr>
      <w:tr w:rsidR="000309B5" w:rsidRPr="005A284F" w14:paraId="7BB9BFCC" w14:textId="77777777" w:rsidTr="00D15C4E">
        <w:trPr>
          <w:divId w:val="1580939384"/>
          <w:trHeight w:val="340"/>
        </w:trPr>
        <w:tc>
          <w:tcPr>
            <w:tcW w:w="2600" w:type="pct"/>
            <w:noWrap/>
            <w:tcMar>
              <w:top w:w="0" w:type="dxa"/>
              <w:left w:w="108" w:type="dxa"/>
              <w:bottom w:w="0" w:type="dxa"/>
              <w:right w:w="108" w:type="dxa"/>
            </w:tcMar>
            <w:vAlign w:val="center"/>
            <w:hideMark/>
          </w:tcPr>
          <w:p w14:paraId="17752C6B" w14:textId="77777777" w:rsidR="000309B5" w:rsidRPr="005A284F" w:rsidRDefault="00000000">
            <w:pPr>
              <w:pStyle w:val="a3"/>
              <w:spacing w:before="0" w:beforeAutospacing="0" w:after="0" w:afterAutospacing="0" w:line="273" w:lineRule="auto"/>
              <w:jc w:val="both"/>
              <w:rPr>
                <w:rFonts w:ascii="Times New Roman" w:hAnsi="Times New Roman" w:cs="Times New Roman"/>
              </w:rPr>
            </w:pPr>
            <w:r w:rsidRPr="005A284F">
              <w:rPr>
                <w:rFonts w:ascii="Times New Roman" w:hAnsi="Times New Roman" w:cs="Times New Roman"/>
                <w:sz w:val="18"/>
                <w:szCs w:val="18"/>
              </w:rPr>
              <w:t>应收票据组合</w:t>
            </w:r>
            <w:r w:rsidRPr="005A284F">
              <w:rPr>
                <w:rFonts w:ascii="Times New Roman" w:hAnsi="Times New Roman" w:cs="Times New Roman"/>
                <w:sz w:val="18"/>
                <w:szCs w:val="18"/>
              </w:rPr>
              <w:t>2</w:t>
            </w:r>
            <w:r w:rsidRPr="005A284F">
              <w:rPr>
                <w:rFonts w:ascii="Times New Roman" w:hAnsi="Times New Roman" w:cs="Times New Roman"/>
                <w:sz w:val="18"/>
                <w:szCs w:val="18"/>
              </w:rPr>
              <w:t>：商业承兑汇票</w:t>
            </w:r>
          </w:p>
        </w:tc>
        <w:tc>
          <w:tcPr>
            <w:tcW w:w="2400" w:type="pct"/>
            <w:noWrap/>
            <w:tcMar>
              <w:top w:w="0" w:type="dxa"/>
              <w:left w:w="108" w:type="dxa"/>
              <w:bottom w:w="0" w:type="dxa"/>
              <w:right w:w="108" w:type="dxa"/>
            </w:tcMar>
            <w:vAlign w:val="center"/>
            <w:hideMark/>
          </w:tcPr>
          <w:p w14:paraId="0535CB02" w14:textId="77777777" w:rsidR="000309B5" w:rsidRPr="005A284F" w:rsidRDefault="00000000">
            <w:pPr>
              <w:pStyle w:val="a3"/>
              <w:spacing w:before="0" w:beforeAutospacing="0" w:after="0" w:afterAutospacing="0" w:line="273" w:lineRule="auto"/>
              <w:jc w:val="both"/>
              <w:rPr>
                <w:rFonts w:ascii="Times New Roman" w:hAnsi="Times New Roman" w:cs="Times New Roman"/>
              </w:rPr>
            </w:pPr>
            <w:r w:rsidRPr="005A284F">
              <w:rPr>
                <w:rFonts w:ascii="Times New Roman" w:hAnsi="Times New Roman" w:cs="Times New Roman"/>
                <w:sz w:val="18"/>
                <w:szCs w:val="18"/>
              </w:rPr>
              <w:t>评估为正常的、低风险的商业承兑汇票</w:t>
            </w:r>
          </w:p>
        </w:tc>
      </w:tr>
      <w:tr w:rsidR="000309B5" w:rsidRPr="005A284F" w14:paraId="0072D8FC" w14:textId="77777777" w:rsidTr="00D15C4E">
        <w:trPr>
          <w:divId w:val="1580939384"/>
          <w:trHeight w:val="340"/>
        </w:trPr>
        <w:tc>
          <w:tcPr>
            <w:tcW w:w="2600" w:type="pct"/>
            <w:noWrap/>
            <w:tcMar>
              <w:top w:w="0" w:type="dxa"/>
              <w:left w:w="108" w:type="dxa"/>
              <w:bottom w:w="0" w:type="dxa"/>
              <w:right w:w="108" w:type="dxa"/>
            </w:tcMar>
            <w:vAlign w:val="center"/>
            <w:hideMark/>
          </w:tcPr>
          <w:p w14:paraId="1FFFFE88" w14:textId="77777777" w:rsidR="000309B5" w:rsidRPr="005A284F" w:rsidRDefault="00000000">
            <w:pPr>
              <w:pStyle w:val="a3"/>
              <w:spacing w:before="0" w:beforeAutospacing="0" w:after="0" w:afterAutospacing="0" w:line="273" w:lineRule="auto"/>
              <w:jc w:val="both"/>
              <w:rPr>
                <w:rFonts w:ascii="Times New Roman" w:hAnsi="Times New Roman" w:cs="Times New Roman"/>
              </w:rPr>
            </w:pPr>
            <w:r w:rsidRPr="005A284F">
              <w:rPr>
                <w:rFonts w:ascii="Times New Roman" w:hAnsi="Times New Roman" w:cs="Times New Roman"/>
                <w:sz w:val="18"/>
                <w:szCs w:val="18"/>
              </w:rPr>
              <w:t>应收账款组合</w:t>
            </w:r>
            <w:r w:rsidRPr="005A284F">
              <w:rPr>
                <w:rFonts w:ascii="Times New Roman" w:hAnsi="Times New Roman" w:cs="Times New Roman"/>
                <w:sz w:val="18"/>
                <w:szCs w:val="18"/>
              </w:rPr>
              <w:t>1</w:t>
            </w:r>
            <w:r w:rsidRPr="005A284F">
              <w:rPr>
                <w:rFonts w:ascii="Times New Roman" w:hAnsi="Times New Roman" w:cs="Times New Roman"/>
                <w:sz w:val="18"/>
                <w:szCs w:val="18"/>
              </w:rPr>
              <w:t>：应收合并范围内关联方款项组合</w:t>
            </w:r>
          </w:p>
        </w:tc>
        <w:tc>
          <w:tcPr>
            <w:tcW w:w="2400" w:type="pct"/>
            <w:noWrap/>
            <w:tcMar>
              <w:top w:w="0" w:type="dxa"/>
              <w:left w:w="108" w:type="dxa"/>
              <w:bottom w:w="0" w:type="dxa"/>
              <w:right w:w="108" w:type="dxa"/>
            </w:tcMar>
            <w:vAlign w:val="center"/>
            <w:hideMark/>
          </w:tcPr>
          <w:p w14:paraId="3AD45FFA" w14:textId="77777777" w:rsidR="000309B5" w:rsidRPr="005A284F" w:rsidRDefault="00000000">
            <w:pPr>
              <w:pStyle w:val="a3"/>
              <w:spacing w:before="0" w:beforeAutospacing="0" w:after="0" w:afterAutospacing="0" w:line="273" w:lineRule="auto"/>
              <w:jc w:val="both"/>
              <w:rPr>
                <w:rFonts w:ascii="Times New Roman" w:hAnsi="Times New Roman" w:cs="Times New Roman"/>
              </w:rPr>
            </w:pPr>
            <w:r w:rsidRPr="005A284F">
              <w:rPr>
                <w:rFonts w:ascii="Times New Roman" w:hAnsi="Times New Roman" w:cs="Times New Roman"/>
                <w:sz w:val="18"/>
                <w:szCs w:val="18"/>
              </w:rPr>
              <w:t>合并范围内各家单位之间的往来款项</w:t>
            </w:r>
          </w:p>
        </w:tc>
      </w:tr>
      <w:tr w:rsidR="000309B5" w:rsidRPr="005A284F" w14:paraId="583CAFC3" w14:textId="77777777" w:rsidTr="00D15C4E">
        <w:trPr>
          <w:divId w:val="1580939384"/>
          <w:trHeight w:val="340"/>
        </w:trPr>
        <w:tc>
          <w:tcPr>
            <w:tcW w:w="2600" w:type="pct"/>
            <w:noWrap/>
            <w:tcMar>
              <w:top w:w="0" w:type="dxa"/>
              <w:left w:w="108" w:type="dxa"/>
              <w:bottom w:w="0" w:type="dxa"/>
              <w:right w:w="108" w:type="dxa"/>
            </w:tcMar>
            <w:vAlign w:val="center"/>
            <w:hideMark/>
          </w:tcPr>
          <w:p w14:paraId="50FAE2E2" w14:textId="77777777" w:rsidR="000309B5" w:rsidRPr="005A284F" w:rsidRDefault="00000000">
            <w:pPr>
              <w:pStyle w:val="a3"/>
              <w:spacing w:before="0" w:beforeAutospacing="0" w:after="0" w:afterAutospacing="0" w:line="273" w:lineRule="auto"/>
              <w:jc w:val="both"/>
              <w:rPr>
                <w:rFonts w:ascii="Times New Roman" w:hAnsi="Times New Roman" w:cs="Times New Roman"/>
              </w:rPr>
            </w:pPr>
            <w:r w:rsidRPr="005A284F">
              <w:rPr>
                <w:rFonts w:ascii="Times New Roman" w:hAnsi="Times New Roman" w:cs="Times New Roman"/>
                <w:sz w:val="18"/>
                <w:szCs w:val="18"/>
              </w:rPr>
              <w:t>应收账款组合</w:t>
            </w:r>
            <w:r w:rsidRPr="005A284F">
              <w:rPr>
                <w:rFonts w:ascii="Times New Roman" w:hAnsi="Times New Roman" w:cs="Times New Roman"/>
                <w:sz w:val="18"/>
                <w:szCs w:val="18"/>
              </w:rPr>
              <w:t>2</w:t>
            </w:r>
            <w:r w:rsidRPr="005A284F">
              <w:rPr>
                <w:rFonts w:ascii="Times New Roman" w:hAnsi="Times New Roman" w:cs="Times New Roman"/>
                <w:sz w:val="18"/>
                <w:szCs w:val="18"/>
              </w:rPr>
              <w:t>：账龄组合</w:t>
            </w:r>
          </w:p>
        </w:tc>
        <w:tc>
          <w:tcPr>
            <w:tcW w:w="2400" w:type="pct"/>
            <w:noWrap/>
            <w:tcMar>
              <w:top w:w="0" w:type="dxa"/>
              <w:left w:w="108" w:type="dxa"/>
              <w:bottom w:w="0" w:type="dxa"/>
              <w:right w:w="108" w:type="dxa"/>
            </w:tcMar>
            <w:vAlign w:val="center"/>
            <w:hideMark/>
          </w:tcPr>
          <w:p w14:paraId="43DEDFCE" w14:textId="77777777" w:rsidR="000309B5" w:rsidRPr="005A284F" w:rsidRDefault="00000000">
            <w:pPr>
              <w:pStyle w:val="a3"/>
              <w:spacing w:before="0" w:beforeAutospacing="0" w:after="0" w:afterAutospacing="0" w:line="273" w:lineRule="auto"/>
              <w:jc w:val="both"/>
              <w:rPr>
                <w:rFonts w:ascii="Times New Roman" w:hAnsi="Times New Roman" w:cs="Times New Roman"/>
              </w:rPr>
            </w:pPr>
            <w:r w:rsidRPr="005A284F">
              <w:rPr>
                <w:rFonts w:ascii="Times New Roman" w:hAnsi="Times New Roman" w:cs="Times New Roman"/>
                <w:sz w:val="18"/>
                <w:szCs w:val="18"/>
              </w:rPr>
              <w:t>本组合以应收款项的账龄作为信用风险特征</w:t>
            </w:r>
          </w:p>
        </w:tc>
      </w:tr>
    </w:tbl>
    <w:p w14:paraId="2B2FA215" w14:textId="77777777" w:rsidR="000309B5" w:rsidRPr="005A284F" w:rsidRDefault="00000000">
      <w:pPr>
        <w:pStyle w:val="a3"/>
        <w:spacing w:before="0" w:beforeAutospacing="0" w:after="0" w:afterAutospacing="0" w:line="273" w:lineRule="auto"/>
        <w:ind w:firstLine="357"/>
        <w:jc w:val="both"/>
        <w:divId w:val="1580939384"/>
        <w:rPr>
          <w:rFonts w:ascii="Times New Roman" w:hAnsi="Times New Roman" w:cs="Times New Roman"/>
        </w:rPr>
      </w:pPr>
      <w:r w:rsidRPr="005A284F">
        <w:rPr>
          <w:rFonts w:ascii="Times New Roman" w:hAnsi="Times New Roman" w:cs="Times New Roman"/>
          <w:sz w:val="18"/>
          <w:szCs w:val="18"/>
        </w:rPr>
        <w:t>各组合预期信用损失率</w:t>
      </w:r>
    </w:p>
    <w:p w14:paraId="5D69DC17" w14:textId="77777777" w:rsidR="000309B5" w:rsidRPr="005A284F" w:rsidRDefault="00000000">
      <w:pPr>
        <w:pStyle w:val="a3"/>
        <w:spacing w:before="0" w:beforeAutospacing="0" w:after="0" w:afterAutospacing="0" w:line="273" w:lineRule="auto"/>
        <w:ind w:firstLine="357"/>
        <w:jc w:val="both"/>
        <w:divId w:val="1580939384"/>
        <w:rPr>
          <w:rFonts w:ascii="Times New Roman" w:hAnsi="Times New Roman" w:cs="Times New Roman"/>
        </w:rPr>
      </w:pPr>
      <w:r w:rsidRPr="005A284F">
        <w:rPr>
          <w:rFonts w:ascii="Times New Roman" w:hAnsi="Times New Roman" w:cs="Times New Roman"/>
          <w:sz w:val="18"/>
          <w:szCs w:val="18"/>
        </w:rPr>
        <w:t>应收票据组合</w:t>
      </w:r>
      <w:r w:rsidRPr="005A284F">
        <w:rPr>
          <w:rFonts w:ascii="Times New Roman" w:hAnsi="Times New Roman" w:cs="Times New Roman"/>
          <w:sz w:val="18"/>
          <w:szCs w:val="18"/>
        </w:rPr>
        <w:t>1</w:t>
      </w:r>
      <w:r w:rsidRPr="005A284F">
        <w:rPr>
          <w:rFonts w:ascii="Times New Roman" w:hAnsi="Times New Roman" w:cs="Times New Roman"/>
          <w:sz w:val="18"/>
          <w:szCs w:val="18"/>
        </w:rPr>
        <w:t>：银行承兑汇票：承兑人具有较高的信用评级，历史上未发生票据违约，一般不计提坏账准备。</w:t>
      </w:r>
    </w:p>
    <w:p w14:paraId="412D3DBD" w14:textId="77777777" w:rsidR="000309B5" w:rsidRPr="005A284F" w:rsidRDefault="00000000">
      <w:pPr>
        <w:pStyle w:val="a3"/>
        <w:spacing w:before="0" w:beforeAutospacing="0" w:after="0" w:afterAutospacing="0" w:line="273" w:lineRule="auto"/>
        <w:ind w:firstLine="357"/>
        <w:jc w:val="both"/>
        <w:divId w:val="1580939384"/>
        <w:rPr>
          <w:rFonts w:ascii="Times New Roman" w:hAnsi="Times New Roman" w:cs="Times New Roman"/>
        </w:rPr>
      </w:pPr>
      <w:r w:rsidRPr="005A284F">
        <w:rPr>
          <w:rFonts w:ascii="Times New Roman" w:hAnsi="Times New Roman" w:cs="Times New Roman"/>
          <w:sz w:val="18"/>
          <w:szCs w:val="18"/>
        </w:rPr>
        <w:t>应收票据组合</w:t>
      </w:r>
      <w:r w:rsidRPr="005A284F">
        <w:rPr>
          <w:rFonts w:ascii="Times New Roman" w:hAnsi="Times New Roman" w:cs="Times New Roman"/>
          <w:sz w:val="18"/>
          <w:szCs w:val="18"/>
        </w:rPr>
        <w:t>2</w:t>
      </w:r>
      <w:r w:rsidRPr="005A284F">
        <w:rPr>
          <w:rFonts w:ascii="Times New Roman" w:hAnsi="Times New Roman" w:cs="Times New Roman"/>
          <w:sz w:val="18"/>
          <w:szCs w:val="18"/>
        </w:rPr>
        <w:t>：商业承兑汇票：参照应收账款确定预期信用损失率计提坏账准备。</w:t>
      </w:r>
    </w:p>
    <w:p w14:paraId="7FA65E43" w14:textId="77777777" w:rsidR="006C011D" w:rsidRPr="005A284F" w:rsidRDefault="00000000">
      <w:pPr>
        <w:pStyle w:val="3"/>
        <w:spacing w:line="280" w:lineRule="exact"/>
        <w:jc w:val="left"/>
        <w:rPr>
          <w:rFonts w:ascii="Times New Roman" w:hAnsi="Times New Roman" w:cs="Times New Roman"/>
          <w:b/>
          <w:bCs/>
        </w:rPr>
      </w:pPr>
      <w:bookmarkStart w:id="127" w:name="_Toc989016"/>
      <w:r w:rsidRPr="005A284F">
        <w:rPr>
          <w:rFonts w:ascii="Times New Roman" w:hAnsi="Times New Roman" w:cs="Times New Roman"/>
          <w:b/>
          <w:bCs/>
        </w:rPr>
        <w:t>13</w:t>
      </w:r>
      <w:r w:rsidRPr="005A284F">
        <w:rPr>
          <w:rFonts w:ascii="Times New Roman" w:hAnsi="Times New Roman" w:cs="Times New Roman"/>
          <w:b/>
          <w:bCs/>
        </w:rPr>
        <w:t>、应收账款</w:t>
      </w:r>
      <w:bookmarkEnd w:id="127"/>
    </w:p>
    <w:p w14:paraId="2C7B320B" w14:textId="77777777" w:rsidR="000309B5" w:rsidRPr="005A284F" w:rsidRDefault="00000000">
      <w:pPr>
        <w:pStyle w:val="a3"/>
        <w:spacing w:before="0" w:beforeAutospacing="0" w:after="0" w:afterAutospacing="0" w:line="273" w:lineRule="auto"/>
        <w:ind w:firstLine="357"/>
        <w:jc w:val="both"/>
        <w:divId w:val="1960211669"/>
        <w:rPr>
          <w:rFonts w:ascii="Times New Roman" w:hAnsi="Times New Roman" w:cs="Times New Roman"/>
        </w:rPr>
      </w:pPr>
      <w:r w:rsidRPr="005A284F">
        <w:rPr>
          <w:rFonts w:ascii="Times New Roman" w:hAnsi="Times New Roman" w:cs="Times New Roman"/>
          <w:sz w:val="18"/>
          <w:szCs w:val="18"/>
        </w:rPr>
        <w:t>应收账款组合</w:t>
      </w:r>
      <w:r w:rsidRPr="005A284F">
        <w:rPr>
          <w:rFonts w:ascii="Times New Roman" w:hAnsi="Times New Roman" w:cs="Times New Roman"/>
          <w:sz w:val="18"/>
          <w:szCs w:val="18"/>
        </w:rPr>
        <w:t>1</w:t>
      </w:r>
      <w:r w:rsidRPr="005A284F">
        <w:rPr>
          <w:rFonts w:ascii="Times New Roman" w:hAnsi="Times New Roman" w:cs="Times New Roman"/>
          <w:sz w:val="18"/>
          <w:szCs w:val="18"/>
        </w:rPr>
        <w:t>：应收合并范围内关联方款项组合：合并范围内公司的往来款，一般不计提坏账准备，除非子公司发生明显的大额亏损考虑单项计提坏账准备。</w:t>
      </w:r>
    </w:p>
    <w:p w14:paraId="0D3B93A9" w14:textId="77777777" w:rsidR="000309B5" w:rsidRPr="005A284F" w:rsidRDefault="00000000">
      <w:pPr>
        <w:pStyle w:val="a3"/>
        <w:spacing w:before="0" w:beforeAutospacing="0" w:after="0" w:afterAutospacing="0" w:line="273" w:lineRule="auto"/>
        <w:ind w:firstLine="357"/>
        <w:jc w:val="both"/>
        <w:divId w:val="1960211669"/>
        <w:rPr>
          <w:rFonts w:ascii="Times New Roman" w:hAnsi="Times New Roman" w:cs="Times New Roman"/>
        </w:rPr>
      </w:pPr>
      <w:r w:rsidRPr="005A284F">
        <w:rPr>
          <w:rFonts w:ascii="Times New Roman" w:hAnsi="Times New Roman" w:cs="Times New Roman"/>
          <w:sz w:val="18"/>
          <w:szCs w:val="18"/>
        </w:rPr>
        <w:t>应收账款组合</w:t>
      </w:r>
      <w:r w:rsidRPr="005A284F">
        <w:rPr>
          <w:rFonts w:ascii="Times New Roman" w:hAnsi="Times New Roman" w:cs="Times New Roman"/>
          <w:sz w:val="18"/>
          <w:szCs w:val="18"/>
        </w:rPr>
        <w:t>2</w:t>
      </w:r>
      <w:r w:rsidRPr="005A284F">
        <w:rPr>
          <w:rFonts w:ascii="Times New Roman" w:hAnsi="Times New Roman" w:cs="Times New Roman"/>
          <w:sz w:val="18"/>
          <w:szCs w:val="18"/>
        </w:rPr>
        <w:t>：账龄组合：</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06"/>
        <w:gridCol w:w="4621"/>
      </w:tblGrid>
      <w:tr w:rsidR="000309B5" w:rsidRPr="005A284F" w14:paraId="682C00C2" w14:textId="77777777" w:rsidTr="00D15C4E">
        <w:trPr>
          <w:divId w:val="1960211669"/>
          <w:trHeight w:val="340"/>
          <w:jc w:val="center"/>
        </w:trPr>
        <w:tc>
          <w:tcPr>
            <w:tcW w:w="2600" w:type="pct"/>
            <w:tcMar>
              <w:top w:w="0" w:type="dxa"/>
              <w:left w:w="108" w:type="dxa"/>
              <w:bottom w:w="0" w:type="dxa"/>
              <w:right w:w="108" w:type="dxa"/>
            </w:tcMar>
            <w:vAlign w:val="center"/>
            <w:hideMark/>
          </w:tcPr>
          <w:p w14:paraId="419C6EB2" w14:textId="77777777" w:rsidR="000309B5" w:rsidRPr="005A284F" w:rsidRDefault="00000000" w:rsidP="00D15C4E">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账龄</w:t>
            </w:r>
          </w:p>
        </w:tc>
        <w:tc>
          <w:tcPr>
            <w:tcW w:w="2400" w:type="pct"/>
            <w:tcMar>
              <w:top w:w="0" w:type="dxa"/>
              <w:left w:w="108" w:type="dxa"/>
              <w:bottom w:w="0" w:type="dxa"/>
              <w:right w:w="108" w:type="dxa"/>
            </w:tcMar>
            <w:vAlign w:val="center"/>
            <w:hideMark/>
          </w:tcPr>
          <w:p w14:paraId="294F7443" w14:textId="77777777" w:rsidR="000309B5" w:rsidRPr="005A284F" w:rsidRDefault="00000000" w:rsidP="00D15C4E">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预期信用损失率（</w:t>
            </w:r>
            <w:r w:rsidRPr="005A284F">
              <w:rPr>
                <w:rFonts w:ascii="Times New Roman" w:hAnsi="Times New Roman" w:cs="Times New Roman"/>
                <w:sz w:val="18"/>
                <w:szCs w:val="18"/>
              </w:rPr>
              <w:t>%</w:t>
            </w:r>
            <w:r w:rsidRPr="005A284F">
              <w:rPr>
                <w:rFonts w:ascii="Times New Roman" w:hAnsi="Times New Roman" w:cs="Times New Roman"/>
                <w:sz w:val="18"/>
                <w:szCs w:val="18"/>
              </w:rPr>
              <w:t>）</w:t>
            </w:r>
          </w:p>
        </w:tc>
      </w:tr>
      <w:tr w:rsidR="000309B5" w:rsidRPr="005A284F" w14:paraId="64D45093" w14:textId="77777777" w:rsidTr="00D15C4E">
        <w:trPr>
          <w:divId w:val="1960211669"/>
          <w:trHeight w:val="340"/>
          <w:jc w:val="center"/>
        </w:trPr>
        <w:tc>
          <w:tcPr>
            <w:tcW w:w="2600" w:type="pct"/>
            <w:noWrap/>
            <w:tcMar>
              <w:top w:w="0" w:type="dxa"/>
              <w:left w:w="108" w:type="dxa"/>
              <w:bottom w:w="0" w:type="dxa"/>
              <w:right w:w="108" w:type="dxa"/>
            </w:tcMar>
            <w:vAlign w:val="center"/>
            <w:hideMark/>
          </w:tcPr>
          <w:p w14:paraId="7B260B2F" w14:textId="77777777" w:rsidR="000309B5" w:rsidRPr="005A284F" w:rsidRDefault="00000000" w:rsidP="00D15C4E">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1-3</w:t>
            </w:r>
            <w:r w:rsidRPr="005A284F">
              <w:rPr>
                <w:rFonts w:ascii="Times New Roman" w:hAnsi="Times New Roman" w:cs="Times New Roman"/>
                <w:sz w:val="18"/>
                <w:szCs w:val="18"/>
              </w:rPr>
              <w:t>个月</w:t>
            </w:r>
          </w:p>
        </w:tc>
        <w:tc>
          <w:tcPr>
            <w:tcW w:w="2400" w:type="pct"/>
            <w:noWrap/>
            <w:tcMar>
              <w:top w:w="0" w:type="dxa"/>
              <w:left w:w="108" w:type="dxa"/>
              <w:bottom w:w="0" w:type="dxa"/>
              <w:right w:w="108" w:type="dxa"/>
            </w:tcMar>
            <w:vAlign w:val="center"/>
            <w:hideMark/>
          </w:tcPr>
          <w:p w14:paraId="7D87FBD0" w14:textId="77777777" w:rsidR="000309B5" w:rsidRPr="005A284F" w:rsidRDefault="00000000" w:rsidP="00D15C4E">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2.25%</w:t>
            </w:r>
          </w:p>
        </w:tc>
      </w:tr>
      <w:tr w:rsidR="000309B5" w:rsidRPr="005A284F" w14:paraId="6283EFBE" w14:textId="77777777" w:rsidTr="00D15C4E">
        <w:trPr>
          <w:divId w:val="1960211669"/>
          <w:trHeight w:val="340"/>
          <w:jc w:val="center"/>
        </w:trPr>
        <w:tc>
          <w:tcPr>
            <w:tcW w:w="2600" w:type="pct"/>
            <w:noWrap/>
            <w:tcMar>
              <w:top w:w="0" w:type="dxa"/>
              <w:left w:w="108" w:type="dxa"/>
              <w:bottom w:w="0" w:type="dxa"/>
              <w:right w:w="108" w:type="dxa"/>
            </w:tcMar>
            <w:vAlign w:val="center"/>
            <w:hideMark/>
          </w:tcPr>
          <w:p w14:paraId="4023F48A" w14:textId="77777777" w:rsidR="000309B5" w:rsidRPr="005A284F" w:rsidRDefault="00000000" w:rsidP="00D15C4E">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4-6</w:t>
            </w:r>
            <w:r w:rsidRPr="005A284F">
              <w:rPr>
                <w:rFonts w:ascii="Times New Roman" w:hAnsi="Times New Roman" w:cs="Times New Roman"/>
                <w:sz w:val="18"/>
                <w:szCs w:val="18"/>
              </w:rPr>
              <w:t>个月</w:t>
            </w:r>
          </w:p>
        </w:tc>
        <w:tc>
          <w:tcPr>
            <w:tcW w:w="2400" w:type="pct"/>
            <w:noWrap/>
            <w:tcMar>
              <w:top w:w="0" w:type="dxa"/>
              <w:left w:w="108" w:type="dxa"/>
              <w:bottom w:w="0" w:type="dxa"/>
              <w:right w:w="108" w:type="dxa"/>
            </w:tcMar>
            <w:vAlign w:val="center"/>
            <w:hideMark/>
          </w:tcPr>
          <w:p w14:paraId="3E692381" w14:textId="77777777" w:rsidR="000309B5" w:rsidRPr="005A284F" w:rsidRDefault="00000000" w:rsidP="00D15C4E">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2.25%</w:t>
            </w:r>
          </w:p>
        </w:tc>
      </w:tr>
      <w:tr w:rsidR="000309B5" w:rsidRPr="005A284F" w14:paraId="4B83535C" w14:textId="77777777" w:rsidTr="00D15C4E">
        <w:trPr>
          <w:divId w:val="1960211669"/>
          <w:trHeight w:val="340"/>
          <w:jc w:val="center"/>
        </w:trPr>
        <w:tc>
          <w:tcPr>
            <w:tcW w:w="2600" w:type="pct"/>
            <w:noWrap/>
            <w:tcMar>
              <w:top w:w="0" w:type="dxa"/>
              <w:left w:w="108" w:type="dxa"/>
              <w:bottom w:w="0" w:type="dxa"/>
              <w:right w:w="108" w:type="dxa"/>
            </w:tcMar>
            <w:vAlign w:val="center"/>
            <w:hideMark/>
          </w:tcPr>
          <w:p w14:paraId="7A912ABB" w14:textId="77777777" w:rsidR="000309B5" w:rsidRPr="005A284F" w:rsidRDefault="00000000" w:rsidP="00D15C4E">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7-9</w:t>
            </w:r>
            <w:r w:rsidRPr="005A284F">
              <w:rPr>
                <w:rFonts w:ascii="Times New Roman" w:hAnsi="Times New Roman" w:cs="Times New Roman"/>
                <w:sz w:val="18"/>
                <w:szCs w:val="18"/>
              </w:rPr>
              <w:t>个月</w:t>
            </w:r>
          </w:p>
        </w:tc>
        <w:tc>
          <w:tcPr>
            <w:tcW w:w="2400" w:type="pct"/>
            <w:noWrap/>
            <w:tcMar>
              <w:top w:w="0" w:type="dxa"/>
              <w:left w:w="108" w:type="dxa"/>
              <w:bottom w:w="0" w:type="dxa"/>
              <w:right w:w="108" w:type="dxa"/>
            </w:tcMar>
            <w:vAlign w:val="center"/>
            <w:hideMark/>
          </w:tcPr>
          <w:p w14:paraId="2E21388D" w14:textId="77777777" w:rsidR="000309B5" w:rsidRPr="005A284F" w:rsidRDefault="00000000" w:rsidP="00D15C4E">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2.25%</w:t>
            </w:r>
          </w:p>
        </w:tc>
      </w:tr>
      <w:tr w:rsidR="000309B5" w:rsidRPr="005A284F" w14:paraId="2C039BBA" w14:textId="77777777" w:rsidTr="00D15C4E">
        <w:trPr>
          <w:divId w:val="1960211669"/>
          <w:trHeight w:val="340"/>
          <w:jc w:val="center"/>
        </w:trPr>
        <w:tc>
          <w:tcPr>
            <w:tcW w:w="2600" w:type="pct"/>
            <w:noWrap/>
            <w:tcMar>
              <w:top w:w="0" w:type="dxa"/>
              <w:left w:w="108" w:type="dxa"/>
              <w:bottom w:w="0" w:type="dxa"/>
              <w:right w:w="108" w:type="dxa"/>
            </w:tcMar>
            <w:vAlign w:val="center"/>
            <w:hideMark/>
          </w:tcPr>
          <w:p w14:paraId="0821DDF9" w14:textId="77777777" w:rsidR="000309B5" w:rsidRPr="005A284F" w:rsidRDefault="00000000" w:rsidP="00D15C4E">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10-12</w:t>
            </w:r>
            <w:r w:rsidRPr="005A284F">
              <w:rPr>
                <w:rFonts w:ascii="Times New Roman" w:hAnsi="Times New Roman" w:cs="Times New Roman"/>
                <w:sz w:val="18"/>
                <w:szCs w:val="18"/>
              </w:rPr>
              <w:t>个月</w:t>
            </w:r>
          </w:p>
        </w:tc>
        <w:tc>
          <w:tcPr>
            <w:tcW w:w="2400" w:type="pct"/>
            <w:noWrap/>
            <w:tcMar>
              <w:top w:w="0" w:type="dxa"/>
              <w:left w:w="108" w:type="dxa"/>
              <w:bottom w:w="0" w:type="dxa"/>
              <w:right w:w="108" w:type="dxa"/>
            </w:tcMar>
            <w:vAlign w:val="center"/>
            <w:hideMark/>
          </w:tcPr>
          <w:p w14:paraId="164D3C00" w14:textId="77777777" w:rsidR="000309B5" w:rsidRPr="005A284F" w:rsidRDefault="00000000" w:rsidP="00D15C4E">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2.25%</w:t>
            </w:r>
          </w:p>
        </w:tc>
      </w:tr>
      <w:tr w:rsidR="000309B5" w:rsidRPr="005A284F" w14:paraId="12C6256E" w14:textId="77777777" w:rsidTr="00D15C4E">
        <w:trPr>
          <w:divId w:val="1960211669"/>
          <w:trHeight w:val="340"/>
          <w:jc w:val="center"/>
        </w:trPr>
        <w:tc>
          <w:tcPr>
            <w:tcW w:w="2600" w:type="pct"/>
            <w:noWrap/>
            <w:tcMar>
              <w:top w:w="0" w:type="dxa"/>
              <w:left w:w="108" w:type="dxa"/>
              <w:bottom w:w="0" w:type="dxa"/>
              <w:right w:w="108" w:type="dxa"/>
            </w:tcMar>
            <w:vAlign w:val="center"/>
            <w:hideMark/>
          </w:tcPr>
          <w:p w14:paraId="2179EC3D" w14:textId="77777777" w:rsidR="000309B5" w:rsidRPr="005A284F" w:rsidRDefault="00000000" w:rsidP="00D15C4E">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1-2</w:t>
            </w:r>
            <w:r w:rsidRPr="005A284F">
              <w:rPr>
                <w:rFonts w:ascii="Times New Roman" w:hAnsi="Times New Roman" w:cs="Times New Roman"/>
                <w:sz w:val="18"/>
                <w:szCs w:val="18"/>
              </w:rPr>
              <w:t>年</w:t>
            </w:r>
          </w:p>
        </w:tc>
        <w:tc>
          <w:tcPr>
            <w:tcW w:w="2400" w:type="pct"/>
            <w:noWrap/>
            <w:tcMar>
              <w:top w:w="0" w:type="dxa"/>
              <w:left w:w="108" w:type="dxa"/>
              <w:bottom w:w="0" w:type="dxa"/>
              <w:right w:w="108" w:type="dxa"/>
            </w:tcMar>
            <w:vAlign w:val="center"/>
            <w:hideMark/>
          </w:tcPr>
          <w:p w14:paraId="5D68A671" w14:textId="77777777" w:rsidR="000309B5" w:rsidRPr="005A284F" w:rsidRDefault="00000000" w:rsidP="00D15C4E">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25%</w:t>
            </w:r>
          </w:p>
        </w:tc>
      </w:tr>
      <w:tr w:rsidR="000309B5" w:rsidRPr="005A284F" w14:paraId="03AE9565" w14:textId="77777777" w:rsidTr="00D15C4E">
        <w:trPr>
          <w:divId w:val="1960211669"/>
          <w:trHeight w:val="340"/>
          <w:jc w:val="center"/>
        </w:trPr>
        <w:tc>
          <w:tcPr>
            <w:tcW w:w="2600" w:type="pct"/>
            <w:noWrap/>
            <w:tcMar>
              <w:top w:w="0" w:type="dxa"/>
              <w:left w:w="108" w:type="dxa"/>
              <w:bottom w:w="0" w:type="dxa"/>
              <w:right w:w="108" w:type="dxa"/>
            </w:tcMar>
            <w:vAlign w:val="center"/>
            <w:hideMark/>
          </w:tcPr>
          <w:p w14:paraId="5696A169" w14:textId="77777777" w:rsidR="000309B5" w:rsidRPr="005A284F" w:rsidRDefault="00000000" w:rsidP="00D15C4E">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2-3</w:t>
            </w:r>
            <w:r w:rsidRPr="005A284F">
              <w:rPr>
                <w:rFonts w:ascii="Times New Roman" w:hAnsi="Times New Roman" w:cs="Times New Roman"/>
                <w:sz w:val="18"/>
                <w:szCs w:val="18"/>
              </w:rPr>
              <w:t>年</w:t>
            </w:r>
          </w:p>
        </w:tc>
        <w:tc>
          <w:tcPr>
            <w:tcW w:w="2400" w:type="pct"/>
            <w:noWrap/>
            <w:tcMar>
              <w:top w:w="0" w:type="dxa"/>
              <w:left w:w="108" w:type="dxa"/>
              <w:bottom w:w="0" w:type="dxa"/>
              <w:right w:w="108" w:type="dxa"/>
            </w:tcMar>
            <w:vAlign w:val="center"/>
            <w:hideMark/>
          </w:tcPr>
          <w:p w14:paraId="6BBB18AD" w14:textId="77777777" w:rsidR="000309B5" w:rsidRPr="005A284F" w:rsidRDefault="00000000" w:rsidP="00D15C4E">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50%</w:t>
            </w:r>
          </w:p>
        </w:tc>
      </w:tr>
      <w:tr w:rsidR="000309B5" w:rsidRPr="005A284F" w14:paraId="2A7EF642" w14:textId="77777777" w:rsidTr="00D15C4E">
        <w:trPr>
          <w:divId w:val="1960211669"/>
          <w:trHeight w:val="340"/>
          <w:jc w:val="center"/>
        </w:trPr>
        <w:tc>
          <w:tcPr>
            <w:tcW w:w="2600" w:type="pct"/>
            <w:noWrap/>
            <w:tcMar>
              <w:top w:w="0" w:type="dxa"/>
              <w:left w:w="108" w:type="dxa"/>
              <w:bottom w:w="0" w:type="dxa"/>
              <w:right w:w="108" w:type="dxa"/>
            </w:tcMar>
            <w:vAlign w:val="center"/>
            <w:hideMark/>
          </w:tcPr>
          <w:p w14:paraId="5BA5F092" w14:textId="77777777" w:rsidR="000309B5" w:rsidRPr="005A284F" w:rsidRDefault="00000000" w:rsidP="00D15C4E">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3</w:t>
            </w:r>
            <w:r w:rsidRPr="005A284F">
              <w:rPr>
                <w:rFonts w:ascii="Times New Roman" w:hAnsi="Times New Roman" w:cs="Times New Roman"/>
                <w:sz w:val="18"/>
                <w:szCs w:val="18"/>
              </w:rPr>
              <w:t>年以上</w:t>
            </w:r>
          </w:p>
        </w:tc>
        <w:tc>
          <w:tcPr>
            <w:tcW w:w="2400" w:type="pct"/>
            <w:noWrap/>
            <w:tcMar>
              <w:top w:w="0" w:type="dxa"/>
              <w:left w:w="108" w:type="dxa"/>
              <w:bottom w:w="0" w:type="dxa"/>
              <w:right w:w="108" w:type="dxa"/>
            </w:tcMar>
            <w:vAlign w:val="center"/>
            <w:hideMark/>
          </w:tcPr>
          <w:p w14:paraId="080B09AD" w14:textId="77777777" w:rsidR="000309B5" w:rsidRPr="005A284F" w:rsidRDefault="00000000" w:rsidP="00D15C4E">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80%</w:t>
            </w:r>
          </w:p>
        </w:tc>
      </w:tr>
    </w:tbl>
    <w:p w14:paraId="74DB5D54" w14:textId="77777777" w:rsidR="006C011D" w:rsidRPr="005A284F" w:rsidRDefault="00000000">
      <w:pPr>
        <w:pStyle w:val="3"/>
        <w:spacing w:line="280" w:lineRule="exact"/>
        <w:jc w:val="left"/>
        <w:rPr>
          <w:rFonts w:ascii="Times New Roman" w:hAnsi="Times New Roman" w:cs="Times New Roman"/>
          <w:b/>
          <w:bCs/>
        </w:rPr>
      </w:pPr>
      <w:bookmarkStart w:id="128" w:name="_Toc989017"/>
      <w:r w:rsidRPr="005A284F">
        <w:rPr>
          <w:rFonts w:ascii="Times New Roman" w:hAnsi="Times New Roman" w:cs="Times New Roman"/>
          <w:b/>
          <w:bCs/>
        </w:rPr>
        <w:t>14</w:t>
      </w:r>
      <w:r w:rsidRPr="005A284F">
        <w:rPr>
          <w:rFonts w:ascii="Times New Roman" w:hAnsi="Times New Roman" w:cs="Times New Roman"/>
          <w:b/>
          <w:bCs/>
        </w:rPr>
        <w:t>、应收款项融资</w:t>
      </w:r>
      <w:bookmarkEnd w:id="128"/>
    </w:p>
    <w:p w14:paraId="1E985C0C" w14:textId="265F2102" w:rsidR="000309B5" w:rsidRPr="005A284F" w:rsidRDefault="00000000" w:rsidP="00D15C4E">
      <w:pPr>
        <w:pStyle w:val="a3"/>
        <w:spacing w:before="0" w:beforeAutospacing="0" w:after="0" w:afterAutospacing="0" w:line="276" w:lineRule="auto"/>
        <w:ind w:firstLineChars="200" w:firstLine="360"/>
        <w:jc w:val="both"/>
        <w:divId w:val="1867715945"/>
        <w:rPr>
          <w:rFonts w:ascii="Times New Roman" w:hAnsi="Times New Roman" w:cs="Times New Roman"/>
          <w:sz w:val="21"/>
          <w:szCs w:val="21"/>
        </w:rPr>
      </w:pPr>
      <w:r w:rsidRPr="005A284F">
        <w:rPr>
          <w:rFonts w:ascii="Times New Roman" w:hAnsi="Times New Roman" w:cs="Times New Roman"/>
          <w:sz w:val="18"/>
          <w:szCs w:val="18"/>
        </w:rPr>
        <w:t>分类为以公允价值计量且其变动计入其他综合收益的应收票据和应收账款，自初始确认日起到期期限在一年内（含一年）的，列示为应收款项融资；自初始确认日起到期期限在一年以上的，列示为其他债权投资。其相关会计政策参见本附注五、</w:t>
      </w:r>
      <w:r w:rsidRPr="005A284F">
        <w:rPr>
          <w:rFonts w:ascii="Times New Roman" w:hAnsi="Times New Roman" w:cs="Times New Roman"/>
          <w:sz w:val="18"/>
          <w:szCs w:val="18"/>
        </w:rPr>
        <w:t>11“</w:t>
      </w:r>
      <w:r w:rsidRPr="005A284F">
        <w:rPr>
          <w:rFonts w:ascii="Times New Roman" w:hAnsi="Times New Roman" w:cs="Times New Roman"/>
          <w:sz w:val="18"/>
          <w:szCs w:val="18"/>
        </w:rPr>
        <w:t>金融工具</w:t>
      </w:r>
      <w:r w:rsidRPr="005A284F">
        <w:rPr>
          <w:rFonts w:ascii="Times New Roman" w:hAnsi="Times New Roman" w:cs="Times New Roman"/>
          <w:sz w:val="18"/>
          <w:szCs w:val="18"/>
        </w:rPr>
        <w:t xml:space="preserve"> ”</w:t>
      </w:r>
      <w:r w:rsidRPr="005A284F">
        <w:rPr>
          <w:rFonts w:ascii="Times New Roman" w:hAnsi="Times New Roman" w:cs="Times New Roman"/>
          <w:sz w:val="18"/>
          <w:szCs w:val="18"/>
        </w:rPr>
        <w:t>。</w:t>
      </w:r>
    </w:p>
    <w:p w14:paraId="56100E00" w14:textId="77777777" w:rsidR="006C011D" w:rsidRPr="005A284F" w:rsidRDefault="00000000">
      <w:pPr>
        <w:pStyle w:val="3"/>
        <w:spacing w:line="280" w:lineRule="exact"/>
        <w:jc w:val="left"/>
        <w:rPr>
          <w:rFonts w:ascii="Times New Roman" w:hAnsi="Times New Roman" w:cs="Times New Roman"/>
          <w:b/>
          <w:bCs/>
        </w:rPr>
      </w:pPr>
      <w:bookmarkStart w:id="129" w:name="_Toc989018"/>
      <w:r w:rsidRPr="005A284F">
        <w:rPr>
          <w:rFonts w:ascii="Times New Roman" w:hAnsi="Times New Roman" w:cs="Times New Roman"/>
          <w:b/>
          <w:bCs/>
        </w:rPr>
        <w:t>15</w:t>
      </w:r>
      <w:r w:rsidRPr="005A284F">
        <w:rPr>
          <w:rFonts w:ascii="Times New Roman" w:hAnsi="Times New Roman" w:cs="Times New Roman"/>
          <w:b/>
          <w:bCs/>
        </w:rPr>
        <w:t>、其他应收款</w:t>
      </w:r>
      <w:bookmarkEnd w:id="129"/>
    </w:p>
    <w:p w14:paraId="40F60771" w14:textId="77777777" w:rsidR="006C011D" w:rsidRPr="00D15C4E" w:rsidRDefault="00000000">
      <w:pPr>
        <w:spacing w:before="100" w:after="100" w:line="240" w:lineRule="exact"/>
        <w:rPr>
          <w:rFonts w:ascii="Times New Roman" w:eastAsia="宋体" w:hAnsi="Times New Roman" w:cs="Times New Roman"/>
          <w:kern w:val="0"/>
          <w:sz w:val="18"/>
          <w:szCs w:val="18"/>
          <w14:ligatures w14:val="none"/>
        </w:rPr>
      </w:pPr>
      <w:r w:rsidRPr="00D15C4E">
        <w:rPr>
          <w:rFonts w:ascii="Times New Roman" w:eastAsia="宋体" w:hAnsi="Times New Roman" w:cs="Times New Roman"/>
          <w:kern w:val="0"/>
          <w:sz w:val="18"/>
          <w:szCs w:val="18"/>
          <w14:ligatures w14:val="none"/>
        </w:rPr>
        <w:t>其他应收款的预期信用损失的确定方法及会计处理方法</w:t>
      </w:r>
    </w:p>
    <w:p w14:paraId="3988540A" w14:textId="77777777" w:rsidR="000309B5" w:rsidRPr="00D15C4E" w:rsidRDefault="00000000">
      <w:pPr>
        <w:pStyle w:val="a3"/>
        <w:spacing w:before="0" w:beforeAutospacing="0" w:after="0" w:afterAutospacing="0" w:line="273" w:lineRule="auto"/>
        <w:ind w:firstLine="357"/>
        <w:jc w:val="both"/>
        <w:divId w:val="1289506817"/>
        <w:rPr>
          <w:rFonts w:ascii="Times New Roman" w:hAnsi="Times New Roman" w:cs="Times New Roman"/>
          <w:sz w:val="18"/>
          <w:szCs w:val="18"/>
        </w:rPr>
      </w:pPr>
      <w:r w:rsidRPr="005A284F">
        <w:rPr>
          <w:rFonts w:ascii="Times New Roman" w:hAnsi="Times New Roman" w:cs="Times New Roman"/>
          <w:sz w:val="18"/>
          <w:szCs w:val="18"/>
        </w:rPr>
        <w:t>按照附注五、</w:t>
      </w:r>
      <w:r w:rsidRPr="005A284F">
        <w:rPr>
          <w:rFonts w:ascii="Times New Roman" w:hAnsi="Times New Roman" w:cs="Times New Roman"/>
          <w:sz w:val="18"/>
          <w:szCs w:val="18"/>
        </w:rPr>
        <w:t>11</w:t>
      </w:r>
      <w:r w:rsidRPr="005A284F">
        <w:rPr>
          <w:rFonts w:ascii="Times New Roman" w:hAnsi="Times New Roman" w:cs="Times New Roman"/>
          <w:sz w:val="18"/>
          <w:szCs w:val="18"/>
        </w:rPr>
        <w:t>、（</w:t>
      </w:r>
      <w:r w:rsidRPr="005A284F">
        <w:rPr>
          <w:rFonts w:ascii="Times New Roman" w:hAnsi="Times New Roman" w:cs="Times New Roman"/>
          <w:sz w:val="18"/>
          <w:szCs w:val="18"/>
        </w:rPr>
        <w:t>2</w:t>
      </w:r>
      <w:r w:rsidRPr="005A284F">
        <w:rPr>
          <w:rFonts w:ascii="Times New Roman" w:hAnsi="Times New Roman" w:cs="Times New Roman"/>
          <w:sz w:val="18"/>
          <w:szCs w:val="18"/>
        </w:rPr>
        <w:t>）减值准备的确认和计量中的描述确认和计量减值。当单项其他应收款无法以合理成本评估预期信用损失的信息时，本公司依据信用风险特征将其他应收款划分为若干组合，在组合基础上计算预期信用损失。对于按账龄划分组合的其他应收款，账龄自确认之日起计算。确定组合的依据如下：</w:t>
      </w:r>
    </w:p>
    <w:tbl>
      <w:tblPr>
        <w:tblW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7"/>
        <w:gridCol w:w="7910"/>
      </w:tblGrid>
      <w:tr w:rsidR="000309B5" w:rsidRPr="005A284F" w14:paraId="52E59F75" w14:textId="77777777" w:rsidTr="00D15C4E">
        <w:trPr>
          <w:divId w:val="1289506817"/>
          <w:trHeight w:val="378"/>
        </w:trPr>
        <w:tc>
          <w:tcPr>
            <w:tcW w:w="2500" w:type="pct"/>
            <w:tcMar>
              <w:top w:w="0" w:type="dxa"/>
              <w:left w:w="108" w:type="dxa"/>
              <w:bottom w:w="0" w:type="dxa"/>
              <w:right w:w="108" w:type="dxa"/>
            </w:tcMar>
            <w:vAlign w:val="center"/>
            <w:hideMark/>
          </w:tcPr>
          <w:p w14:paraId="3E0CE33E"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项目</w:t>
            </w:r>
          </w:p>
        </w:tc>
        <w:tc>
          <w:tcPr>
            <w:tcW w:w="2500" w:type="pct"/>
            <w:tcMar>
              <w:top w:w="0" w:type="dxa"/>
              <w:left w:w="108" w:type="dxa"/>
              <w:bottom w:w="0" w:type="dxa"/>
              <w:right w:w="108" w:type="dxa"/>
            </w:tcMar>
            <w:vAlign w:val="center"/>
            <w:hideMark/>
          </w:tcPr>
          <w:p w14:paraId="0F7692AD" w14:textId="77777777" w:rsidR="000309B5" w:rsidRPr="005A284F" w:rsidRDefault="00000000">
            <w:pPr>
              <w:pStyle w:val="a3"/>
              <w:spacing w:before="0" w:beforeAutospacing="0" w:after="0" w:afterAutospacing="0" w:line="273" w:lineRule="auto"/>
              <w:ind w:firstLine="360"/>
              <w:jc w:val="center"/>
              <w:rPr>
                <w:rFonts w:ascii="Times New Roman" w:hAnsi="Times New Roman" w:cs="Times New Roman"/>
              </w:rPr>
            </w:pPr>
            <w:r w:rsidRPr="005A284F">
              <w:rPr>
                <w:rFonts w:ascii="Times New Roman" w:hAnsi="Times New Roman" w:cs="Times New Roman"/>
                <w:sz w:val="18"/>
                <w:szCs w:val="18"/>
              </w:rPr>
              <w:t>确定组合的依据</w:t>
            </w:r>
          </w:p>
        </w:tc>
      </w:tr>
      <w:tr w:rsidR="000309B5" w:rsidRPr="005A284F" w14:paraId="49E9F9D2" w14:textId="77777777" w:rsidTr="00D15C4E">
        <w:trPr>
          <w:divId w:val="1289506817"/>
          <w:trHeight w:val="300"/>
        </w:trPr>
        <w:tc>
          <w:tcPr>
            <w:tcW w:w="2500" w:type="pct"/>
            <w:noWrap/>
            <w:tcMar>
              <w:top w:w="0" w:type="dxa"/>
              <w:left w:w="108" w:type="dxa"/>
              <w:bottom w:w="0" w:type="dxa"/>
              <w:right w:w="108" w:type="dxa"/>
            </w:tcMar>
            <w:vAlign w:val="center"/>
            <w:hideMark/>
          </w:tcPr>
          <w:p w14:paraId="4E233693" w14:textId="77777777" w:rsidR="000309B5" w:rsidRPr="005A284F" w:rsidRDefault="00000000">
            <w:pPr>
              <w:pStyle w:val="a3"/>
              <w:spacing w:before="0" w:beforeAutospacing="0" w:after="0" w:afterAutospacing="0" w:line="273" w:lineRule="auto"/>
              <w:jc w:val="both"/>
              <w:rPr>
                <w:rFonts w:ascii="Times New Roman" w:hAnsi="Times New Roman" w:cs="Times New Roman"/>
              </w:rPr>
            </w:pPr>
            <w:r w:rsidRPr="005A284F">
              <w:rPr>
                <w:rFonts w:ascii="Times New Roman" w:hAnsi="Times New Roman" w:cs="Times New Roman"/>
                <w:sz w:val="18"/>
                <w:szCs w:val="18"/>
              </w:rPr>
              <w:t>组合</w:t>
            </w:r>
            <w:r w:rsidRPr="005A284F">
              <w:rPr>
                <w:rFonts w:ascii="Times New Roman" w:hAnsi="Times New Roman" w:cs="Times New Roman"/>
                <w:sz w:val="18"/>
                <w:szCs w:val="18"/>
              </w:rPr>
              <w:t>1</w:t>
            </w:r>
            <w:r w:rsidRPr="005A284F">
              <w:rPr>
                <w:rFonts w:ascii="Times New Roman" w:hAnsi="Times New Roman" w:cs="Times New Roman"/>
                <w:sz w:val="18"/>
                <w:szCs w:val="18"/>
              </w:rPr>
              <w:t>：应收合并范围内关联方款项组合</w:t>
            </w:r>
          </w:p>
        </w:tc>
        <w:tc>
          <w:tcPr>
            <w:tcW w:w="2500" w:type="pct"/>
            <w:noWrap/>
            <w:tcMar>
              <w:top w:w="0" w:type="dxa"/>
              <w:left w:w="108" w:type="dxa"/>
              <w:bottom w:w="0" w:type="dxa"/>
              <w:right w:w="108" w:type="dxa"/>
            </w:tcMar>
            <w:vAlign w:val="center"/>
            <w:hideMark/>
          </w:tcPr>
          <w:p w14:paraId="37F194E5" w14:textId="77777777" w:rsidR="000309B5" w:rsidRPr="005A284F" w:rsidRDefault="00000000">
            <w:pPr>
              <w:pStyle w:val="a3"/>
              <w:spacing w:before="0" w:beforeAutospacing="0" w:after="0" w:afterAutospacing="0" w:line="273" w:lineRule="auto"/>
              <w:jc w:val="both"/>
              <w:rPr>
                <w:rFonts w:ascii="Times New Roman" w:hAnsi="Times New Roman" w:cs="Times New Roman"/>
              </w:rPr>
            </w:pPr>
            <w:r w:rsidRPr="005A284F">
              <w:rPr>
                <w:rFonts w:ascii="Times New Roman" w:hAnsi="Times New Roman" w:cs="Times New Roman"/>
                <w:sz w:val="18"/>
                <w:szCs w:val="18"/>
              </w:rPr>
              <w:t>合并范围内各家单位之间的往来款项</w:t>
            </w:r>
          </w:p>
        </w:tc>
      </w:tr>
      <w:tr w:rsidR="000309B5" w:rsidRPr="005A284F" w14:paraId="490243F4" w14:textId="77777777" w:rsidTr="00D15C4E">
        <w:trPr>
          <w:divId w:val="1289506817"/>
          <w:trHeight w:val="300"/>
        </w:trPr>
        <w:tc>
          <w:tcPr>
            <w:tcW w:w="2500" w:type="pct"/>
            <w:noWrap/>
            <w:tcMar>
              <w:top w:w="0" w:type="dxa"/>
              <w:left w:w="108" w:type="dxa"/>
              <w:bottom w:w="0" w:type="dxa"/>
              <w:right w:w="108" w:type="dxa"/>
            </w:tcMar>
            <w:vAlign w:val="center"/>
            <w:hideMark/>
          </w:tcPr>
          <w:p w14:paraId="3021C4F5" w14:textId="77777777" w:rsidR="000309B5" w:rsidRPr="005A284F" w:rsidRDefault="00000000">
            <w:pPr>
              <w:pStyle w:val="a3"/>
              <w:spacing w:before="0" w:beforeAutospacing="0" w:after="0" w:afterAutospacing="0" w:line="273" w:lineRule="auto"/>
              <w:jc w:val="both"/>
              <w:rPr>
                <w:rFonts w:ascii="Times New Roman" w:hAnsi="Times New Roman" w:cs="Times New Roman"/>
              </w:rPr>
            </w:pPr>
            <w:r w:rsidRPr="005A284F">
              <w:rPr>
                <w:rFonts w:ascii="Times New Roman" w:hAnsi="Times New Roman" w:cs="Times New Roman"/>
                <w:sz w:val="18"/>
                <w:szCs w:val="18"/>
              </w:rPr>
              <w:t>组合</w:t>
            </w:r>
            <w:r w:rsidRPr="005A284F">
              <w:rPr>
                <w:rFonts w:ascii="Times New Roman" w:hAnsi="Times New Roman" w:cs="Times New Roman"/>
                <w:sz w:val="18"/>
                <w:szCs w:val="18"/>
              </w:rPr>
              <w:t>2</w:t>
            </w:r>
            <w:r w:rsidRPr="005A284F">
              <w:rPr>
                <w:rFonts w:ascii="Times New Roman" w:hAnsi="Times New Roman" w:cs="Times New Roman"/>
                <w:sz w:val="18"/>
                <w:szCs w:val="18"/>
              </w:rPr>
              <w:t>：账龄组合</w:t>
            </w:r>
          </w:p>
        </w:tc>
        <w:tc>
          <w:tcPr>
            <w:tcW w:w="2500" w:type="pct"/>
            <w:noWrap/>
            <w:tcMar>
              <w:top w:w="0" w:type="dxa"/>
              <w:left w:w="108" w:type="dxa"/>
              <w:bottom w:w="0" w:type="dxa"/>
              <w:right w:w="108" w:type="dxa"/>
            </w:tcMar>
            <w:vAlign w:val="center"/>
            <w:hideMark/>
          </w:tcPr>
          <w:p w14:paraId="1A8DB26A" w14:textId="77777777" w:rsidR="000309B5" w:rsidRPr="005A284F" w:rsidRDefault="00000000">
            <w:pPr>
              <w:pStyle w:val="a3"/>
              <w:spacing w:before="0" w:beforeAutospacing="0" w:after="0" w:afterAutospacing="0" w:line="273" w:lineRule="auto"/>
              <w:jc w:val="both"/>
              <w:rPr>
                <w:rFonts w:ascii="Times New Roman" w:hAnsi="Times New Roman" w:cs="Times New Roman"/>
              </w:rPr>
            </w:pPr>
            <w:r w:rsidRPr="005A284F">
              <w:rPr>
                <w:rFonts w:ascii="Times New Roman" w:hAnsi="Times New Roman" w:cs="Times New Roman"/>
                <w:sz w:val="18"/>
                <w:szCs w:val="18"/>
              </w:rPr>
              <w:t>除上述组合外的其他组合，本组合以其他应收款的账龄作为信用风险特征。公司根据账龄段划分的具有类似信用风险特征的其他应收款组合的预期损失率为基础，结合现时情况分析法确定坏账准备计提的比例</w:t>
            </w:r>
          </w:p>
        </w:tc>
      </w:tr>
    </w:tbl>
    <w:p w14:paraId="76F5D15D" w14:textId="77777777" w:rsidR="000309B5" w:rsidRPr="005A284F" w:rsidRDefault="00000000">
      <w:pPr>
        <w:pStyle w:val="a3"/>
        <w:spacing w:before="0" w:beforeAutospacing="0" w:after="0" w:afterAutospacing="0" w:line="273" w:lineRule="auto"/>
        <w:ind w:firstLine="357"/>
        <w:jc w:val="both"/>
        <w:divId w:val="1289506817"/>
        <w:rPr>
          <w:rFonts w:ascii="Times New Roman" w:hAnsi="Times New Roman" w:cs="Times New Roman"/>
        </w:rPr>
      </w:pPr>
      <w:r w:rsidRPr="005A284F">
        <w:rPr>
          <w:rFonts w:ascii="Times New Roman" w:hAnsi="Times New Roman" w:cs="Times New Roman"/>
          <w:sz w:val="18"/>
          <w:szCs w:val="18"/>
        </w:rPr>
        <w:lastRenderedPageBreak/>
        <w:t>各组合预期信用损失率：</w:t>
      </w:r>
    </w:p>
    <w:p w14:paraId="4F6DC1F0" w14:textId="77777777" w:rsidR="000309B5" w:rsidRPr="005A284F" w:rsidRDefault="00000000">
      <w:pPr>
        <w:pStyle w:val="a3"/>
        <w:spacing w:before="0" w:beforeAutospacing="0" w:after="0" w:afterAutospacing="0" w:line="273" w:lineRule="auto"/>
        <w:ind w:firstLine="357"/>
        <w:jc w:val="both"/>
        <w:divId w:val="1289506817"/>
        <w:rPr>
          <w:rFonts w:ascii="Times New Roman" w:hAnsi="Times New Roman" w:cs="Times New Roman"/>
        </w:rPr>
      </w:pPr>
      <w:r w:rsidRPr="005A284F">
        <w:rPr>
          <w:rFonts w:ascii="Times New Roman" w:hAnsi="Times New Roman" w:cs="Times New Roman"/>
          <w:sz w:val="18"/>
          <w:szCs w:val="18"/>
        </w:rPr>
        <w:t>其他应收款组合</w:t>
      </w:r>
      <w:r w:rsidRPr="005A284F">
        <w:rPr>
          <w:rFonts w:ascii="Times New Roman" w:hAnsi="Times New Roman" w:cs="Times New Roman"/>
          <w:sz w:val="18"/>
          <w:szCs w:val="18"/>
        </w:rPr>
        <w:t>1</w:t>
      </w:r>
      <w:r w:rsidRPr="005A284F">
        <w:rPr>
          <w:rFonts w:ascii="Times New Roman" w:hAnsi="Times New Roman" w:cs="Times New Roman"/>
          <w:sz w:val="18"/>
          <w:szCs w:val="18"/>
        </w:rPr>
        <w:t>：应收合并范围内关联方款项组合：合并范围内公司的往来款，一般不计提坏账准备，除非子公司发生明显的大额亏损考虑单项计提坏账准备。</w:t>
      </w:r>
    </w:p>
    <w:p w14:paraId="40B5F66B" w14:textId="77777777" w:rsidR="000309B5" w:rsidRPr="005A284F" w:rsidRDefault="00000000">
      <w:pPr>
        <w:pStyle w:val="a3"/>
        <w:spacing w:before="0" w:beforeAutospacing="0" w:after="0" w:afterAutospacing="0" w:line="273" w:lineRule="auto"/>
        <w:ind w:firstLine="357"/>
        <w:jc w:val="both"/>
        <w:divId w:val="1289506817"/>
        <w:rPr>
          <w:rFonts w:ascii="Times New Roman" w:hAnsi="Times New Roman" w:cs="Times New Roman"/>
        </w:rPr>
      </w:pPr>
      <w:r w:rsidRPr="005A284F">
        <w:rPr>
          <w:rFonts w:ascii="Times New Roman" w:hAnsi="Times New Roman" w:cs="Times New Roman"/>
          <w:sz w:val="18"/>
          <w:szCs w:val="18"/>
        </w:rPr>
        <w:t>其他应收款组合</w:t>
      </w:r>
      <w:r w:rsidRPr="005A284F">
        <w:rPr>
          <w:rFonts w:ascii="Times New Roman" w:hAnsi="Times New Roman" w:cs="Times New Roman"/>
          <w:sz w:val="18"/>
          <w:szCs w:val="18"/>
        </w:rPr>
        <w:t>2</w:t>
      </w:r>
      <w:r w:rsidRPr="005A284F">
        <w:rPr>
          <w:rFonts w:ascii="Times New Roman" w:hAnsi="Times New Roman" w:cs="Times New Roman"/>
          <w:sz w:val="18"/>
          <w:szCs w:val="18"/>
        </w:rPr>
        <w:t>：账龄组合：</w:t>
      </w: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25"/>
        <w:gridCol w:w="4270"/>
      </w:tblGrid>
      <w:tr w:rsidR="000309B5" w:rsidRPr="005A284F" w14:paraId="30D87073" w14:textId="77777777" w:rsidTr="00D15C4E">
        <w:trPr>
          <w:divId w:val="1289506817"/>
          <w:trHeight w:val="340"/>
          <w:jc w:val="center"/>
        </w:trPr>
        <w:tc>
          <w:tcPr>
            <w:tcW w:w="2600" w:type="pct"/>
            <w:tcMar>
              <w:top w:w="0" w:type="dxa"/>
              <w:left w:w="108" w:type="dxa"/>
              <w:bottom w:w="0" w:type="dxa"/>
              <w:right w:w="108" w:type="dxa"/>
            </w:tcMar>
            <w:vAlign w:val="center"/>
            <w:hideMark/>
          </w:tcPr>
          <w:p w14:paraId="1FBB45BC"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账龄</w:t>
            </w:r>
          </w:p>
        </w:tc>
        <w:tc>
          <w:tcPr>
            <w:tcW w:w="2400" w:type="pct"/>
            <w:tcMar>
              <w:top w:w="0" w:type="dxa"/>
              <w:left w:w="108" w:type="dxa"/>
              <w:bottom w:w="0" w:type="dxa"/>
              <w:right w:w="108" w:type="dxa"/>
            </w:tcMar>
            <w:vAlign w:val="center"/>
            <w:hideMark/>
          </w:tcPr>
          <w:p w14:paraId="6E6EEF1F"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预期信用损失率（</w:t>
            </w:r>
            <w:r w:rsidRPr="005A284F">
              <w:rPr>
                <w:rFonts w:ascii="Times New Roman" w:hAnsi="Times New Roman" w:cs="Times New Roman"/>
                <w:sz w:val="18"/>
                <w:szCs w:val="18"/>
              </w:rPr>
              <w:t>%</w:t>
            </w:r>
            <w:r w:rsidRPr="005A284F">
              <w:rPr>
                <w:rFonts w:ascii="Times New Roman" w:hAnsi="Times New Roman" w:cs="Times New Roman"/>
                <w:sz w:val="18"/>
                <w:szCs w:val="18"/>
              </w:rPr>
              <w:t>）</w:t>
            </w:r>
          </w:p>
        </w:tc>
      </w:tr>
      <w:tr w:rsidR="000309B5" w:rsidRPr="005A284F" w14:paraId="65B40860" w14:textId="77777777" w:rsidTr="00D15C4E">
        <w:trPr>
          <w:divId w:val="1289506817"/>
          <w:trHeight w:val="340"/>
          <w:jc w:val="center"/>
        </w:trPr>
        <w:tc>
          <w:tcPr>
            <w:tcW w:w="2600" w:type="pct"/>
            <w:noWrap/>
            <w:tcMar>
              <w:top w:w="0" w:type="dxa"/>
              <w:left w:w="108" w:type="dxa"/>
              <w:bottom w:w="0" w:type="dxa"/>
              <w:right w:w="108" w:type="dxa"/>
            </w:tcMar>
            <w:vAlign w:val="center"/>
            <w:hideMark/>
          </w:tcPr>
          <w:p w14:paraId="7A5EACBD"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1-3</w:t>
            </w:r>
            <w:r w:rsidRPr="005A284F">
              <w:rPr>
                <w:rFonts w:ascii="Times New Roman" w:hAnsi="Times New Roman" w:cs="Times New Roman"/>
                <w:sz w:val="18"/>
                <w:szCs w:val="18"/>
              </w:rPr>
              <w:t>个月</w:t>
            </w:r>
          </w:p>
        </w:tc>
        <w:tc>
          <w:tcPr>
            <w:tcW w:w="2400" w:type="pct"/>
            <w:noWrap/>
            <w:tcMar>
              <w:top w:w="0" w:type="dxa"/>
              <w:left w:w="108" w:type="dxa"/>
              <w:bottom w:w="0" w:type="dxa"/>
              <w:right w:w="108" w:type="dxa"/>
            </w:tcMar>
            <w:vAlign w:val="center"/>
            <w:hideMark/>
          </w:tcPr>
          <w:p w14:paraId="1D15BB02"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1.23</w:t>
            </w:r>
          </w:p>
        </w:tc>
      </w:tr>
      <w:tr w:rsidR="000309B5" w:rsidRPr="005A284F" w14:paraId="5196CBBF" w14:textId="77777777" w:rsidTr="00D15C4E">
        <w:trPr>
          <w:divId w:val="1289506817"/>
          <w:trHeight w:val="340"/>
          <w:jc w:val="center"/>
        </w:trPr>
        <w:tc>
          <w:tcPr>
            <w:tcW w:w="2600" w:type="pct"/>
            <w:noWrap/>
            <w:tcMar>
              <w:top w:w="0" w:type="dxa"/>
              <w:left w:w="108" w:type="dxa"/>
              <w:bottom w:w="0" w:type="dxa"/>
              <w:right w:w="108" w:type="dxa"/>
            </w:tcMar>
            <w:vAlign w:val="center"/>
            <w:hideMark/>
          </w:tcPr>
          <w:p w14:paraId="46B2441C"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4-6</w:t>
            </w:r>
            <w:r w:rsidRPr="005A284F">
              <w:rPr>
                <w:rFonts w:ascii="Times New Roman" w:hAnsi="Times New Roman" w:cs="Times New Roman"/>
                <w:sz w:val="18"/>
                <w:szCs w:val="18"/>
              </w:rPr>
              <w:t>个月</w:t>
            </w:r>
          </w:p>
        </w:tc>
        <w:tc>
          <w:tcPr>
            <w:tcW w:w="2400" w:type="pct"/>
            <w:noWrap/>
            <w:tcMar>
              <w:top w:w="0" w:type="dxa"/>
              <w:left w:w="108" w:type="dxa"/>
              <w:bottom w:w="0" w:type="dxa"/>
              <w:right w:w="108" w:type="dxa"/>
            </w:tcMar>
            <w:vAlign w:val="center"/>
            <w:hideMark/>
          </w:tcPr>
          <w:p w14:paraId="3FEBBBF7"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1.23</w:t>
            </w:r>
          </w:p>
        </w:tc>
      </w:tr>
      <w:tr w:rsidR="000309B5" w:rsidRPr="005A284F" w14:paraId="0DFFD83A" w14:textId="77777777" w:rsidTr="00D15C4E">
        <w:trPr>
          <w:divId w:val="1289506817"/>
          <w:trHeight w:val="340"/>
          <w:jc w:val="center"/>
        </w:trPr>
        <w:tc>
          <w:tcPr>
            <w:tcW w:w="2600" w:type="pct"/>
            <w:noWrap/>
            <w:tcMar>
              <w:top w:w="0" w:type="dxa"/>
              <w:left w:w="108" w:type="dxa"/>
              <w:bottom w:w="0" w:type="dxa"/>
              <w:right w:w="108" w:type="dxa"/>
            </w:tcMar>
            <w:vAlign w:val="center"/>
            <w:hideMark/>
          </w:tcPr>
          <w:p w14:paraId="21133023"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7-9</w:t>
            </w:r>
            <w:r w:rsidRPr="005A284F">
              <w:rPr>
                <w:rFonts w:ascii="Times New Roman" w:hAnsi="Times New Roman" w:cs="Times New Roman"/>
                <w:sz w:val="18"/>
                <w:szCs w:val="18"/>
              </w:rPr>
              <w:t>个月</w:t>
            </w:r>
          </w:p>
        </w:tc>
        <w:tc>
          <w:tcPr>
            <w:tcW w:w="2400" w:type="pct"/>
            <w:noWrap/>
            <w:tcMar>
              <w:top w:w="0" w:type="dxa"/>
              <w:left w:w="108" w:type="dxa"/>
              <w:bottom w:w="0" w:type="dxa"/>
              <w:right w:w="108" w:type="dxa"/>
            </w:tcMar>
            <w:vAlign w:val="center"/>
            <w:hideMark/>
          </w:tcPr>
          <w:p w14:paraId="782A68B5"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1.23</w:t>
            </w:r>
          </w:p>
        </w:tc>
      </w:tr>
      <w:tr w:rsidR="000309B5" w:rsidRPr="005A284F" w14:paraId="6DFFCAB1" w14:textId="77777777" w:rsidTr="00D15C4E">
        <w:trPr>
          <w:divId w:val="1289506817"/>
          <w:trHeight w:val="340"/>
          <w:jc w:val="center"/>
        </w:trPr>
        <w:tc>
          <w:tcPr>
            <w:tcW w:w="2600" w:type="pct"/>
            <w:noWrap/>
            <w:tcMar>
              <w:top w:w="0" w:type="dxa"/>
              <w:left w:w="108" w:type="dxa"/>
              <w:bottom w:w="0" w:type="dxa"/>
              <w:right w:w="108" w:type="dxa"/>
            </w:tcMar>
            <w:vAlign w:val="center"/>
            <w:hideMark/>
          </w:tcPr>
          <w:p w14:paraId="2B16CEE9"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10-12</w:t>
            </w:r>
            <w:r w:rsidRPr="005A284F">
              <w:rPr>
                <w:rFonts w:ascii="Times New Roman" w:hAnsi="Times New Roman" w:cs="Times New Roman"/>
                <w:sz w:val="18"/>
                <w:szCs w:val="18"/>
              </w:rPr>
              <w:t>个月</w:t>
            </w:r>
          </w:p>
        </w:tc>
        <w:tc>
          <w:tcPr>
            <w:tcW w:w="2400" w:type="pct"/>
            <w:noWrap/>
            <w:tcMar>
              <w:top w:w="0" w:type="dxa"/>
              <w:left w:w="108" w:type="dxa"/>
              <w:bottom w:w="0" w:type="dxa"/>
              <w:right w:w="108" w:type="dxa"/>
            </w:tcMar>
            <w:vAlign w:val="center"/>
            <w:hideMark/>
          </w:tcPr>
          <w:p w14:paraId="250C9012"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1.23</w:t>
            </w:r>
          </w:p>
        </w:tc>
      </w:tr>
      <w:tr w:rsidR="000309B5" w:rsidRPr="005A284F" w14:paraId="05F72163" w14:textId="77777777" w:rsidTr="00D15C4E">
        <w:trPr>
          <w:divId w:val="1289506817"/>
          <w:trHeight w:val="340"/>
          <w:jc w:val="center"/>
        </w:trPr>
        <w:tc>
          <w:tcPr>
            <w:tcW w:w="2600" w:type="pct"/>
            <w:noWrap/>
            <w:tcMar>
              <w:top w:w="0" w:type="dxa"/>
              <w:left w:w="108" w:type="dxa"/>
              <w:bottom w:w="0" w:type="dxa"/>
              <w:right w:w="108" w:type="dxa"/>
            </w:tcMar>
            <w:vAlign w:val="center"/>
            <w:hideMark/>
          </w:tcPr>
          <w:p w14:paraId="090FE56F"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1-2</w:t>
            </w:r>
            <w:r w:rsidRPr="005A284F">
              <w:rPr>
                <w:rFonts w:ascii="Times New Roman" w:hAnsi="Times New Roman" w:cs="Times New Roman"/>
                <w:sz w:val="18"/>
                <w:szCs w:val="18"/>
              </w:rPr>
              <w:t>年</w:t>
            </w:r>
          </w:p>
        </w:tc>
        <w:tc>
          <w:tcPr>
            <w:tcW w:w="2400" w:type="pct"/>
            <w:noWrap/>
            <w:tcMar>
              <w:top w:w="0" w:type="dxa"/>
              <w:left w:w="108" w:type="dxa"/>
              <w:bottom w:w="0" w:type="dxa"/>
              <w:right w:w="108" w:type="dxa"/>
            </w:tcMar>
            <w:vAlign w:val="center"/>
            <w:hideMark/>
          </w:tcPr>
          <w:p w14:paraId="41E193FD"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22.91</w:t>
            </w:r>
          </w:p>
        </w:tc>
      </w:tr>
      <w:tr w:rsidR="000309B5" w:rsidRPr="005A284F" w14:paraId="2D63E801" w14:textId="77777777" w:rsidTr="00D15C4E">
        <w:trPr>
          <w:divId w:val="1289506817"/>
          <w:trHeight w:val="340"/>
          <w:jc w:val="center"/>
        </w:trPr>
        <w:tc>
          <w:tcPr>
            <w:tcW w:w="2600" w:type="pct"/>
            <w:noWrap/>
            <w:tcMar>
              <w:top w:w="0" w:type="dxa"/>
              <w:left w:w="108" w:type="dxa"/>
              <w:bottom w:w="0" w:type="dxa"/>
              <w:right w:w="108" w:type="dxa"/>
            </w:tcMar>
            <w:vAlign w:val="center"/>
            <w:hideMark/>
          </w:tcPr>
          <w:p w14:paraId="74C88996"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2-3</w:t>
            </w:r>
            <w:r w:rsidRPr="005A284F">
              <w:rPr>
                <w:rFonts w:ascii="Times New Roman" w:hAnsi="Times New Roman" w:cs="Times New Roman"/>
                <w:sz w:val="18"/>
                <w:szCs w:val="18"/>
              </w:rPr>
              <w:t>年</w:t>
            </w:r>
          </w:p>
        </w:tc>
        <w:tc>
          <w:tcPr>
            <w:tcW w:w="2400" w:type="pct"/>
            <w:noWrap/>
            <w:tcMar>
              <w:top w:w="0" w:type="dxa"/>
              <w:left w:w="108" w:type="dxa"/>
              <w:bottom w:w="0" w:type="dxa"/>
              <w:right w:w="108" w:type="dxa"/>
            </w:tcMar>
            <w:vAlign w:val="center"/>
            <w:hideMark/>
          </w:tcPr>
          <w:p w14:paraId="4C53294A"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79.83</w:t>
            </w:r>
          </w:p>
        </w:tc>
      </w:tr>
      <w:tr w:rsidR="000309B5" w:rsidRPr="005A284F" w14:paraId="305061C4" w14:textId="77777777" w:rsidTr="00D15C4E">
        <w:trPr>
          <w:divId w:val="1289506817"/>
          <w:trHeight w:val="340"/>
          <w:jc w:val="center"/>
        </w:trPr>
        <w:tc>
          <w:tcPr>
            <w:tcW w:w="2600" w:type="pct"/>
            <w:noWrap/>
            <w:tcMar>
              <w:top w:w="0" w:type="dxa"/>
              <w:left w:w="108" w:type="dxa"/>
              <w:bottom w:w="0" w:type="dxa"/>
              <w:right w:w="108" w:type="dxa"/>
            </w:tcMar>
            <w:vAlign w:val="center"/>
            <w:hideMark/>
          </w:tcPr>
          <w:p w14:paraId="6CC84C52"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3</w:t>
            </w:r>
            <w:r w:rsidRPr="005A284F">
              <w:rPr>
                <w:rFonts w:ascii="Times New Roman" w:hAnsi="Times New Roman" w:cs="Times New Roman"/>
                <w:sz w:val="18"/>
                <w:szCs w:val="18"/>
              </w:rPr>
              <w:t>年以上</w:t>
            </w:r>
          </w:p>
        </w:tc>
        <w:tc>
          <w:tcPr>
            <w:tcW w:w="2400" w:type="pct"/>
            <w:noWrap/>
            <w:tcMar>
              <w:top w:w="0" w:type="dxa"/>
              <w:left w:w="108" w:type="dxa"/>
              <w:bottom w:w="0" w:type="dxa"/>
              <w:right w:w="108" w:type="dxa"/>
            </w:tcMar>
            <w:vAlign w:val="center"/>
            <w:hideMark/>
          </w:tcPr>
          <w:p w14:paraId="5B24DD73"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100.00</w:t>
            </w:r>
          </w:p>
        </w:tc>
      </w:tr>
    </w:tbl>
    <w:p w14:paraId="6038DC56" w14:textId="77777777" w:rsidR="006C011D" w:rsidRPr="005A284F" w:rsidRDefault="00000000">
      <w:pPr>
        <w:pStyle w:val="3"/>
        <w:spacing w:line="280" w:lineRule="exact"/>
        <w:jc w:val="left"/>
        <w:rPr>
          <w:rFonts w:ascii="Times New Roman" w:hAnsi="Times New Roman" w:cs="Times New Roman"/>
          <w:b/>
          <w:bCs/>
        </w:rPr>
      </w:pPr>
      <w:bookmarkStart w:id="130" w:name="_Toc989019"/>
      <w:r w:rsidRPr="005A284F">
        <w:rPr>
          <w:rFonts w:ascii="Times New Roman" w:hAnsi="Times New Roman" w:cs="Times New Roman"/>
          <w:b/>
          <w:bCs/>
        </w:rPr>
        <w:t>16</w:t>
      </w:r>
      <w:r w:rsidRPr="005A284F">
        <w:rPr>
          <w:rFonts w:ascii="Times New Roman" w:hAnsi="Times New Roman" w:cs="Times New Roman"/>
          <w:b/>
          <w:bCs/>
        </w:rPr>
        <w:t>、合同资产</w:t>
      </w:r>
      <w:bookmarkEnd w:id="130"/>
    </w:p>
    <w:p w14:paraId="0069AD35" w14:textId="77777777" w:rsidR="000309B5" w:rsidRPr="00D15C4E" w:rsidRDefault="00000000">
      <w:pPr>
        <w:pStyle w:val="a3"/>
        <w:spacing w:before="0" w:beforeAutospacing="0" w:after="0" w:afterAutospacing="0" w:line="273" w:lineRule="auto"/>
        <w:ind w:firstLine="357"/>
        <w:jc w:val="both"/>
        <w:divId w:val="1135299495"/>
        <w:rPr>
          <w:rFonts w:ascii="Times New Roman" w:hAnsi="Times New Roman" w:cs="Times New Roman"/>
          <w:sz w:val="18"/>
          <w:szCs w:val="18"/>
        </w:rPr>
      </w:pPr>
      <w:r w:rsidRPr="005A284F">
        <w:rPr>
          <w:rFonts w:ascii="Times New Roman" w:hAnsi="Times New Roman" w:cs="Times New Roman"/>
          <w:sz w:val="18"/>
          <w:szCs w:val="18"/>
        </w:rPr>
        <w:t>当单项合同资产无法以合理成本评估预期信用损失的信息时，本公司依据信用风险特征将合同资产划分为若干组合，在组合基础上计算预期信用损失。对于按账龄划分组合的合同资产，账龄自确认之日起计算。</w:t>
      </w:r>
    </w:p>
    <w:p w14:paraId="7126752F" w14:textId="77777777" w:rsidR="000309B5" w:rsidRPr="00D15C4E" w:rsidRDefault="00000000">
      <w:pPr>
        <w:pStyle w:val="a3"/>
        <w:spacing w:before="0" w:beforeAutospacing="0" w:after="0" w:afterAutospacing="0" w:line="273" w:lineRule="auto"/>
        <w:ind w:firstLine="357"/>
        <w:jc w:val="both"/>
        <w:divId w:val="1135299495"/>
        <w:rPr>
          <w:rFonts w:ascii="Times New Roman" w:hAnsi="Times New Roman" w:cs="Times New Roman"/>
          <w:sz w:val="18"/>
          <w:szCs w:val="18"/>
        </w:rPr>
      </w:pPr>
      <w:r w:rsidRPr="005A284F">
        <w:rPr>
          <w:rFonts w:ascii="Times New Roman" w:hAnsi="Times New Roman" w:cs="Times New Roman"/>
          <w:sz w:val="18"/>
          <w:szCs w:val="18"/>
        </w:rPr>
        <w:t>确定组合的依据如下：</w:t>
      </w:r>
    </w:p>
    <w:tbl>
      <w:tblPr>
        <w:tblW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7"/>
        <w:gridCol w:w="7910"/>
      </w:tblGrid>
      <w:tr w:rsidR="000309B5" w:rsidRPr="005A284F" w14:paraId="0D74F863" w14:textId="77777777" w:rsidTr="00D15C4E">
        <w:trPr>
          <w:divId w:val="1135299495"/>
          <w:trHeight w:val="340"/>
        </w:trPr>
        <w:tc>
          <w:tcPr>
            <w:tcW w:w="2500" w:type="pct"/>
            <w:tcMar>
              <w:top w:w="0" w:type="dxa"/>
              <w:left w:w="108" w:type="dxa"/>
              <w:bottom w:w="0" w:type="dxa"/>
              <w:right w:w="108" w:type="dxa"/>
            </w:tcMar>
            <w:vAlign w:val="center"/>
            <w:hideMark/>
          </w:tcPr>
          <w:p w14:paraId="6B6A8F59"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项目</w:t>
            </w:r>
          </w:p>
        </w:tc>
        <w:tc>
          <w:tcPr>
            <w:tcW w:w="2500" w:type="pct"/>
            <w:tcMar>
              <w:top w:w="0" w:type="dxa"/>
              <w:left w:w="108" w:type="dxa"/>
              <w:bottom w:w="0" w:type="dxa"/>
              <w:right w:w="108" w:type="dxa"/>
            </w:tcMar>
            <w:vAlign w:val="center"/>
            <w:hideMark/>
          </w:tcPr>
          <w:p w14:paraId="720A3A8C" w14:textId="77777777" w:rsidR="000309B5" w:rsidRPr="005A284F" w:rsidRDefault="00000000">
            <w:pPr>
              <w:pStyle w:val="a3"/>
              <w:spacing w:before="0" w:beforeAutospacing="0" w:after="0" w:afterAutospacing="0" w:line="273" w:lineRule="auto"/>
              <w:ind w:firstLine="360"/>
              <w:jc w:val="center"/>
              <w:rPr>
                <w:rFonts w:ascii="Times New Roman" w:hAnsi="Times New Roman" w:cs="Times New Roman"/>
              </w:rPr>
            </w:pPr>
            <w:r w:rsidRPr="005A284F">
              <w:rPr>
                <w:rFonts w:ascii="Times New Roman" w:hAnsi="Times New Roman" w:cs="Times New Roman"/>
                <w:sz w:val="18"/>
                <w:szCs w:val="18"/>
              </w:rPr>
              <w:t>确定组合的依据</w:t>
            </w:r>
          </w:p>
        </w:tc>
      </w:tr>
      <w:tr w:rsidR="000309B5" w:rsidRPr="005A284F" w14:paraId="6FDAEED6" w14:textId="77777777" w:rsidTr="00D15C4E">
        <w:trPr>
          <w:divId w:val="1135299495"/>
          <w:trHeight w:val="340"/>
        </w:trPr>
        <w:tc>
          <w:tcPr>
            <w:tcW w:w="2500" w:type="pct"/>
            <w:noWrap/>
            <w:tcMar>
              <w:top w:w="0" w:type="dxa"/>
              <w:left w:w="108" w:type="dxa"/>
              <w:bottom w:w="0" w:type="dxa"/>
              <w:right w:w="108" w:type="dxa"/>
            </w:tcMar>
            <w:vAlign w:val="center"/>
            <w:hideMark/>
          </w:tcPr>
          <w:p w14:paraId="5B699440" w14:textId="77777777" w:rsidR="000309B5" w:rsidRPr="005A284F" w:rsidRDefault="00000000">
            <w:pPr>
              <w:pStyle w:val="a3"/>
              <w:spacing w:before="0" w:beforeAutospacing="0" w:after="0" w:afterAutospacing="0" w:line="273" w:lineRule="auto"/>
              <w:jc w:val="both"/>
              <w:rPr>
                <w:rFonts w:ascii="Times New Roman" w:hAnsi="Times New Roman" w:cs="Times New Roman"/>
              </w:rPr>
            </w:pPr>
            <w:r w:rsidRPr="005A284F">
              <w:rPr>
                <w:rFonts w:ascii="Times New Roman" w:hAnsi="Times New Roman" w:cs="Times New Roman"/>
                <w:sz w:val="18"/>
                <w:szCs w:val="18"/>
              </w:rPr>
              <w:t>组合</w:t>
            </w:r>
            <w:r w:rsidRPr="005A284F">
              <w:rPr>
                <w:rFonts w:ascii="Times New Roman" w:hAnsi="Times New Roman" w:cs="Times New Roman"/>
                <w:sz w:val="18"/>
                <w:szCs w:val="18"/>
              </w:rPr>
              <w:t>1</w:t>
            </w:r>
            <w:r w:rsidRPr="005A284F">
              <w:rPr>
                <w:rFonts w:ascii="Times New Roman" w:hAnsi="Times New Roman" w:cs="Times New Roman"/>
                <w:sz w:val="18"/>
                <w:szCs w:val="18"/>
              </w:rPr>
              <w:t>：应收合并范围内关联方款项组合</w:t>
            </w:r>
          </w:p>
        </w:tc>
        <w:tc>
          <w:tcPr>
            <w:tcW w:w="2500" w:type="pct"/>
            <w:noWrap/>
            <w:tcMar>
              <w:top w:w="0" w:type="dxa"/>
              <w:left w:w="108" w:type="dxa"/>
              <w:bottom w:w="0" w:type="dxa"/>
              <w:right w:w="108" w:type="dxa"/>
            </w:tcMar>
            <w:vAlign w:val="center"/>
            <w:hideMark/>
          </w:tcPr>
          <w:p w14:paraId="7C69547B" w14:textId="77777777" w:rsidR="000309B5" w:rsidRPr="005A284F" w:rsidRDefault="00000000">
            <w:pPr>
              <w:pStyle w:val="a3"/>
              <w:spacing w:before="0" w:beforeAutospacing="0" w:after="0" w:afterAutospacing="0" w:line="273" w:lineRule="auto"/>
              <w:jc w:val="both"/>
              <w:rPr>
                <w:rFonts w:ascii="Times New Roman" w:hAnsi="Times New Roman" w:cs="Times New Roman"/>
              </w:rPr>
            </w:pPr>
            <w:r w:rsidRPr="005A284F">
              <w:rPr>
                <w:rFonts w:ascii="Times New Roman" w:hAnsi="Times New Roman" w:cs="Times New Roman"/>
                <w:sz w:val="18"/>
                <w:szCs w:val="18"/>
              </w:rPr>
              <w:t>合并范围内各家单位之间的往来款项</w:t>
            </w:r>
          </w:p>
        </w:tc>
      </w:tr>
      <w:tr w:rsidR="000309B5" w:rsidRPr="005A284F" w14:paraId="2B533B31" w14:textId="77777777" w:rsidTr="00D15C4E">
        <w:trPr>
          <w:divId w:val="1135299495"/>
          <w:trHeight w:val="340"/>
        </w:trPr>
        <w:tc>
          <w:tcPr>
            <w:tcW w:w="2500" w:type="pct"/>
            <w:noWrap/>
            <w:tcMar>
              <w:top w:w="0" w:type="dxa"/>
              <w:left w:w="108" w:type="dxa"/>
              <w:bottom w:w="0" w:type="dxa"/>
              <w:right w:w="108" w:type="dxa"/>
            </w:tcMar>
            <w:vAlign w:val="center"/>
            <w:hideMark/>
          </w:tcPr>
          <w:p w14:paraId="319461F5" w14:textId="27602877" w:rsidR="000309B5" w:rsidRPr="005A284F" w:rsidRDefault="00000000">
            <w:pPr>
              <w:pStyle w:val="a3"/>
              <w:spacing w:before="0" w:beforeAutospacing="0" w:after="0" w:afterAutospacing="0" w:line="273" w:lineRule="auto"/>
              <w:jc w:val="both"/>
              <w:rPr>
                <w:rFonts w:ascii="Times New Roman" w:hAnsi="Times New Roman" w:cs="Times New Roman"/>
              </w:rPr>
            </w:pPr>
            <w:r w:rsidRPr="005A284F">
              <w:rPr>
                <w:rFonts w:ascii="Times New Roman" w:hAnsi="Times New Roman" w:cs="Times New Roman"/>
                <w:sz w:val="18"/>
                <w:szCs w:val="18"/>
              </w:rPr>
              <w:t>组合</w:t>
            </w:r>
            <w:r w:rsidRPr="005A284F">
              <w:rPr>
                <w:rFonts w:ascii="Times New Roman" w:hAnsi="Times New Roman" w:cs="Times New Roman"/>
                <w:sz w:val="18"/>
                <w:szCs w:val="18"/>
              </w:rPr>
              <w:t>2</w:t>
            </w:r>
            <w:r w:rsidRPr="005A284F">
              <w:rPr>
                <w:rFonts w:ascii="Times New Roman" w:hAnsi="Times New Roman" w:cs="Times New Roman"/>
                <w:sz w:val="18"/>
                <w:szCs w:val="18"/>
              </w:rPr>
              <w:t>：账龄组合</w:t>
            </w:r>
          </w:p>
        </w:tc>
        <w:tc>
          <w:tcPr>
            <w:tcW w:w="2500" w:type="pct"/>
            <w:noWrap/>
            <w:tcMar>
              <w:top w:w="0" w:type="dxa"/>
              <w:left w:w="108" w:type="dxa"/>
              <w:bottom w:w="0" w:type="dxa"/>
              <w:right w:w="108" w:type="dxa"/>
            </w:tcMar>
            <w:vAlign w:val="center"/>
            <w:hideMark/>
          </w:tcPr>
          <w:p w14:paraId="247EB0D9" w14:textId="77777777" w:rsidR="000309B5" w:rsidRPr="005A284F" w:rsidRDefault="00000000">
            <w:pPr>
              <w:pStyle w:val="a3"/>
              <w:spacing w:before="0" w:beforeAutospacing="0" w:after="0" w:afterAutospacing="0" w:line="273" w:lineRule="auto"/>
              <w:jc w:val="both"/>
              <w:rPr>
                <w:rFonts w:ascii="Times New Roman" w:hAnsi="Times New Roman" w:cs="Times New Roman"/>
              </w:rPr>
            </w:pPr>
            <w:r w:rsidRPr="005A284F">
              <w:rPr>
                <w:rFonts w:ascii="Times New Roman" w:hAnsi="Times New Roman" w:cs="Times New Roman"/>
                <w:sz w:val="18"/>
                <w:szCs w:val="18"/>
              </w:rPr>
              <w:t>除上述组合外的其他组合，本组合以长期应收款的账龄作为信用风险特征。公司根据账龄段划分的具有类似信用风险特征的长期应收款组合的预期损失率为基础，结合现时情况分析法确定坏账准备计提的比例</w:t>
            </w:r>
          </w:p>
        </w:tc>
      </w:tr>
    </w:tbl>
    <w:p w14:paraId="6A22C259" w14:textId="2EFD1979" w:rsidR="006C011D" w:rsidRPr="005A284F" w:rsidRDefault="00000000" w:rsidP="00D15C4E">
      <w:pPr>
        <w:pStyle w:val="a3"/>
        <w:spacing w:before="0" w:beforeAutospacing="0" w:after="0" w:afterAutospacing="0" w:line="273" w:lineRule="auto"/>
        <w:ind w:firstLine="357"/>
        <w:jc w:val="both"/>
        <w:divId w:val="1135299495"/>
        <w:rPr>
          <w:rFonts w:ascii="Times New Roman" w:hAnsi="Times New Roman" w:cs="Times New Roman"/>
        </w:rPr>
      </w:pPr>
      <w:r w:rsidRPr="005A284F">
        <w:rPr>
          <w:rFonts w:ascii="Times New Roman" w:hAnsi="Times New Roman" w:cs="Times New Roman"/>
          <w:sz w:val="18"/>
          <w:szCs w:val="18"/>
        </w:rPr>
        <w:t>合同资产预期信用损失的确定方法和会计处理方法参见附注五、</w:t>
      </w:r>
      <w:r w:rsidRPr="005A284F">
        <w:rPr>
          <w:rFonts w:ascii="Times New Roman" w:hAnsi="Times New Roman" w:cs="Times New Roman"/>
          <w:sz w:val="18"/>
          <w:szCs w:val="18"/>
        </w:rPr>
        <w:t>11</w:t>
      </w:r>
      <w:r w:rsidRPr="005A284F">
        <w:rPr>
          <w:rFonts w:ascii="Times New Roman" w:hAnsi="Times New Roman" w:cs="Times New Roman"/>
          <w:sz w:val="18"/>
          <w:szCs w:val="18"/>
        </w:rPr>
        <w:t>、金融工具。</w:t>
      </w:r>
    </w:p>
    <w:p w14:paraId="5286B03D" w14:textId="77777777" w:rsidR="006C011D" w:rsidRPr="005A284F" w:rsidRDefault="00000000">
      <w:pPr>
        <w:pStyle w:val="3"/>
        <w:spacing w:line="280" w:lineRule="exact"/>
        <w:jc w:val="left"/>
        <w:rPr>
          <w:rFonts w:ascii="Times New Roman" w:hAnsi="Times New Roman" w:cs="Times New Roman"/>
          <w:b/>
          <w:bCs/>
        </w:rPr>
      </w:pPr>
      <w:bookmarkStart w:id="131" w:name="_Toc989020"/>
      <w:r w:rsidRPr="005A284F">
        <w:rPr>
          <w:rFonts w:ascii="Times New Roman" w:hAnsi="Times New Roman" w:cs="Times New Roman"/>
          <w:b/>
          <w:bCs/>
        </w:rPr>
        <w:t>17</w:t>
      </w:r>
      <w:r w:rsidRPr="005A284F">
        <w:rPr>
          <w:rFonts w:ascii="Times New Roman" w:hAnsi="Times New Roman" w:cs="Times New Roman"/>
          <w:b/>
          <w:bCs/>
        </w:rPr>
        <w:t>、存货</w:t>
      </w:r>
      <w:bookmarkEnd w:id="131"/>
    </w:p>
    <w:p w14:paraId="1424012F" w14:textId="77777777" w:rsidR="000309B5" w:rsidRPr="005A284F" w:rsidRDefault="00000000" w:rsidP="00D15C4E">
      <w:pPr>
        <w:pStyle w:val="a3"/>
        <w:spacing w:before="0" w:beforeAutospacing="0" w:after="0" w:afterAutospacing="0" w:line="276" w:lineRule="auto"/>
        <w:ind w:firstLineChars="200" w:firstLine="360"/>
        <w:jc w:val="both"/>
        <w:divId w:val="2061704887"/>
        <w:rPr>
          <w:rFonts w:ascii="Times New Roman" w:hAnsi="Times New Roman" w:cs="Times New Roman"/>
        </w:rPr>
      </w:pPr>
      <w:r w:rsidRPr="005A284F">
        <w:rPr>
          <w:rFonts w:ascii="Times New Roman" w:hAnsi="Times New Roman" w:cs="Times New Roman"/>
          <w:sz w:val="18"/>
          <w:szCs w:val="18"/>
        </w:rPr>
        <w:t>存货的分类</w:t>
      </w:r>
    </w:p>
    <w:p w14:paraId="444E2691" w14:textId="77777777" w:rsidR="000309B5" w:rsidRPr="005A284F" w:rsidRDefault="00000000" w:rsidP="00D15C4E">
      <w:pPr>
        <w:pStyle w:val="a3"/>
        <w:spacing w:before="0" w:beforeAutospacing="0" w:after="0" w:afterAutospacing="0" w:line="276" w:lineRule="auto"/>
        <w:ind w:firstLineChars="200" w:firstLine="360"/>
        <w:jc w:val="both"/>
        <w:divId w:val="2061704887"/>
        <w:rPr>
          <w:rFonts w:ascii="Times New Roman" w:hAnsi="Times New Roman" w:cs="Times New Roman"/>
        </w:rPr>
      </w:pPr>
      <w:r w:rsidRPr="005A284F">
        <w:rPr>
          <w:rFonts w:ascii="Times New Roman" w:hAnsi="Times New Roman" w:cs="Times New Roman"/>
          <w:sz w:val="18"/>
          <w:szCs w:val="18"/>
        </w:rPr>
        <w:t>存货主要包括原材料、库存商品、在产品、消耗性生物资产、低值易耗品和包装物等，摊销期限不超过一年或一个营业周期的合同履约成本也列报为存货。</w:t>
      </w:r>
    </w:p>
    <w:p w14:paraId="052A4EE3" w14:textId="77777777" w:rsidR="000309B5" w:rsidRPr="005A284F" w:rsidRDefault="00000000" w:rsidP="00D15C4E">
      <w:pPr>
        <w:pStyle w:val="a3"/>
        <w:spacing w:before="0" w:beforeAutospacing="0" w:after="0" w:afterAutospacing="0" w:line="276" w:lineRule="auto"/>
        <w:ind w:firstLineChars="200" w:firstLine="360"/>
        <w:jc w:val="both"/>
        <w:divId w:val="2061704887"/>
        <w:rPr>
          <w:rFonts w:ascii="Times New Roman" w:hAnsi="Times New Roman" w:cs="Times New Roman"/>
        </w:rPr>
      </w:pPr>
      <w:r w:rsidRPr="005A284F">
        <w:rPr>
          <w:rFonts w:ascii="Times New Roman" w:hAnsi="Times New Roman" w:cs="Times New Roman"/>
          <w:sz w:val="18"/>
          <w:szCs w:val="18"/>
        </w:rPr>
        <w:t>存货取得和发出的计价方法</w:t>
      </w:r>
    </w:p>
    <w:p w14:paraId="43211582" w14:textId="77777777" w:rsidR="000309B5" w:rsidRPr="005A284F" w:rsidRDefault="00000000" w:rsidP="00D15C4E">
      <w:pPr>
        <w:pStyle w:val="a3"/>
        <w:spacing w:before="0" w:beforeAutospacing="0" w:after="0" w:afterAutospacing="0" w:line="276" w:lineRule="auto"/>
        <w:ind w:firstLineChars="200" w:firstLine="360"/>
        <w:jc w:val="both"/>
        <w:divId w:val="2061704887"/>
        <w:rPr>
          <w:rFonts w:ascii="Times New Roman" w:hAnsi="Times New Roman" w:cs="Times New Roman"/>
        </w:rPr>
      </w:pPr>
      <w:r w:rsidRPr="005A284F">
        <w:rPr>
          <w:rFonts w:ascii="Times New Roman" w:hAnsi="Times New Roman" w:cs="Times New Roman"/>
          <w:sz w:val="18"/>
          <w:szCs w:val="18"/>
        </w:rPr>
        <w:t>存货在取得时按实际成本计价，存货成本包括采购成本、加工成本和其他成本。领用和发出时按加权平均法计价</w:t>
      </w:r>
      <w:r w:rsidRPr="005A284F">
        <w:rPr>
          <w:rStyle w:val="a5"/>
          <w:rFonts w:ascii="Times New Roman" w:hAnsi="Times New Roman" w:cs="Times New Roman"/>
        </w:rPr>
        <w:t>。</w:t>
      </w:r>
    </w:p>
    <w:p w14:paraId="6742FB29" w14:textId="77777777" w:rsidR="000309B5" w:rsidRPr="005A284F" w:rsidRDefault="00000000" w:rsidP="00D15C4E">
      <w:pPr>
        <w:pStyle w:val="a3"/>
        <w:spacing w:before="0" w:beforeAutospacing="0" w:after="0" w:afterAutospacing="0" w:line="276" w:lineRule="auto"/>
        <w:ind w:firstLineChars="200" w:firstLine="360"/>
        <w:jc w:val="both"/>
        <w:divId w:val="2061704887"/>
        <w:rPr>
          <w:rFonts w:ascii="Times New Roman" w:hAnsi="Times New Roman" w:cs="Times New Roman"/>
        </w:rPr>
      </w:pPr>
      <w:r w:rsidRPr="005A284F">
        <w:rPr>
          <w:rFonts w:ascii="Times New Roman" w:hAnsi="Times New Roman" w:cs="Times New Roman"/>
          <w:sz w:val="18"/>
          <w:szCs w:val="18"/>
        </w:rPr>
        <w:t>存货可变现净值的确认和跌价准备的计提方法</w:t>
      </w:r>
    </w:p>
    <w:p w14:paraId="0FAA330F" w14:textId="77777777" w:rsidR="000309B5" w:rsidRPr="005A284F" w:rsidRDefault="00000000" w:rsidP="00D15C4E">
      <w:pPr>
        <w:pStyle w:val="a3"/>
        <w:spacing w:before="0" w:beforeAutospacing="0" w:after="0" w:afterAutospacing="0" w:line="276" w:lineRule="auto"/>
        <w:ind w:firstLineChars="200" w:firstLine="360"/>
        <w:jc w:val="both"/>
        <w:divId w:val="2061704887"/>
        <w:rPr>
          <w:rFonts w:ascii="Times New Roman" w:hAnsi="Times New Roman" w:cs="Times New Roman"/>
        </w:rPr>
      </w:pPr>
      <w:r w:rsidRPr="005A284F">
        <w:rPr>
          <w:rFonts w:ascii="Times New Roman" w:hAnsi="Times New Roman" w:cs="Times New Roman"/>
          <w:sz w:val="18"/>
          <w:szCs w:val="18"/>
        </w:rPr>
        <w:t>可变现净值是指在日常活动中，存货的估计售价减去至完工时估计将要发生的成本、估计的销售费用以及相关税费后的金额。在确定存货的可变现净值时，以取得的确凿证据为基础，同时考虑持有存货的目的以及资产负债表日后事项的影响。</w:t>
      </w:r>
    </w:p>
    <w:p w14:paraId="0F756DCA" w14:textId="77777777" w:rsidR="000309B5" w:rsidRPr="005A284F" w:rsidRDefault="00000000" w:rsidP="00D15C4E">
      <w:pPr>
        <w:pStyle w:val="a3"/>
        <w:spacing w:before="0" w:beforeAutospacing="0" w:after="0" w:afterAutospacing="0" w:line="276" w:lineRule="auto"/>
        <w:ind w:firstLineChars="200" w:firstLine="360"/>
        <w:jc w:val="both"/>
        <w:divId w:val="2061704887"/>
        <w:rPr>
          <w:rFonts w:ascii="Times New Roman" w:hAnsi="Times New Roman" w:cs="Times New Roman"/>
        </w:rPr>
      </w:pPr>
      <w:r w:rsidRPr="005A284F">
        <w:rPr>
          <w:rFonts w:ascii="Times New Roman" w:hAnsi="Times New Roman" w:cs="Times New Roman"/>
          <w:sz w:val="18"/>
          <w:szCs w:val="18"/>
        </w:rPr>
        <w:t>在资产负债表日，存货按照成本与可变现净值孰低计量。当其可变现净值低于成本时，提取存货跌价准备。存货跌价准备通常按单个存货项目的成本高于其可变现净值的差额提取。对于数量繁多、单价较低的存货，按存货类别计提存货跌</w:t>
      </w:r>
      <w:r w:rsidRPr="005A284F">
        <w:rPr>
          <w:rFonts w:ascii="Times New Roman" w:hAnsi="Times New Roman" w:cs="Times New Roman"/>
          <w:sz w:val="18"/>
          <w:szCs w:val="18"/>
        </w:rPr>
        <w:lastRenderedPageBreak/>
        <w:t>价准备；对在同一地区生产和销售的产品系列相关、具有相同或类似最终用途或目的，且难以与其他项目分开计量的存货，可合并计提存货跌价准备。</w:t>
      </w:r>
    </w:p>
    <w:p w14:paraId="27019FB9" w14:textId="77777777" w:rsidR="000309B5" w:rsidRPr="005A284F" w:rsidRDefault="00000000" w:rsidP="00D15C4E">
      <w:pPr>
        <w:pStyle w:val="a3"/>
        <w:spacing w:before="0" w:beforeAutospacing="0" w:after="0" w:afterAutospacing="0" w:line="276" w:lineRule="auto"/>
        <w:ind w:firstLineChars="200" w:firstLine="360"/>
        <w:jc w:val="both"/>
        <w:divId w:val="2061704887"/>
        <w:rPr>
          <w:rFonts w:ascii="Times New Roman" w:hAnsi="Times New Roman" w:cs="Times New Roman"/>
        </w:rPr>
      </w:pPr>
      <w:r w:rsidRPr="005A284F">
        <w:rPr>
          <w:rFonts w:ascii="Times New Roman" w:hAnsi="Times New Roman" w:cs="Times New Roman"/>
          <w:sz w:val="18"/>
          <w:szCs w:val="18"/>
        </w:rPr>
        <w:t>计提存货跌价准备后，如果以前减记存货价值的影响因素已经消失，导致存货的可变现净值高于其账面价值的，在原已计提的存货跌价准备金额内予以转回，转回的金额计入当期损益。</w:t>
      </w:r>
    </w:p>
    <w:p w14:paraId="04593EAC" w14:textId="77777777" w:rsidR="000309B5" w:rsidRPr="005A284F" w:rsidRDefault="00000000" w:rsidP="00D15C4E">
      <w:pPr>
        <w:pStyle w:val="a3"/>
        <w:spacing w:before="0" w:beforeAutospacing="0" w:after="0" w:afterAutospacing="0" w:line="276" w:lineRule="auto"/>
        <w:ind w:firstLineChars="200" w:firstLine="360"/>
        <w:jc w:val="both"/>
        <w:divId w:val="2061704887"/>
        <w:rPr>
          <w:rFonts w:ascii="Times New Roman" w:hAnsi="Times New Roman" w:cs="Times New Roman"/>
        </w:rPr>
      </w:pPr>
      <w:r w:rsidRPr="005A284F">
        <w:rPr>
          <w:rFonts w:ascii="Times New Roman" w:hAnsi="Times New Roman" w:cs="Times New Roman"/>
          <w:sz w:val="18"/>
          <w:szCs w:val="18"/>
        </w:rPr>
        <w:t>存货的盘存制度为永续盘存制。</w:t>
      </w:r>
    </w:p>
    <w:p w14:paraId="6EC60461" w14:textId="77777777" w:rsidR="000309B5" w:rsidRPr="005A284F" w:rsidRDefault="00000000" w:rsidP="00D15C4E">
      <w:pPr>
        <w:pStyle w:val="a3"/>
        <w:spacing w:before="0" w:beforeAutospacing="0" w:after="0" w:afterAutospacing="0" w:line="276" w:lineRule="auto"/>
        <w:ind w:firstLineChars="200" w:firstLine="360"/>
        <w:jc w:val="both"/>
        <w:divId w:val="2061704887"/>
        <w:rPr>
          <w:rFonts w:ascii="Times New Roman" w:hAnsi="Times New Roman" w:cs="Times New Roman"/>
        </w:rPr>
      </w:pPr>
      <w:r w:rsidRPr="005A284F">
        <w:rPr>
          <w:rFonts w:ascii="Times New Roman" w:hAnsi="Times New Roman" w:cs="Times New Roman"/>
          <w:sz w:val="18"/>
          <w:szCs w:val="18"/>
        </w:rPr>
        <w:t>低值易耗品和包装物的摊销方法</w:t>
      </w:r>
    </w:p>
    <w:p w14:paraId="3DA2EA69" w14:textId="77777777" w:rsidR="000309B5" w:rsidRPr="005A284F" w:rsidRDefault="00000000" w:rsidP="00D15C4E">
      <w:pPr>
        <w:pStyle w:val="a3"/>
        <w:spacing w:before="0" w:beforeAutospacing="0" w:after="0" w:afterAutospacing="0" w:line="276" w:lineRule="auto"/>
        <w:ind w:firstLineChars="200" w:firstLine="360"/>
        <w:jc w:val="both"/>
        <w:divId w:val="2061704887"/>
        <w:rPr>
          <w:rFonts w:ascii="Times New Roman" w:hAnsi="Times New Roman" w:cs="Times New Roman"/>
        </w:rPr>
      </w:pPr>
      <w:r w:rsidRPr="005A284F">
        <w:rPr>
          <w:rFonts w:ascii="Times New Roman" w:hAnsi="Times New Roman" w:cs="Times New Roman"/>
          <w:sz w:val="18"/>
          <w:szCs w:val="18"/>
        </w:rPr>
        <w:t>低值易耗品于领用时按一次摊销法摊销；包装物于领用时按一次摊销法摊销。</w:t>
      </w:r>
    </w:p>
    <w:p w14:paraId="2E078AA6" w14:textId="77777777" w:rsidR="006C011D" w:rsidRPr="005A284F" w:rsidRDefault="00000000">
      <w:pPr>
        <w:pStyle w:val="3"/>
        <w:spacing w:line="280" w:lineRule="exact"/>
        <w:jc w:val="left"/>
        <w:rPr>
          <w:rFonts w:ascii="Times New Roman" w:hAnsi="Times New Roman" w:cs="Times New Roman"/>
          <w:b/>
          <w:bCs/>
        </w:rPr>
      </w:pPr>
      <w:bookmarkStart w:id="132" w:name="_Toc989021"/>
      <w:r w:rsidRPr="005A284F">
        <w:rPr>
          <w:rFonts w:ascii="Times New Roman" w:hAnsi="Times New Roman" w:cs="Times New Roman"/>
          <w:b/>
          <w:bCs/>
        </w:rPr>
        <w:t>18</w:t>
      </w:r>
      <w:r w:rsidRPr="005A284F">
        <w:rPr>
          <w:rFonts w:ascii="Times New Roman" w:hAnsi="Times New Roman" w:cs="Times New Roman"/>
          <w:b/>
          <w:bCs/>
        </w:rPr>
        <w:t>、持有待售资产</w:t>
      </w:r>
      <w:bookmarkEnd w:id="132"/>
    </w:p>
    <w:p w14:paraId="725EC73C" w14:textId="77777777" w:rsidR="000309B5" w:rsidRPr="00D15C4E" w:rsidRDefault="00000000" w:rsidP="00D15C4E">
      <w:pPr>
        <w:pStyle w:val="a3"/>
        <w:spacing w:before="0" w:beforeAutospacing="0" w:after="0" w:afterAutospacing="0" w:line="276" w:lineRule="auto"/>
        <w:ind w:firstLineChars="200" w:firstLine="360"/>
        <w:jc w:val="both"/>
        <w:divId w:val="1706786452"/>
        <w:rPr>
          <w:rFonts w:ascii="Times New Roman" w:hAnsi="Times New Roman" w:cs="Times New Roman"/>
          <w:sz w:val="18"/>
          <w:szCs w:val="18"/>
        </w:rPr>
      </w:pPr>
      <w:r w:rsidRPr="005A284F">
        <w:rPr>
          <w:rFonts w:ascii="Times New Roman" w:hAnsi="Times New Roman" w:cs="Times New Roman"/>
          <w:sz w:val="18"/>
          <w:szCs w:val="18"/>
        </w:rPr>
        <w:t>本集团若主要通过出售（包括具有商业实质的非货币性资产交换，下同）而非持续使用一项非流动资产或处置组收回其账面价值的，则将其划分为持有待售类别。具体标准为同时满足以下条件：某项非流动资产或处置组根据类似交易中出售此类资产或处置组的惯例，在当前状况下即可立即出售；本集团已经就出售计划作出决议且获得确定的购买承诺；预计出售将在一年内完成。其中，处置组是指在一项交易中作为整体通过出售或其他方式一并处置的一组资产，以及在该交易中转让的与这些资产直接相关的负债。处置组所属的资产组或资产组组合按照《企业会计准则第</w:t>
      </w:r>
      <w:r w:rsidRPr="005A284F">
        <w:rPr>
          <w:rFonts w:ascii="Times New Roman" w:hAnsi="Times New Roman" w:cs="Times New Roman"/>
          <w:sz w:val="18"/>
          <w:szCs w:val="18"/>
        </w:rPr>
        <w:t>8</w:t>
      </w:r>
      <w:r w:rsidRPr="005A284F">
        <w:rPr>
          <w:rFonts w:ascii="Times New Roman" w:hAnsi="Times New Roman" w:cs="Times New Roman"/>
          <w:sz w:val="18"/>
          <w:szCs w:val="18"/>
        </w:rPr>
        <w:t>号</w:t>
      </w:r>
      <w:r w:rsidRPr="005A284F">
        <w:rPr>
          <w:rFonts w:ascii="Times New Roman" w:hAnsi="Times New Roman" w:cs="Times New Roman"/>
          <w:sz w:val="18"/>
          <w:szCs w:val="18"/>
        </w:rPr>
        <w:t>——</w:t>
      </w:r>
      <w:r w:rsidRPr="005A284F">
        <w:rPr>
          <w:rFonts w:ascii="Times New Roman" w:hAnsi="Times New Roman" w:cs="Times New Roman"/>
          <w:sz w:val="18"/>
          <w:szCs w:val="18"/>
        </w:rPr>
        <w:t>资产减值》分摊了企业合并中取得的商誉的，该处置组应当包含分摊至处置组的商誉。</w:t>
      </w:r>
    </w:p>
    <w:p w14:paraId="390E4D32" w14:textId="77777777" w:rsidR="000309B5" w:rsidRPr="00D15C4E" w:rsidRDefault="00000000" w:rsidP="00D15C4E">
      <w:pPr>
        <w:pStyle w:val="a3"/>
        <w:spacing w:before="0" w:beforeAutospacing="0" w:after="0" w:afterAutospacing="0" w:line="276" w:lineRule="auto"/>
        <w:ind w:firstLineChars="200" w:firstLine="360"/>
        <w:jc w:val="both"/>
        <w:divId w:val="1706786452"/>
        <w:rPr>
          <w:rFonts w:ascii="Times New Roman" w:hAnsi="Times New Roman" w:cs="Times New Roman"/>
          <w:sz w:val="18"/>
          <w:szCs w:val="18"/>
        </w:rPr>
      </w:pPr>
      <w:r w:rsidRPr="005A284F">
        <w:rPr>
          <w:rFonts w:ascii="Times New Roman" w:hAnsi="Times New Roman" w:cs="Times New Roman"/>
          <w:sz w:val="18"/>
          <w:szCs w:val="18"/>
        </w:rPr>
        <w:t>本集团初始计量或在资产负债表日重新计量划分为持有待售的非流动资产和处置组时，其账面价值高于公允价值减去出售费用后的净额的，将账面价值减记至公允价值减去出售费用后的净额，减记的金额确认为资产减值损失，计入当期损益，同时计提持有待售资产减值准备。对于处置组，所确认的资产减值损失先抵减处置组中商誉的账面价值，再按比例抵减该处置组内适用《企业会计准则第</w:t>
      </w:r>
      <w:r w:rsidRPr="005A284F">
        <w:rPr>
          <w:rFonts w:ascii="Times New Roman" w:hAnsi="Times New Roman" w:cs="Times New Roman"/>
          <w:sz w:val="18"/>
          <w:szCs w:val="18"/>
        </w:rPr>
        <w:t>42</w:t>
      </w:r>
      <w:r w:rsidRPr="005A284F">
        <w:rPr>
          <w:rFonts w:ascii="Times New Roman" w:hAnsi="Times New Roman" w:cs="Times New Roman"/>
          <w:sz w:val="18"/>
          <w:szCs w:val="18"/>
        </w:rPr>
        <w:t>号</w:t>
      </w:r>
      <w:r w:rsidRPr="005A284F">
        <w:rPr>
          <w:rFonts w:ascii="Times New Roman" w:hAnsi="Times New Roman" w:cs="Times New Roman"/>
          <w:sz w:val="18"/>
          <w:szCs w:val="18"/>
        </w:rPr>
        <w:t>——</w:t>
      </w:r>
      <w:r w:rsidRPr="005A284F">
        <w:rPr>
          <w:rFonts w:ascii="Times New Roman" w:hAnsi="Times New Roman" w:cs="Times New Roman"/>
          <w:sz w:val="18"/>
          <w:szCs w:val="18"/>
        </w:rPr>
        <w:t>持有待售的非流动资产、处置组和终止经营》（以下简称</w:t>
      </w:r>
      <w:r w:rsidRPr="005A284F">
        <w:rPr>
          <w:rFonts w:ascii="Times New Roman" w:hAnsi="Times New Roman" w:cs="Times New Roman"/>
          <w:sz w:val="18"/>
          <w:szCs w:val="18"/>
        </w:rPr>
        <w:t>“</w:t>
      </w:r>
      <w:r w:rsidRPr="005A284F">
        <w:rPr>
          <w:rFonts w:ascii="Times New Roman" w:hAnsi="Times New Roman" w:cs="Times New Roman"/>
          <w:sz w:val="18"/>
          <w:szCs w:val="18"/>
        </w:rPr>
        <w:t>持有待售准则</w:t>
      </w:r>
      <w:r w:rsidRPr="005A284F">
        <w:rPr>
          <w:rFonts w:ascii="Times New Roman" w:hAnsi="Times New Roman" w:cs="Times New Roman"/>
          <w:sz w:val="18"/>
          <w:szCs w:val="18"/>
        </w:rPr>
        <w:t>”</w:t>
      </w:r>
      <w:r w:rsidRPr="005A284F">
        <w:rPr>
          <w:rFonts w:ascii="Times New Roman" w:hAnsi="Times New Roman" w:cs="Times New Roman"/>
          <w:sz w:val="18"/>
          <w:szCs w:val="18"/>
        </w:rPr>
        <w:t>）的计量规定的各项非流动资产的账面价值。后续资产负债表日持有待售的处置组公允价值减去出售费用后的净额增加的，以前减记的金额应当予以恢复，并在划分为持有待售类别后适用持有待售准则计量规定的非流动资产确认的资产减值损失金额内转回，转回金额计入当期损益，并根据处置组中除商誉外适用持有待售准则计量规定的各项非流动资产账面价值所占比重按比例增加其账面价值；已抵减的商誉账面价值，以及适用持有待售准则计量规定的非流动资产在划分为持有待售类别前确认的资产减值损失不得转回。</w:t>
      </w:r>
    </w:p>
    <w:p w14:paraId="74B44F80" w14:textId="77777777" w:rsidR="000309B5" w:rsidRPr="00D15C4E" w:rsidRDefault="00000000" w:rsidP="00D15C4E">
      <w:pPr>
        <w:pStyle w:val="a3"/>
        <w:spacing w:before="0" w:beforeAutospacing="0" w:after="0" w:afterAutospacing="0" w:line="276" w:lineRule="auto"/>
        <w:ind w:firstLineChars="200" w:firstLine="360"/>
        <w:jc w:val="both"/>
        <w:divId w:val="1706786452"/>
        <w:rPr>
          <w:rFonts w:ascii="Times New Roman" w:hAnsi="Times New Roman" w:cs="Times New Roman"/>
          <w:sz w:val="18"/>
          <w:szCs w:val="18"/>
        </w:rPr>
      </w:pPr>
      <w:r w:rsidRPr="005A284F">
        <w:rPr>
          <w:rFonts w:ascii="Times New Roman" w:hAnsi="Times New Roman" w:cs="Times New Roman"/>
          <w:sz w:val="18"/>
          <w:szCs w:val="18"/>
        </w:rPr>
        <w:t>持有待售的非流动资产或处置组中的非流动资产不计提折旧或摊销，持有待售的处置组中负债的利息和其他费用继续予以确认。</w:t>
      </w:r>
    </w:p>
    <w:p w14:paraId="445AE79F" w14:textId="77777777" w:rsidR="000309B5" w:rsidRPr="00D15C4E" w:rsidRDefault="00000000" w:rsidP="00D15C4E">
      <w:pPr>
        <w:pStyle w:val="a3"/>
        <w:spacing w:before="0" w:beforeAutospacing="0" w:after="0" w:afterAutospacing="0" w:line="276" w:lineRule="auto"/>
        <w:ind w:firstLineChars="200" w:firstLine="360"/>
        <w:jc w:val="both"/>
        <w:divId w:val="1706786452"/>
        <w:rPr>
          <w:rFonts w:ascii="Times New Roman" w:hAnsi="Times New Roman" w:cs="Times New Roman"/>
          <w:sz w:val="18"/>
          <w:szCs w:val="18"/>
        </w:rPr>
      </w:pPr>
      <w:r w:rsidRPr="005A284F">
        <w:rPr>
          <w:rFonts w:ascii="Times New Roman" w:hAnsi="Times New Roman" w:cs="Times New Roman"/>
          <w:sz w:val="18"/>
          <w:szCs w:val="18"/>
        </w:rPr>
        <w:t>非流动资产或处置组不再满足持有待售类别的划分条件时，本集团不再将其继续划分为持有待售类别或将非流动资产从持有待售的处置组中移除，并按照以下两者孰低计量：（</w:t>
      </w:r>
      <w:r w:rsidRPr="005A284F">
        <w:rPr>
          <w:rFonts w:ascii="Times New Roman" w:hAnsi="Times New Roman" w:cs="Times New Roman"/>
          <w:sz w:val="18"/>
          <w:szCs w:val="18"/>
        </w:rPr>
        <w:t>1</w:t>
      </w:r>
      <w:r w:rsidRPr="005A284F">
        <w:rPr>
          <w:rFonts w:ascii="Times New Roman" w:hAnsi="Times New Roman" w:cs="Times New Roman"/>
          <w:sz w:val="18"/>
          <w:szCs w:val="18"/>
        </w:rPr>
        <w:t>）划分为持有待售类别前的账面价值，按照假定不划分为持有待售类别情况下本应确认的折旧、摊销或减值等进行调整后的金额；（</w:t>
      </w:r>
      <w:r w:rsidRPr="005A284F">
        <w:rPr>
          <w:rFonts w:ascii="Times New Roman" w:hAnsi="Times New Roman" w:cs="Times New Roman"/>
          <w:sz w:val="18"/>
          <w:szCs w:val="18"/>
        </w:rPr>
        <w:t>2</w:t>
      </w:r>
      <w:r w:rsidRPr="005A284F">
        <w:rPr>
          <w:rFonts w:ascii="Times New Roman" w:hAnsi="Times New Roman" w:cs="Times New Roman"/>
          <w:sz w:val="18"/>
          <w:szCs w:val="18"/>
        </w:rPr>
        <w:t>）可收回金额。</w:t>
      </w:r>
    </w:p>
    <w:p w14:paraId="6E749DFE" w14:textId="77777777" w:rsidR="006C011D" w:rsidRPr="005A284F" w:rsidRDefault="00000000">
      <w:pPr>
        <w:pStyle w:val="3"/>
        <w:spacing w:line="280" w:lineRule="exact"/>
        <w:jc w:val="left"/>
        <w:rPr>
          <w:rFonts w:ascii="Times New Roman" w:hAnsi="Times New Roman" w:cs="Times New Roman"/>
          <w:b/>
          <w:bCs/>
        </w:rPr>
      </w:pPr>
      <w:bookmarkStart w:id="133" w:name="_Toc989022"/>
      <w:r w:rsidRPr="005A284F">
        <w:rPr>
          <w:rFonts w:ascii="Times New Roman" w:hAnsi="Times New Roman" w:cs="Times New Roman"/>
          <w:b/>
          <w:bCs/>
        </w:rPr>
        <w:t>19</w:t>
      </w:r>
      <w:r w:rsidRPr="005A284F">
        <w:rPr>
          <w:rFonts w:ascii="Times New Roman" w:hAnsi="Times New Roman" w:cs="Times New Roman"/>
          <w:b/>
          <w:bCs/>
        </w:rPr>
        <w:t>、债权投资</w:t>
      </w:r>
      <w:bookmarkEnd w:id="133"/>
    </w:p>
    <w:p w14:paraId="0ADE144F" w14:textId="77777777" w:rsidR="000309B5" w:rsidRPr="005A284F" w:rsidRDefault="00000000">
      <w:pPr>
        <w:pStyle w:val="a3"/>
        <w:divId w:val="758521108"/>
        <w:rPr>
          <w:rFonts w:ascii="Times New Roman" w:hAnsi="Times New Roman" w:cs="Times New Roman"/>
          <w:sz w:val="18"/>
          <w:szCs w:val="18"/>
        </w:rPr>
      </w:pPr>
      <w:r w:rsidRPr="005A284F">
        <w:rPr>
          <w:rFonts w:ascii="Times New Roman" w:hAnsi="Times New Roman" w:cs="Times New Roman"/>
          <w:sz w:val="18"/>
          <w:szCs w:val="18"/>
        </w:rPr>
        <w:t>无</w:t>
      </w:r>
    </w:p>
    <w:p w14:paraId="04BDD812" w14:textId="77777777" w:rsidR="006C011D" w:rsidRPr="005A284F" w:rsidRDefault="00000000">
      <w:pPr>
        <w:pStyle w:val="3"/>
        <w:spacing w:line="280" w:lineRule="exact"/>
        <w:jc w:val="left"/>
        <w:rPr>
          <w:rFonts w:ascii="Times New Roman" w:hAnsi="Times New Roman" w:cs="Times New Roman"/>
          <w:b/>
          <w:bCs/>
        </w:rPr>
      </w:pPr>
      <w:bookmarkStart w:id="134" w:name="_Toc989023"/>
      <w:r w:rsidRPr="005A284F">
        <w:rPr>
          <w:rFonts w:ascii="Times New Roman" w:hAnsi="Times New Roman" w:cs="Times New Roman"/>
          <w:b/>
          <w:bCs/>
        </w:rPr>
        <w:t>20</w:t>
      </w:r>
      <w:r w:rsidRPr="005A284F">
        <w:rPr>
          <w:rFonts w:ascii="Times New Roman" w:hAnsi="Times New Roman" w:cs="Times New Roman"/>
          <w:b/>
          <w:bCs/>
        </w:rPr>
        <w:t>、其他债权投资</w:t>
      </w:r>
      <w:bookmarkEnd w:id="134"/>
    </w:p>
    <w:p w14:paraId="0216D4F4" w14:textId="77777777" w:rsidR="000309B5" w:rsidRPr="005A284F" w:rsidRDefault="00000000">
      <w:pPr>
        <w:pStyle w:val="a3"/>
        <w:divId w:val="592011659"/>
        <w:rPr>
          <w:rFonts w:ascii="Times New Roman" w:hAnsi="Times New Roman" w:cs="Times New Roman"/>
          <w:sz w:val="18"/>
          <w:szCs w:val="18"/>
        </w:rPr>
      </w:pPr>
      <w:r w:rsidRPr="005A284F">
        <w:rPr>
          <w:rFonts w:ascii="Times New Roman" w:hAnsi="Times New Roman" w:cs="Times New Roman"/>
          <w:sz w:val="18"/>
          <w:szCs w:val="18"/>
        </w:rPr>
        <w:t>无</w:t>
      </w:r>
    </w:p>
    <w:p w14:paraId="40F440C6" w14:textId="77777777" w:rsidR="006C011D" w:rsidRPr="005A284F" w:rsidRDefault="00000000">
      <w:pPr>
        <w:pStyle w:val="3"/>
        <w:spacing w:line="280" w:lineRule="exact"/>
        <w:jc w:val="left"/>
        <w:rPr>
          <w:rFonts w:ascii="Times New Roman" w:hAnsi="Times New Roman" w:cs="Times New Roman"/>
          <w:b/>
          <w:bCs/>
        </w:rPr>
      </w:pPr>
      <w:bookmarkStart w:id="135" w:name="_Toc989024"/>
      <w:r w:rsidRPr="005A284F">
        <w:rPr>
          <w:rFonts w:ascii="Times New Roman" w:hAnsi="Times New Roman" w:cs="Times New Roman"/>
          <w:b/>
          <w:bCs/>
        </w:rPr>
        <w:lastRenderedPageBreak/>
        <w:t>21</w:t>
      </w:r>
      <w:r w:rsidRPr="005A284F">
        <w:rPr>
          <w:rFonts w:ascii="Times New Roman" w:hAnsi="Times New Roman" w:cs="Times New Roman"/>
          <w:b/>
          <w:bCs/>
        </w:rPr>
        <w:t>、长期应收款</w:t>
      </w:r>
      <w:bookmarkEnd w:id="135"/>
    </w:p>
    <w:p w14:paraId="7565C53E" w14:textId="77777777" w:rsidR="000309B5" w:rsidRPr="005A284F" w:rsidRDefault="00000000">
      <w:pPr>
        <w:pStyle w:val="a3"/>
        <w:divId w:val="248580220"/>
        <w:rPr>
          <w:rFonts w:ascii="Times New Roman" w:hAnsi="Times New Roman" w:cs="Times New Roman"/>
          <w:sz w:val="18"/>
          <w:szCs w:val="18"/>
        </w:rPr>
      </w:pPr>
      <w:r w:rsidRPr="005A284F">
        <w:rPr>
          <w:rFonts w:ascii="Times New Roman" w:hAnsi="Times New Roman" w:cs="Times New Roman"/>
          <w:sz w:val="18"/>
          <w:szCs w:val="18"/>
        </w:rPr>
        <w:t>无</w:t>
      </w:r>
    </w:p>
    <w:p w14:paraId="5C4CE025" w14:textId="77777777" w:rsidR="006C011D" w:rsidRPr="005A284F" w:rsidRDefault="00000000">
      <w:pPr>
        <w:pStyle w:val="3"/>
        <w:spacing w:line="280" w:lineRule="exact"/>
        <w:jc w:val="left"/>
        <w:rPr>
          <w:rFonts w:ascii="Times New Roman" w:hAnsi="Times New Roman" w:cs="Times New Roman"/>
          <w:b/>
          <w:bCs/>
        </w:rPr>
      </w:pPr>
      <w:bookmarkStart w:id="136" w:name="_Toc989025"/>
      <w:r w:rsidRPr="005A284F">
        <w:rPr>
          <w:rFonts w:ascii="Times New Roman" w:hAnsi="Times New Roman" w:cs="Times New Roman"/>
          <w:b/>
          <w:bCs/>
        </w:rPr>
        <w:t>22</w:t>
      </w:r>
      <w:r w:rsidRPr="005A284F">
        <w:rPr>
          <w:rFonts w:ascii="Times New Roman" w:hAnsi="Times New Roman" w:cs="Times New Roman"/>
          <w:b/>
          <w:bCs/>
        </w:rPr>
        <w:t>、长期股权投资</w:t>
      </w:r>
      <w:bookmarkEnd w:id="136"/>
    </w:p>
    <w:p w14:paraId="0C3FD8C4" w14:textId="77777777" w:rsidR="000309B5" w:rsidRPr="00D15C4E" w:rsidRDefault="00000000" w:rsidP="00D15C4E">
      <w:pPr>
        <w:pStyle w:val="a3"/>
        <w:spacing w:before="0" w:beforeAutospacing="0" w:after="0" w:afterAutospacing="0" w:line="276" w:lineRule="auto"/>
        <w:ind w:firstLineChars="200" w:firstLine="360"/>
        <w:jc w:val="both"/>
        <w:divId w:val="1801411749"/>
        <w:rPr>
          <w:rFonts w:ascii="Times New Roman" w:hAnsi="Times New Roman" w:cs="Times New Roman"/>
          <w:sz w:val="18"/>
          <w:szCs w:val="18"/>
        </w:rPr>
      </w:pPr>
      <w:r w:rsidRPr="005A284F">
        <w:rPr>
          <w:rFonts w:ascii="Times New Roman" w:hAnsi="Times New Roman" w:cs="Times New Roman"/>
          <w:sz w:val="18"/>
          <w:szCs w:val="18"/>
        </w:rPr>
        <w:t>本部分所指的长期股权投资是指本集团对被投资单位具有控制、共同控制或重大影响的长期股权投资。本集团对被投资单位不具有控制、共同控制或重大影响的长期股权投资，作为以公允价值计量且其变动计入当期损益的金融资产核算，其中如果属于非交易性的，本集团在初始确认时可选择将其指定为以公允价值计量且其变动计入其他综合收益的金融资产核算，其会计政策详见附注五、</w:t>
      </w:r>
      <w:r w:rsidRPr="005A284F">
        <w:rPr>
          <w:rFonts w:ascii="Times New Roman" w:hAnsi="Times New Roman" w:cs="Times New Roman"/>
          <w:sz w:val="18"/>
          <w:szCs w:val="18"/>
        </w:rPr>
        <w:t>11“</w:t>
      </w:r>
      <w:r w:rsidRPr="005A284F">
        <w:rPr>
          <w:rFonts w:ascii="Times New Roman" w:hAnsi="Times New Roman" w:cs="Times New Roman"/>
          <w:sz w:val="18"/>
          <w:szCs w:val="18"/>
        </w:rPr>
        <w:t>金融工具</w:t>
      </w:r>
      <w:r w:rsidRPr="005A284F">
        <w:rPr>
          <w:rFonts w:ascii="Times New Roman" w:hAnsi="Times New Roman" w:cs="Times New Roman"/>
          <w:sz w:val="18"/>
          <w:szCs w:val="18"/>
        </w:rPr>
        <w:t xml:space="preserve"> ”</w:t>
      </w:r>
      <w:r w:rsidRPr="005A284F">
        <w:rPr>
          <w:rFonts w:ascii="Times New Roman" w:hAnsi="Times New Roman" w:cs="Times New Roman"/>
          <w:sz w:val="18"/>
          <w:szCs w:val="18"/>
        </w:rPr>
        <w:t>。</w:t>
      </w:r>
    </w:p>
    <w:p w14:paraId="086B8B35" w14:textId="77777777" w:rsidR="000309B5" w:rsidRPr="00D15C4E" w:rsidRDefault="00000000" w:rsidP="00D15C4E">
      <w:pPr>
        <w:pStyle w:val="a3"/>
        <w:spacing w:before="0" w:beforeAutospacing="0" w:after="0" w:afterAutospacing="0" w:line="276" w:lineRule="auto"/>
        <w:ind w:firstLineChars="200" w:firstLine="360"/>
        <w:jc w:val="both"/>
        <w:divId w:val="1801411749"/>
        <w:rPr>
          <w:rFonts w:ascii="Times New Roman" w:hAnsi="Times New Roman" w:cs="Times New Roman"/>
          <w:sz w:val="18"/>
          <w:szCs w:val="18"/>
        </w:rPr>
      </w:pPr>
      <w:r w:rsidRPr="005A284F">
        <w:rPr>
          <w:rFonts w:ascii="Times New Roman" w:hAnsi="Times New Roman" w:cs="Times New Roman"/>
          <w:sz w:val="18"/>
          <w:szCs w:val="18"/>
        </w:rPr>
        <w:t>共同控制，是指本集团按照相关约定对某项安排所共有的控制，并且该安排的相关活动必须经过分享控制权的参与方一致同意后才能决策。重大影响，是指本集团对被投资单位的财务和经营政策有参与决策的权力，但并不能够控制或者与其他方一起共同控制这些政策的制定。</w:t>
      </w:r>
    </w:p>
    <w:p w14:paraId="20C825FB" w14:textId="77777777" w:rsidR="000309B5" w:rsidRPr="00D15C4E" w:rsidRDefault="00000000" w:rsidP="00D15C4E">
      <w:pPr>
        <w:pStyle w:val="a3"/>
        <w:spacing w:before="0" w:beforeAutospacing="0" w:after="0" w:afterAutospacing="0" w:line="276" w:lineRule="auto"/>
        <w:ind w:firstLineChars="200" w:firstLine="360"/>
        <w:jc w:val="both"/>
        <w:divId w:val="1801411749"/>
        <w:rPr>
          <w:rFonts w:ascii="Times New Roman" w:hAnsi="Times New Roman" w:cs="Times New Roman"/>
          <w:sz w:val="18"/>
          <w:szCs w:val="18"/>
        </w:rPr>
      </w:pPr>
      <w:r w:rsidRPr="005A284F">
        <w:rPr>
          <w:rFonts w:ascii="Times New Roman" w:hAnsi="Times New Roman" w:cs="Times New Roman"/>
          <w:sz w:val="18"/>
          <w:szCs w:val="18"/>
        </w:rPr>
        <w:t>投资成本的确定</w:t>
      </w:r>
    </w:p>
    <w:p w14:paraId="3965CABA" w14:textId="77777777" w:rsidR="000309B5" w:rsidRPr="00D15C4E" w:rsidRDefault="00000000" w:rsidP="00D15C4E">
      <w:pPr>
        <w:pStyle w:val="a3"/>
        <w:spacing w:before="0" w:beforeAutospacing="0" w:after="0" w:afterAutospacing="0" w:line="276" w:lineRule="auto"/>
        <w:ind w:firstLineChars="200" w:firstLine="360"/>
        <w:jc w:val="both"/>
        <w:divId w:val="1801411749"/>
        <w:rPr>
          <w:rFonts w:ascii="Times New Roman" w:hAnsi="Times New Roman" w:cs="Times New Roman"/>
          <w:sz w:val="18"/>
          <w:szCs w:val="18"/>
        </w:rPr>
      </w:pPr>
      <w:r w:rsidRPr="005A284F">
        <w:rPr>
          <w:rFonts w:ascii="Times New Roman" w:hAnsi="Times New Roman" w:cs="Times New Roman"/>
          <w:sz w:val="18"/>
          <w:szCs w:val="18"/>
        </w:rPr>
        <w:t>对于同一控制下的企业合并取得的长期股权投资，在合并日按照被合并方股东权益</w:t>
      </w:r>
      <w:r w:rsidRPr="005A284F">
        <w:rPr>
          <w:rFonts w:ascii="Times New Roman" w:hAnsi="Times New Roman" w:cs="Times New Roman"/>
          <w:sz w:val="18"/>
          <w:szCs w:val="18"/>
        </w:rPr>
        <w:t>/</w:t>
      </w:r>
      <w:r w:rsidRPr="005A284F">
        <w:rPr>
          <w:rFonts w:ascii="Times New Roman" w:hAnsi="Times New Roman" w:cs="Times New Roman"/>
          <w:sz w:val="18"/>
          <w:szCs w:val="18"/>
        </w:rPr>
        <w:t>所有者权益在最终控制方合并财务报表中的账面价值的份额作为长期股权投资的初始投资成本。长期股权投资初始投资成本与支付的现金、转让的非现金资产以及所承担债务账面价值之间的差额，调整资本公积；资本公积不足冲减的，调整留存收益。以发行权益性证券作为合并对价的，在合并日按照被合并方股东权益</w:t>
      </w:r>
      <w:r w:rsidRPr="005A284F">
        <w:rPr>
          <w:rFonts w:ascii="Times New Roman" w:hAnsi="Times New Roman" w:cs="Times New Roman"/>
          <w:sz w:val="18"/>
          <w:szCs w:val="18"/>
        </w:rPr>
        <w:t>/</w:t>
      </w:r>
      <w:r w:rsidRPr="005A284F">
        <w:rPr>
          <w:rFonts w:ascii="Times New Roman" w:hAnsi="Times New Roman" w:cs="Times New Roman"/>
          <w:sz w:val="18"/>
          <w:szCs w:val="18"/>
        </w:rPr>
        <w:t>所有者权益在最终控制方合并财务报表中的账面价值的份额作为长期股权投资的初始投资成本，按照发行股份的面值总额作为股本，长期股权投资初始投资成本与所发行股份面值总额之间的差额，调整资本公积；资本公积不足冲减的，调整留存收益。通过多次交易分步取得同一控制下被合并方的股权，最终形成同一控制下企业合并的，应分别是否属于</w:t>
      </w:r>
      <w:r w:rsidRPr="005A284F">
        <w:rPr>
          <w:rFonts w:ascii="Times New Roman" w:hAnsi="Times New Roman" w:cs="Times New Roman"/>
          <w:sz w:val="18"/>
          <w:szCs w:val="18"/>
        </w:rPr>
        <w:t>“</w:t>
      </w:r>
      <w:r w:rsidRPr="005A284F">
        <w:rPr>
          <w:rFonts w:ascii="Times New Roman" w:hAnsi="Times New Roman" w:cs="Times New Roman"/>
          <w:sz w:val="18"/>
          <w:szCs w:val="18"/>
        </w:rPr>
        <w:t>一揽子交易</w:t>
      </w:r>
      <w:r w:rsidRPr="005A284F">
        <w:rPr>
          <w:rFonts w:ascii="Times New Roman" w:hAnsi="Times New Roman" w:cs="Times New Roman"/>
          <w:sz w:val="18"/>
          <w:szCs w:val="18"/>
        </w:rPr>
        <w:t>”</w:t>
      </w:r>
      <w:r w:rsidRPr="005A284F">
        <w:rPr>
          <w:rFonts w:ascii="Times New Roman" w:hAnsi="Times New Roman" w:cs="Times New Roman"/>
          <w:sz w:val="18"/>
          <w:szCs w:val="18"/>
        </w:rPr>
        <w:t>进行处理：属于</w:t>
      </w:r>
      <w:r w:rsidRPr="005A284F">
        <w:rPr>
          <w:rFonts w:ascii="Times New Roman" w:hAnsi="Times New Roman" w:cs="Times New Roman"/>
          <w:sz w:val="18"/>
          <w:szCs w:val="18"/>
        </w:rPr>
        <w:t>“</w:t>
      </w:r>
      <w:r w:rsidRPr="005A284F">
        <w:rPr>
          <w:rFonts w:ascii="Times New Roman" w:hAnsi="Times New Roman" w:cs="Times New Roman"/>
          <w:sz w:val="18"/>
          <w:szCs w:val="18"/>
        </w:rPr>
        <w:t>一揽子交易</w:t>
      </w:r>
      <w:r w:rsidRPr="005A284F">
        <w:rPr>
          <w:rFonts w:ascii="Times New Roman" w:hAnsi="Times New Roman" w:cs="Times New Roman"/>
          <w:sz w:val="18"/>
          <w:szCs w:val="18"/>
        </w:rPr>
        <w:t>”</w:t>
      </w:r>
      <w:r w:rsidRPr="005A284F">
        <w:rPr>
          <w:rFonts w:ascii="Times New Roman" w:hAnsi="Times New Roman" w:cs="Times New Roman"/>
          <w:sz w:val="18"/>
          <w:szCs w:val="18"/>
        </w:rPr>
        <w:t>的，将各项交易作为一项取得控制权的交易进行会计处理。不属于</w:t>
      </w:r>
      <w:r w:rsidRPr="005A284F">
        <w:rPr>
          <w:rFonts w:ascii="Times New Roman" w:hAnsi="Times New Roman" w:cs="Times New Roman"/>
          <w:sz w:val="18"/>
          <w:szCs w:val="18"/>
        </w:rPr>
        <w:t>“</w:t>
      </w:r>
      <w:r w:rsidRPr="005A284F">
        <w:rPr>
          <w:rFonts w:ascii="Times New Roman" w:hAnsi="Times New Roman" w:cs="Times New Roman"/>
          <w:sz w:val="18"/>
          <w:szCs w:val="18"/>
        </w:rPr>
        <w:t>一揽子交易</w:t>
      </w:r>
      <w:r w:rsidRPr="005A284F">
        <w:rPr>
          <w:rFonts w:ascii="Times New Roman" w:hAnsi="Times New Roman" w:cs="Times New Roman"/>
          <w:sz w:val="18"/>
          <w:szCs w:val="18"/>
        </w:rPr>
        <w:t>”</w:t>
      </w:r>
      <w:r w:rsidRPr="005A284F">
        <w:rPr>
          <w:rFonts w:ascii="Times New Roman" w:hAnsi="Times New Roman" w:cs="Times New Roman"/>
          <w:sz w:val="18"/>
          <w:szCs w:val="18"/>
        </w:rPr>
        <w:t>的，在合并日按照应享有被合并方股东权益</w:t>
      </w:r>
      <w:r w:rsidRPr="005A284F">
        <w:rPr>
          <w:rFonts w:ascii="Times New Roman" w:hAnsi="Times New Roman" w:cs="Times New Roman"/>
          <w:sz w:val="18"/>
          <w:szCs w:val="18"/>
        </w:rPr>
        <w:t>/</w:t>
      </w:r>
      <w:r w:rsidRPr="005A284F">
        <w:rPr>
          <w:rFonts w:ascii="Times New Roman" w:hAnsi="Times New Roman" w:cs="Times New Roman"/>
          <w:sz w:val="18"/>
          <w:szCs w:val="18"/>
        </w:rPr>
        <w:t>所有者权益在最终控制方合并财务报表中的账面价值的份额作为长期股权投资的初始投资成本，长期股权投资初始投资成本与达到合并前的长期股权投资账面价值加上合并日进一步取得股份新支付对价的账面价值之和的差额，调整资本公积；资本公积不足冲减的，调整留存收益。合并日之前持有的股权投资因采用权益法核算或作为以公允价值计量且其变动计入其他综合收益的金融资产而确认的其他综合收益，暂不进行会计处理。</w:t>
      </w:r>
    </w:p>
    <w:p w14:paraId="111F126C" w14:textId="77777777" w:rsidR="000309B5" w:rsidRPr="00D15C4E" w:rsidRDefault="00000000" w:rsidP="00D15C4E">
      <w:pPr>
        <w:pStyle w:val="a3"/>
        <w:spacing w:before="0" w:beforeAutospacing="0" w:after="0" w:afterAutospacing="0" w:line="276" w:lineRule="auto"/>
        <w:ind w:firstLineChars="200" w:firstLine="360"/>
        <w:jc w:val="both"/>
        <w:divId w:val="1801411749"/>
        <w:rPr>
          <w:rFonts w:ascii="Times New Roman" w:hAnsi="Times New Roman" w:cs="Times New Roman"/>
          <w:sz w:val="18"/>
          <w:szCs w:val="18"/>
        </w:rPr>
      </w:pPr>
      <w:r w:rsidRPr="005A284F">
        <w:rPr>
          <w:rFonts w:ascii="Times New Roman" w:hAnsi="Times New Roman" w:cs="Times New Roman"/>
          <w:sz w:val="18"/>
          <w:szCs w:val="18"/>
        </w:rPr>
        <w:t>对于非同一控制下的企业合并取得的长期股权投资，在购买日按照合并成本作为长期股权投资的初始投资成本，合并成本包括购买方付出的资产、发生或承担的负债、发行的权益性证券的公允价值之和。通过多次交易分步取得被购买方的股权，最终形成非同一控制下的企业合并的，应分别是否属于</w:t>
      </w:r>
      <w:r w:rsidRPr="005A284F">
        <w:rPr>
          <w:rFonts w:ascii="Times New Roman" w:hAnsi="Times New Roman" w:cs="Times New Roman"/>
          <w:sz w:val="18"/>
          <w:szCs w:val="18"/>
        </w:rPr>
        <w:t>“</w:t>
      </w:r>
      <w:r w:rsidRPr="005A284F">
        <w:rPr>
          <w:rFonts w:ascii="Times New Roman" w:hAnsi="Times New Roman" w:cs="Times New Roman"/>
          <w:sz w:val="18"/>
          <w:szCs w:val="18"/>
        </w:rPr>
        <w:t>一揽子交易</w:t>
      </w:r>
      <w:r w:rsidRPr="005A284F">
        <w:rPr>
          <w:rFonts w:ascii="Times New Roman" w:hAnsi="Times New Roman" w:cs="Times New Roman"/>
          <w:sz w:val="18"/>
          <w:szCs w:val="18"/>
        </w:rPr>
        <w:t>”</w:t>
      </w:r>
      <w:r w:rsidRPr="005A284F">
        <w:rPr>
          <w:rFonts w:ascii="Times New Roman" w:hAnsi="Times New Roman" w:cs="Times New Roman"/>
          <w:sz w:val="18"/>
          <w:szCs w:val="18"/>
        </w:rPr>
        <w:t>进行处理：属于</w:t>
      </w:r>
      <w:r w:rsidRPr="005A284F">
        <w:rPr>
          <w:rFonts w:ascii="Times New Roman" w:hAnsi="Times New Roman" w:cs="Times New Roman"/>
          <w:sz w:val="18"/>
          <w:szCs w:val="18"/>
        </w:rPr>
        <w:t>“</w:t>
      </w:r>
      <w:r w:rsidRPr="005A284F">
        <w:rPr>
          <w:rFonts w:ascii="Times New Roman" w:hAnsi="Times New Roman" w:cs="Times New Roman"/>
          <w:sz w:val="18"/>
          <w:szCs w:val="18"/>
        </w:rPr>
        <w:t>一揽子交易</w:t>
      </w:r>
      <w:r w:rsidRPr="005A284F">
        <w:rPr>
          <w:rFonts w:ascii="Times New Roman" w:hAnsi="Times New Roman" w:cs="Times New Roman"/>
          <w:sz w:val="18"/>
          <w:szCs w:val="18"/>
        </w:rPr>
        <w:t>”</w:t>
      </w:r>
      <w:r w:rsidRPr="005A284F">
        <w:rPr>
          <w:rFonts w:ascii="Times New Roman" w:hAnsi="Times New Roman" w:cs="Times New Roman"/>
          <w:sz w:val="18"/>
          <w:szCs w:val="18"/>
        </w:rPr>
        <w:t>的，将各项交易作为一项取得控制权的交易进行会计处理。不属于</w:t>
      </w:r>
      <w:r w:rsidRPr="005A284F">
        <w:rPr>
          <w:rFonts w:ascii="Times New Roman" w:hAnsi="Times New Roman" w:cs="Times New Roman"/>
          <w:sz w:val="18"/>
          <w:szCs w:val="18"/>
        </w:rPr>
        <w:t>“</w:t>
      </w:r>
      <w:r w:rsidRPr="005A284F">
        <w:rPr>
          <w:rFonts w:ascii="Times New Roman" w:hAnsi="Times New Roman" w:cs="Times New Roman"/>
          <w:sz w:val="18"/>
          <w:szCs w:val="18"/>
        </w:rPr>
        <w:t>一揽子交易</w:t>
      </w:r>
      <w:r w:rsidRPr="005A284F">
        <w:rPr>
          <w:rFonts w:ascii="Times New Roman" w:hAnsi="Times New Roman" w:cs="Times New Roman"/>
          <w:sz w:val="18"/>
          <w:szCs w:val="18"/>
        </w:rPr>
        <w:t>”</w:t>
      </w:r>
      <w:r w:rsidRPr="005A284F">
        <w:rPr>
          <w:rFonts w:ascii="Times New Roman" w:hAnsi="Times New Roman" w:cs="Times New Roman"/>
          <w:sz w:val="18"/>
          <w:szCs w:val="18"/>
        </w:rPr>
        <w:t>的，按照原持有被购买方的股权投资账面价值加上新增投资成本之和，作为改按成本法核算的长期股权投资的初始投资成本。原持有的股权采用权益法核算的，相关其他综合收益暂不进行会计处理。</w:t>
      </w:r>
    </w:p>
    <w:p w14:paraId="70126C55" w14:textId="77777777" w:rsidR="000309B5" w:rsidRPr="00D15C4E" w:rsidRDefault="00000000" w:rsidP="00D15C4E">
      <w:pPr>
        <w:pStyle w:val="a3"/>
        <w:spacing w:before="0" w:beforeAutospacing="0" w:after="0" w:afterAutospacing="0" w:line="276" w:lineRule="auto"/>
        <w:ind w:firstLineChars="200" w:firstLine="360"/>
        <w:jc w:val="both"/>
        <w:divId w:val="1801411749"/>
        <w:rPr>
          <w:rFonts w:ascii="Times New Roman" w:hAnsi="Times New Roman" w:cs="Times New Roman"/>
          <w:sz w:val="18"/>
          <w:szCs w:val="18"/>
        </w:rPr>
      </w:pPr>
      <w:r w:rsidRPr="005A284F">
        <w:rPr>
          <w:rFonts w:ascii="Times New Roman" w:hAnsi="Times New Roman" w:cs="Times New Roman"/>
          <w:sz w:val="18"/>
          <w:szCs w:val="18"/>
        </w:rPr>
        <w:t>合并方或购买方为企业合并发生的审计、法律服务、评估咨询等中介费用以及其他相关管理费用，于发生时计入当期损益。</w:t>
      </w:r>
    </w:p>
    <w:p w14:paraId="0DD2F470" w14:textId="77777777" w:rsidR="000309B5" w:rsidRPr="00D15C4E" w:rsidRDefault="00000000" w:rsidP="00D15C4E">
      <w:pPr>
        <w:pStyle w:val="a3"/>
        <w:spacing w:before="0" w:beforeAutospacing="0" w:after="0" w:afterAutospacing="0" w:line="276" w:lineRule="auto"/>
        <w:ind w:firstLineChars="200" w:firstLine="360"/>
        <w:jc w:val="both"/>
        <w:divId w:val="1801411749"/>
        <w:rPr>
          <w:rFonts w:ascii="Times New Roman" w:hAnsi="Times New Roman" w:cs="Times New Roman"/>
          <w:sz w:val="18"/>
          <w:szCs w:val="18"/>
        </w:rPr>
      </w:pPr>
      <w:r w:rsidRPr="005A284F">
        <w:rPr>
          <w:rFonts w:ascii="Times New Roman" w:hAnsi="Times New Roman" w:cs="Times New Roman"/>
          <w:sz w:val="18"/>
          <w:szCs w:val="18"/>
        </w:rPr>
        <w:t>除企业合并形成的长期股权投资外的其他股权投资，按成本进行初始计量，该成本视长期股权投资取得方式的不同，分别按照本集团实际支付的现金购买价款、本集团发行的权益性证券的公允价值、投资合同或协议约定的价值、非货币性资产交换交易中换出资产的公允价值或原账面价值、该项长期股权投资自身的公允价值等方式确定。与取得长期股权投资直接相关的费用、税金及其他必要支出也计入投资成本。对于因追加投资能够对被投资单位实施重大影响或实施共同控制但不构成控制的，长期股权投资成本为按照《企业会计准则第</w:t>
      </w:r>
      <w:r w:rsidRPr="005A284F">
        <w:rPr>
          <w:rFonts w:ascii="Times New Roman" w:hAnsi="Times New Roman" w:cs="Times New Roman"/>
          <w:sz w:val="18"/>
          <w:szCs w:val="18"/>
        </w:rPr>
        <w:t>22</w:t>
      </w:r>
      <w:r w:rsidRPr="005A284F">
        <w:rPr>
          <w:rFonts w:ascii="Times New Roman" w:hAnsi="Times New Roman" w:cs="Times New Roman"/>
          <w:sz w:val="18"/>
          <w:szCs w:val="18"/>
        </w:rPr>
        <w:t>号</w:t>
      </w:r>
      <w:r w:rsidRPr="005A284F">
        <w:rPr>
          <w:rFonts w:ascii="Times New Roman" w:hAnsi="Times New Roman" w:cs="Times New Roman"/>
          <w:sz w:val="18"/>
          <w:szCs w:val="18"/>
        </w:rPr>
        <w:t>——</w:t>
      </w:r>
      <w:r w:rsidRPr="005A284F">
        <w:rPr>
          <w:rFonts w:ascii="Times New Roman" w:hAnsi="Times New Roman" w:cs="Times New Roman"/>
          <w:sz w:val="18"/>
          <w:szCs w:val="18"/>
        </w:rPr>
        <w:t>金融工具确认和计量》确定的原持有股权投资的公允价值加上新增投资成本之和。</w:t>
      </w:r>
    </w:p>
    <w:p w14:paraId="70F83464" w14:textId="77777777" w:rsidR="000309B5" w:rsidRPr="00D15C4E" w:rsidRDefault="00000000" w:rsidP="00D15C4E">
      <w:pPr>
        <w:pStyle w:val="a3"/>
        <w:spacing w:before="0" w:beforeAutospacing="0" w:after="0" w:afterAutospacing="0" w:line="276" w:lineRule="auto"/>
        <w:ind w:firstLineChars="200" w:firstLine="360"/>
        <w:jc w:val="both"/>
        <w:divId w:val="1801411749"/>
        <w:rPr>
          <w:rFonts w:ascii="Times New Roman" w:hAnsi="Times New Roman" w:cs="Times New Roman"/>
          <w:sz w:val="18"/>
          <w:szCs w:val="18"/>
        </w:rPr>
      </w:pPr>
      <w:r w:rsidRPr="005A284F">
        <w:rPr>
          <w:rFonts w:ascii="Times New Roman" w:hAnsi="Times New Roman" w:cs="Times New Roman"/>
          <w:sz w:val="18"/>
          <w:szCs w:val="18"/>
        </w:rPr>
        <w:lastRenderedPageBreak/>
        <w:t>后续计量及损益确认方法</w:t>
      </w:r>
    </w:p>
    <w:p w14:paraId="7CFEDA02" w14:textId="77777777" w:rsidR="000309B5" w:rsidRPr="00D15C4E" w:rsidRDefault="00000000" w:rsidP="00D15C4E">
      <w:pPr>
        <w:pStyle w:val="a3"/>
        <w:spacing w:before="0" w:beforeAutospacing="0" w:after="0" w:afterAutospacing="0" w:line="276" w:lineRule="auto"/>
        <w:ind w:firstLineChars="200" w:firstLine="360"/>
        <w:jc w:val="both"/>
        <w:divId w:val="1801411749"/>
        <w:rPr>
          <w:rFonts w:ascii="Times New Roman" w:hAnsi="Times New Roman" w:cs="Times New Roman"/>
          <w:sz w:val="18"/>
          <w:szCs w:val="18"/>
        </w:rPr>
      </w:pPr>
      <w:r w:rsidRPr="005A284F">
        <w:rPr>
          <w:rFonts w:ascii="Times New Roman" w:hAnsi="Times New Roman" w:cs="Times New Roman"/>
          <w:sz w:val="18"/>
          <w:szCs w:val="18"/>
        </w:rPr>
        <w:t>对被投资单位具有共同控制（构成共同经营者除外）或重大影响的长期股权投资，采用权益法核算。此外，公司财务报表采用成本法核算能够对被投资单位实施控制的长期股权投资。</w:t>
      </w:r>
    </w:p>
    <w:p w14:paraId="57FE7E54" w14:textId="77777777" w:rsidR="000309B5" w:rsidRPr="00D15C4E" w:rsidRDefault="00000000" w:rsidP="00D15C4E">
      <w:pPr>
        <w:pStyle w:val="a3"/>
        <w:spacing w:before="0" w:beforeAutospacing="0" w:after="0" w:afterAutospacing="0" w:line="276" w:lineRule="auto"/>
        <w:ind w:firstLineChars="200" w:firstLine="360"/>
        <w:jc w:val="both"/>
        <w:divId w:val="1801411749"/>
        <w:rPr>
          <w:rFonts w:ascii="Times New Roman" w:hAnsi="Times New Roman" w:cs="Times New Roman"/>
          <w:sz w:val="18"/>
          <w:szCs w:val="18"/>
        </w:rPr>
      </w:pPr>
      <w:r w:rsidRPr="00D15C4E">
        <w:rPr>
          <w:rFonts w:ascii="Cambria Math" w:hAnsi="Cambria Math" w:cs="Cambria Math"/>
          <w:sz w:val="18"/>
          <w:szCs w:val="18"/>
        </w:rPr>
        <w:t>①</w:t>
      </w:r>
      <w:r w:rsidRPr="005A284F">
        <w:rPr>
          <w:rFonts w:ascii="Times New Roman" w:hAnsi="Times New Roman" w:cs="Times New Roman"/>
          <w:sz w:val="18"/>
          <w:szCs w:val="18"/>
        </w:rPr>
        <w:t>成本法核算的长期股权投资</w:t>
      </w:r>
    </w:p>
    <w:p w14:paraId="5941433E" w14:textId="77777777" w:rsidR="000309B5" w:rsidRPr="00D15C4E" w:rsidRDefault="00000000" w:rsidP="00D15C4E">
      <w:pPr>
        <w:pStyle w:val="a3"/>
        <w:spacing w:before="0" w:beforeAutospacing="0" w:after="0" w:afterAutospacing="0" w:line="276" w:lineRule="auto"/>
        <w:ind w:firstLineChars="200" w:firstLine="360"/>
        <w:jc w:val="both"/>
        <w:divId w:val="1801411749"/>
        <w:rPr>
          <w:rFonts w:ascii="Times New Roman" w:hAnsi="Times New Roman" w:cs="Times New Roman"/>
          <w:sz w:val="18"/>
          <w:szCs w:val="18"/>
        </w:rPr>
      </w:pPr>
      <w:r w:rsidRPr="005A284F">
        <w:rPr>
          <w:rFonts w:ascii="Times New Roman" w:hAnsi="Times New Roman" w:cs="Times New Roman"/>
          <w:sz w:val="18"/>
          <w:szCs w:val="18"/>
        </w:rPr>
        <w:t>采用成本法核算时，长期股权投资按初始投资成本计价，追加或收回投资调整长期股权投资的成本。除取得投资时实际支付的价款或者对价中包含的已宣告但尚未发放的现金股利或者利润外，当期投资收益按照享有被投资单位宣告发放的现金股利或利润确认。</w:t>
      </w:r>
    </w:p>
    <w:p w14:paraId="37BD7C7D" w14:textId="77777777" w:rsidR="000309B5" w:rsidRPr="00D15C4E" w:rsidRDefault="00000000" w:rsidP="00D15C4E">
      <w:pPr>
        <w:pStyle w:val="a3"/>
        <w:spacing w:before="0" w:beforeAutospacing="0" w:after="0" w:afterAutospacing="0" w:line="276" w:lineRule="auto"/>
        <w:ind w:firstLineChars="200" w:firstLine="360"/>
        <w:jc w:val="both"/>
        <w:divId w:val="1801411749"/>
        <w:rPr>
          <w:rFonts w:ascii="Times New Roman" w:hAnsi="Times New Roman" w:cs="Times New Roman"/>
          <w:sz w:val="18"/>
          <w:szCs w:val="18"/>
        </w:rPr>
      </w:pPr>
      <w:r w:rsidRPr="00D15C4E">
        <w:rPr>
          <w:rFonts w:ascii="Cambria Math" w:hAnsi="Cambria Math" w:cs="Cambria Math"/>
          <w:sz w:val="18"/>
          <w:szCs w:val="18"/>
        </w:rPr>
        <w:t>②</w:t>
      </w:r>
      <w:r w:rsidRPr="005A284F">
        <w:rPr>
          <w:rFonts w:ascii="Times New Roman" w:hAnsi="Times New Roman" w:cs="Times New Roman"/>
          <w:sz w:val="18"/>
          <w:szCs w:val="18"/>
        </w:rPr>
        <w:t>权益法核算的长期股权投资</w:t>
      </w:r>
    </w:p>
    <w:p w14:paraId="7B5D8E84" w14:textId="77777777" w:rsidR="000309B5" w:rsidRPr="00D15C4E" w:rsidRDefault="00000000" w:rsidP="00D15C4E">
      <w:pPr>
        <w:pStyle w:val="a3"/>
        <w:spacing w:before="0" w:beforeAutospacing="0" w:after="0" w:afterAutospacing="0" w:line="276" w:lineRule="auto"/>
        <w:ind w:firstLineChars="200" w:firstLine="360"/>
        <w:jc w:val="both"/>
        <w:divId w:val="1801411749"/>
        <w:rPr>
          <w:rFonts w:ascii="Times New Roman" w:hAnsi="Times New Roman" w:cs="Times New Roman"/>
          <w:sz w:val="18"/>
          <w:szCs w:val="18"/>
        </w:rPr>
      </w:pPr>
      <w:r w:rsidRPr="005A284F">
        <w:rPr>
          <w:rFonts w:ascii="Times New Roman" w:hAnsi="Times New Roman" w:cs="Times New Roman"/>
          <w:sz w:val="18"/>
          <w:szCs w:val="18"/>
        </w:rPr>
        <w:t>采用权益法核算时，长期股权投资的初始投资成本大于投资时应享有被投资单位可辨认净资产公允价值份额的，不调整长期股权投资的初始投资成本；初始投资成本小于投资时应享有被投资单位可辨认净资产公允价值份额的，其差额计入当期损益，同时调整长期股权投资的成本。</w:t>
      </w:r>
    </w:p>
    <w:p w14:paraId="4F314641" w14:textId="77777777" w:rsidR="000309B5" w:rsidRPr="00D15C4E" w:rsidRDefault="00000000" w:rsidP="00D15C4E">
      <w:pPr>
        <w:pStyle w:val="a3"/>
        <w:spacing w:before="0" w:beforeAutospacing="0" w:after="0" w:afterAutospacing="0" w:line="276" w:lineRule="auto"/>
        <w:ind w:firstLineChars="200" w:firstLine="360"/>
        <w:jc w:val="both"/>
        <w:divId w:val="1801411749"/>
        <w:rPr>
          <w:rFonts w:ascii="Times New Roman" w:hAnsi="Times New Roman" w:cs="Times New Roman"/>
          <w:sz w:val="18"/>
          <w:szCs w:val="18"/>
        </w:rPr>
      </w:pPr>
      <w:r w:rsidRPr="005A284F">
        <w:rPr>
          <w:rFonts w:ascii="Times New Roman" w:hAnsi="Times New Roman" w:cs="Times New Roman"/>
          <w:sz w:val="18"/>
          <w:szCs w:val="18"/>
        </w:rPr>
        <w:t>采用权益法核算时，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调整长期股权投资的账面价值并计入资本公积。在确认应享有被投资单位净损益的份额时，以取得投资时被投资单位各项可辨认资产等的公允价值为基础，对被投资单位的净利润进行调整后确认。被投资单位采用的会计政策及会计期间与本集团不一致的，按照本集团的会计政策及会计期间对被投资单位的财务报表进行调整，并据以确认投资收益和其他综合收益。对于本集团与联营企业及合营企业之间发生的交易，投出或出售的资产不构成业务的，未实现内部交易损益按照享有的比例计算归属于本集团的部分予以抵销，在此基础上确认投资损益。但本集团与被投资单位发生的未实现内部交易损失，属于所转让资产减值损失的，不予以抵销。本集团向合营企业或联营企业投出的资产构成业务的，投资方因此取得长期股权投资但未取得控制权的，以投出业务的公允价值作为新增长期股权投资的初始投资成本，初始投资成本与投出业务的账面价值之差，全额计入当期损益。本集团向合营企业或联营企业出售的资产构成业务的，取得的对价与业务的账面价值之差，全额计入当期损益。本集团自联营企业及合营企业购入的资产构成业务的，按《企业会计准则第</w:t>
      </w:r>
      <w:r w:rsidRPr="005A284F">
        <w:rPr>
          <w:rFonts w:ascii="Times New Roman" w:hAnsi="Times New Roman" w:cs="Times New Roman"/>
          <w:sz w:val="18"/>
          <w:szCs w:val="18"/>
        </w:rPr>
        <w:t>20</w:t>
      </w:r>
      <w:r w:rsidRPr="005A284F">
        <w:rPr>
          <w:rFonts w:ascii="Times New Roman" w:hAnsi="Times New Roman" w:cs="Times New Roman"/>
          <w:sz w:val="18"/>
          <w:szCs w:val="18"/>
        </w:rPr>
        <w:t>号</w:t>
      </w:r>
      <w:r w:rsidRPr="005A284F">
        <w:rPr>
          <w:rFonts w:ascii="Times New Roman" w:hAnsi="Times New Roman" w:cs="Times New Roman"/>
          <w:sz w:val="18"/>
          <w:szCs w:val="18"/>
        </w:rPr>
        <w:t>——</w:t>
      </w:r>
      <w:r w:rsidRPr="005A284F">
        <w:rPr>
          <w:rFonts w:ascii="Times New Roman" w:hAnsi="Times New Roman" w:cs="Times New Roman"/>
          <w:sz w:val="18"/>
          <w:szCs w:val="18"/>
        </w:rPr>
        <w:t>企业合并》的规定进行会计处理，全额确认与交易相关的利得或损失。</w:t>
      </w:r>
    </w:p>
    <w:p w14:paraId="3060FF76" w14:textId="77777777" w:rsidR="000309B5" w:rsidRPr="00D15C4E" w:rsidRDefault="00000000" w:rsidP="00D15C4E">
      <w:pPr>
        <w:pStyle w:val="a3"/>
        <w:spacing w:before="0" w:beforeAutospacing="0" w:after="0" w:afterAutospacing="0" w:line="276" w:lineRule="auto"/>
        <w:ind w:firstLineChars="200" w:firstLine="360"/>
        <w:jc w:val="both"/>
        <w:divId w:val="1801411749"/>
        <w:rPr>
          <w:rFonts w:ascii="Times New Roman" w:hAnsi="Times New Roman" w:cs="Times New Roman"/>
          <w:sz w:val="18"/>
          <w:szCs w:val="18"/>
        </w:rPr>
      </w:pPr>
      <w:r w:rsidRPr="005A284F">
        <w:rPr>
          <w:rFonts w:ascii="Times New Roman" w:hAnsi="Times New Roman" w:cs="Times New Roman"/>
          <w:sz w:val="18"/>
          <w:szCs w:val="18"/>
        </w:rPr>
        <w:t>在确认应分担被投资单位发生的净亏损时，以长期股权投资的账面价值和其他实质上构成对被投资单位净投资的长期权益减记至零为限。此外，如本集团对被投资单位负有承担额外损失的义务，则按预计承担的义务确认预计负债，计入当期投资损失。被投资单位以后期间实现净利润的，本集团在收益分享额弥补未确认的亏损分担额后，恢复确认收益分享额。</w:t>
      </w:r>
    </w:p>
    <w:p w14:paraId="14350F29" w14:textId="77777777" w:rsidR="000309B5" w:rsidRPr="00D15C4E" w:rsidRDefault="00000000" w:rsidP="00D15C4E">
      <w:pPr>
        <w:pStyle w:val="a3"/>
        <w:spacing w:before="0" w:beforeAutospacing="0" w:after="0" w:afterAutospacing="0" w:line="276" w:lineRule="auto"/>
        <w:ind w:firstLineChars="200" w:firstLine="360"/>
        <w:jc w:val="both"/>
        <w:divId w:val="1801411749"/>
        <w:rPr>
          <w:rFonts w:ascii="Times New Roman" w:hAnsi="Times New Roman" w:cs="Times New Roman"/>
          <w:sz w:val="18"/>
          <w:szCs w:val="18"/>
        </w:rPr>
      </w:pPr>
      <w:r w:rsidRPr="00D15C4E">
        <w:rPr>
          <w:rFonts w:ascii="Cambria Math" w:hAnsi="Cambria Math" w:cs="Cambria Math"/>
          <w:sz w:val="18"/>
          <w:szCs w:val="18"/>
        </w:rPr>
        <w:t>③</w:t>
      </w:r>
      <w:r w:rsidRPr="005A284F">
        <w:rPr>
          <w:rFonts w:ascii="Times New Roman" w:hAnsi="Times New Roman" w:cs="Times New Roman"/>
          <w:sz w:val="18"/>
          <w:szCs w:val="18"/>
        </w:rPr>
        <w:t>收购少数股权</w:t>
      </w:r>
    </w:p>
    <w:p w14:paraId="529361B3" w14:textId="77777777" w:rsidR="000309B5" w:rsidRPr="00D15C4E" w:rsidRDefault="00000000" w:rsidP="00D15C4E">
      <w:pPr>
        <w:pStyle w:val="a3"/>
        <w:spacing w:before="0" w:beforeAutospacing="0" w:after="0" w:afterAutospacing="0" w:line="276" w:lineRule="auto"/>
        <w:ind w:firstLineChars="200" w:firstLine="360"/>
        <w:jc w:val="both"/>
        <w:divId w:val="1801411749"/>
        <w:rPr>
          <w:rFonts w:ascii="Times New Roman" w:hAnsi="Times New Roman" w:cs="Times New Roman"/>
          <w:sz w:val="18"/>
          <w:szCs w:val="18"/>
        </w:rPr>
      </w:pPr>
      <w:r w:rsidRPr="005A284F">
        <w:rPr>
          <w:rFonts w:ascii="Times New Roman" w:hAnsi="Times New Roman" w:cs="Times New Roman"/>
          <w:sz w:val="18"/>
          <w:szCs w:val="18"/>
        </w:rPr>
        <w:t>在编制合并财务报表时，因购买少数股权新增的长期股权投资与按照新增持股比例计算应享有子公司自购买日（或合并日）开始持续计算的净资产份额之间的差额，调整资本公积，资本公积不足冲减的，调整留存收益。</w:t>
      </w:r>
    </w:p>
    <w:p w14:paraId="7B17E6A4" w14:textId="77777777" w:rsidR="000309B5" w:rsidRPr="00D15C4E" w:rsidRDefault="00000000" w:rsidP="00D15C4E">
      <w:pPr>
        <w:pStyle w:val="a3"/>
        <w:spacing w:before="0" w:beforeAutospacing="0" w:after="0" w:afterAutospacing="0" w:line="276" w:lineRule="auto"/>
        <w:ind w:firstLineChars="200" w:firstLine="360"/>
        <w:jc w:val="both"/>
        <w:divId w:val="1801411749"/>
        <w:rPr>
          <w:rFonts w:ascii="Times New Roman" w:hAnsi="Times New Roman" w:cs="Times New Roman"/>
          <w:sz w:val="18"/>
          <w:szCs w:val="18"/>
        </w:rPr>
      </w:pPr>
      <w:r w:rsidRPr="00D15C4E">
        <w:rPr>
          <w:rFonts w:ascii="Cambria Math" w:hAnsi="Cambria Math" w:cs="Cambria Math"/>
          <w:sz w:val="18"/>
          <w:szCs w:val="18"/>
        </w:rPr>
        <w:t>④</w:t>
      </w:r>
      <w:r w:rsidRPr="005A284F">
        <w:rPr>
          <w:rFonts w:ascii="Times New Roman" w:hAnsi="Times New Roman" w:cs="Times New Roman"/>
          <w:sz w:val="18"/>
          <w:szCs w:val="18"/>
        </w:rPr>
        <w:t>处置长期股权投资</w:t>
      </w:r>
    </w:p>
    <w:p w14:paraId="5EF820E1" w14:textId="77777777" w:rsidR="000309B5" w:rsidRPr="00D15C4E" w:rsidRDefault="00000000" w:rsidP="00D15C4E">
      <w:pPr>
        <w:pStyle w:val="a3"/>
        <w:spacing w:before="0" w:beforeAutospacing="0" w:after="0" w:afterAutospacing="0" w:line="276" w:lineRule="auto"/>
        <w:ind w:firstLineChars="200" w:firstLine="360"/>
        <w:jc w:val="both"/>
        <w:divId w:val="1801411749"/>
        <w:rPr>
          <w:rFonts w:ascii="Times New Roman" w:hAnsi="Times New Roman" w:cs="Times New Roman"/>
          <w:sz w:val="18"/>
          <w:szCs w:val="18"/>
        </w:rPr>
      </w:pPr>
      <w:r w:rsidRPr="005A284F">
        <w:rPr>
          <w:rFonts w:ascii="Times New Roman" w:hAnsi="Times New Roman" w:cs="Times New Roman"/>
          <w:sz w:val="18"/>
          <w:szCs w:val="18"/>
        </w:rPr>
        <w:t>在合并财务报表中，母公司在不丧失控制权的情况下部分处置对子公司的长期股权投资，处置价款与处置长期股权投资相对应享有子公司净资产的差额计入股东权益；母公司部分处置对子公司的长期股权投资导致丧失对子公司控制权的，按本附注五、</w:t>
      </w:r>
      <w:r w:rsidRPr="005A284F">
        <w:rPr>
          <w:rFonts w:ascii="Times New Roman" w:hAnsi="Times New Roman" w:cs="Times New Roman"/>
          <w:sz w:val="18"/>
          <w:szCs w:val="18"/>
        </w:rPr>
        <w:t>6</w:t>
      </w:r>
      <w:r w:rsidRPr="005A284F">
        <w:rPr>
          <w:rFonts w:ascii="Times New Roman" w:hAnsi="Times New Roman" w:cs="Times New Roman"/>
          <w:sz w:val="18"/>
          <w:szCs w:val="18"/>
        </w:rPr>
        <w:t>、</w:t>
      </w:r>
      <w:r w:rsidRPr="005A284F">
        <w:rPr>
          <w:rFonts w:ascii="Times New Roman" w:hAnsi="Times New Roman" w:cs="Times New Roman"/>
          <w:sz w:val="18"/>
          <w:szCs w:val="18"/>
        </w:rPr>
        <w:t>“</w:t>
      </w:r>
      <w:r w:rsidRPr="005A284F">
        <w:rPr>
          <w:rFonts w:ascii="Times New Roman" w:hAnsi="Times New Roman" w:cs="Times New Roman"/>
          <w:sz w:val="18"/>
          <w:szCs w:val="18"/>
        </w:rPr>
        <w:t>同一控制下和非同一控制下企业合并的会计处理方法</w:t>
      </w:r>
      <w:r w:rsidRPr="005A284F">
        <w:rPr>
          <w:rFonts w:ascii="Times New Roman" w:hAnsi="Times New Roman" w:cs="Times New Roman"/>
          <w:sz w:val="18"/>
          <w:szCs w:val="18"/>
        </w:rPr>
        <w:t>”</w:t>
      </w:r>
      <w:r w:rsidRPr="005A284F">
        <w:rPr>
          <w:rFonts w:ascii="Times New Roman" w:hAnsi="Times New Roman" w:cs="Times New Roman"/>
          <w:sz w:val="18"/>
          <w:szCs w:val="18"/>
        </w:rPr>
        <w:t>（</w:t>
      </w:r>
      <w:r w:rsidRPr="005A284F">
        <w:rPr>
          <w:rFonts w:ascii="Times New Roman" w:hAnsi="Times New Roman" w:cs="Times New Roman"/>
          <w:sz w:val="18"/>
          <w:szCs w:val="18"/>
        </w:rPr>
        <w:t>2</w:t>
      </w:r>
      <w:r w:rsidRPr="005A284F">
        <w:rPr>
          <w:rFonts w:ascii="Times New Roman" w:hAnsi="Times New Roman" w:cs="Times New Roman"/>
          <w:sz w:val="18"/>
          <w:szCs w:val="18"/>
        </w:rPr>
        <w:t>）中所述的相关会计政策处理。</w:t>
      </w:r>
    </w:p>
    <w:p w14:paraId="701248F4" w14:textId="77777777" w:rsidR="000309B5" w:rsidRPr="00D15C4E" w:rsidRDefault="00000000" w:rsidP="00D15C4E">
      <w:pPr>
        <w:pStyle w:val="a3"/>
        <w:spacing w:before="0" w:beforeAutospacing="0" w:after="0" w:afterAutospacing="0" w:line="276" w:lineRule="auto"/>
        <w:ind w:firstLineChars="200" w:firstLine="360"/>
        <w:jc w:val="both"/>
        <w:divId w:val="1801411749"/>
        <w:rPr>
          <w:rFonts w:ascii="Times New Roman" w:hAnsi="Times New Roman" w:cs="Times New Roman"/>
          <w:sz w:val="18"/>
          <w:szCs w:val="18"/>
        </w:rPr>
      </w:pPr>
      <w:r w:rsidRPr="005A284F">
        <w:rPr>
          <w:rFonts w:ascii="Times New Roman" w:hAnsi="Times New Roman" w:cs="Times New Roman"/>
          <w:sz w:val="18"/>
          <w:szCs w:val="18"/>
        </w:rPr>
        <w:t>其他情形下的长期股权投资处置，对于处置的股权，其账面价值与实际取得价款的差额，计入当期损益。</w:t>
      </w:r>
    </w:p>
    <w:p w14:paraId="0885A417" w14:textId="77777777" w:rsidR="000309B5" w:rsidRPr="00D15C4E" w:rsidRDefault="00000000" w:rsidP="00D15C4E">
      <w:pPr>
        <w:pStyle w:val="a3"/>
        <w:spacing w:before="0" w:beforeAutospacing="0" w:after="0" w:afterAutospacing="0" w:line="276" w:lineRule="auto"/>
        <w:ind w:firstLineChars="200" w:firstLine="360"/>
        <w:jc w:val="both"/>
        <w:divId w:val="1801411749"/>
        <w:rPr>
          <w:rFonts w:ascii="Times New Roman" w:hAnsi="Times New Roman" w:cs="Times New Roman"/>
          <w:sz w:val="18"/>
          <w:szCs w:val="18"/>
        </w:rPr>
      </w:pPr>
      <w:r w:rsidRPr="005A284F">
        <w:rPr>
          <w:rFonts w:ascii="Times New Roman" w:hAnsi="Times New Roman" w:cs="Times New Roman"/>
          <w:sz w:val="18"/>
          <w:szCs w:val="18"/>
        </w:rPr>
        <w:t>采用权益法核算的长期股权投资，处置后的剩余股权仍采用权益法核算的，在处置时将原计入股东权益的其他综合收益部分按相应的比例采用与被投资单位直接处置相关资产或负债相同的基础进行会计处理。因被投资方除净损益、其他综合收益和利润分配以外的其他所有者权益变动而确认的所有者权益，按比例结转入当期损益。</w:t>
      </w:r>
    </w:p>
    <w:p w14:paraId="09F4CC1E" w14:textId="77777777" w:rsidR="000309B5" w:rsidRPr="00D15C4E" w:rsidRDefault="00000000" w:rsidP="00D15C4E">
      <w:pPr>
        <w:pStyle w:val="a3"/>
        <w:spacing w:before="0" w:beforeAutospacing="0" w:after="0" w:afterAutospacing="0" w:line="276" w:lineRule="auto"/>
        <w:ind w:firstLineChars="200" w:firstLine="360"/>
        <w:jc w:val="both"/>
        <w:divId w:val="1801411749"/>
        <w:rPr>
          <w:rFonts w:ascii="Times New Roman" w:hAnsi="Times New Roman" w:cs="Times New Roman"/>
          <w:sz w:val="18"/>
          <w:szCs w:val="18"/>
        </w:rPr>
      </w:pPr>
      <w:r w:rsidRPr="005A284F">
        <w:rPr>
          <w:rFonts w:ascii="Times New Roman" w:hAnsi="Times New Roman" w:cs="Times New Roman"/>
          <w:sz w:val="18"/>
          <w:szCs w:val="18"/>
        </w:rPr>
        <w:lastRenderedPageBreak/>
        <w:t>采用成本法核算的长期股权投资，处置后剩余股权仍采用成本法核算的，其在取得对被投资单位的控制之前因采用权益法核算或金融工具确认和计量准则核算而确认的其他综合收益，采用与被投资单位直接处置相关资产或负债相同的基础进行会计处理，并按比例结转当期损益；因采用权益法核算而确认的被投资单位净资产中除净损益、其他综合收益和利润分配以外的其他所有者权益变动按比例结转当期损益。</w:t>
      </w:r>
    </w:p>
    <w:p w14:paraId="0F475280" w14:textId="77777777" w:rsidR="000309B5" w:rsidRPr="00D15C4E" w:rsidRDefault="00000000" w:rsidP="00D15C4E">
      <w:pPr>
        <w:pStyle w:val="a3"/>
        <w:spacing w:before="0" w:beforeAutospacing="0" w:after="0" w:afterAutospacing="0" w:line="276" w:lineRule="auto"/>
        <w:ind w:firstLineChars="200" w:firstLine="360"/>
        <w:jc w:val="both"/>
        <w:divId w:val="1801411749"/>
        <w:rPr>
          <w:rFonts w:ascii="Times New Roman" w:hAnsi="Times New Roman" w:cs="Times New Roman"/>
          <w:sz w:val="18"/>
          <w:szCs w:val="18"/>
        </w:rPr>
      </w:pPr>
      <w:r w:rsidRPr="005A284F">
        <w:rPr>
          <w:rFonts w:ascii="Times New Roman" w:hAnsi="Times New Roman" w:cs="Times New Roman"/>
          <w:sz w:val="18"/>
          <w:szCs w:val="18"/>
        </w:rPr>
        <w:t>本集团因处置部分股权投资丧失了对被投资单位的控制的，在编制个别财务报表时，处置后的剩余股权能够对被投资单位实施共同控制或施加重大影响的，改按权益法核算，并对该剩余股权视同自取得时即采用权益法核算进行调整；处置后的剩余股权不能对被投资单位实施共同控制或施加重大影响的，改按金融工具确认和计量准则的有关规定进行会计处理，其在丧失控制之日的公允价值与账面价值之间的差额计入当期损益。对于本集团取得对被投资单位的控制之前，因采用权益法核算或金融工具确认和计量准则核算而确认的其他综合收益，在丧失对被投资单位控制时采用与被投资单位直接处置相关资产或负债相同的基础进行会计处理，因采用权益法核算而确认的被投资单位净资产中除净损益、其他综合收益和利润分配以外的其他所有者权益变动在丧失对被投资单位控制时结转入当期损益。其中，处置后的剩余股权采用权益法核算的，其他综合收益和其他所有者权益按比例结转；处置后的剩余股权改按金融工具确认和计量准则进行会计处理的，其他综合收益和其他所有者权益全部结转。</w:t>
      </w:r>
    </w:p>
    <w:p w14:paraId="3E34A36F" w14:textId="77777777" w:rsidR="000309B5" w:rsidRPr="00D15C4E" w:rsidRDefault="00000000" w:rsidP="00D15C4E">
      <w:pPr>
        <w:pStyle w:val="a3"/>
        <w:spacing w:before="0" w:beforeAutospacing="0" w:after="0" w:afterAutospacing="0" w:line="276" w:lineRule="auto"/>
        <w:ind w:firstLineChars="200" w:firstLine="360"/>
        <w:jc w:val="both"/>
        <w:divId w:val="1801411749"/>
        <w:rPr>
          <w:rFonts w:ascii="Times New Roman" w:hAnsi="Times New Roman" w:cs="Times New Roman"/>
          <w:sz w:val="18"/>
          <w:szCs w:val="18"/>
        </w:rPr>
      </w:pPr>
      <w:r w:rsidRPr="005A284F">
        <w:rPr>
          <w:rFonts w:ascii="Times New Roman" w:hAnsi="Times New Roman" w:cs="Times New Roman"/>
          <w:sz w:val="18"/>
          <w:szCs w:val="18"/>
        </w:rPr>
        <w:t>本集团因处置部分股权投资丧失了对被投资单位的共同控制或重大影响的，处置后的剩余股权改按金融工具确认和计量准则核算，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因被投资方除净损益、其他综合收益和利润分配以外的其他所有者权益变动而确认的所有者权益，在终止采用权益法时全部转入当期投资收益。</w:t>
      </w:r>
    </w:p>
    <w:p w14:paraId="046EB63D" w14:textId="77777777" w:rsidR="000309B5" w:rsidRPr="00D15C4E" w:rsidRDefault="00000000" w:rsidP="00D15C4E">
      <w:pPr>
        <w:pStyle w:val="a3"/>
        <w:spacing w:before="0" w:beforeAutospacing="0" w:after="0" w:afterAutospacing="0" w:line="276" w:lineRule="auto"/>
        <w:ind w:firstLineChars="200" w:firstLine="360"/>
        <w:jc w:val="both"/>
        <w:divId w:val="1801411749"/>
        <w:rPr>
          <w:rFonts w:ascii="Times New Roman" w:hAnsi="Times New Roman" w:cs="Times New Roman"/>
          <w:sz w:val="18"/>
          <w:szCs w:val="18"/>
        </w:rPr>
      </w:pPr>
      <w:r w:rsidRPr="005A284F">
        <w:rPr>
          <w:rFonts w:ascii="Times New Roman" w:hAnsi="Times New Roman" w:cs="Times New Roman"/>
          <w:sz w:val="18"/>
          <w:szCs w:val="18"/>
        </w:rPr>
        <w:t>本集团通过多次交易分步处置对子公司股权投资直至丧失控制权，如果上述交易属于一揽子交易的，将各项交易作为一项处置子公司股权投资并丧失控制权的交易进行会计处理，在丧失控制权之前每一次处置价款与所处置的股权对应的长期股权投资账面价值之间的差额，先确认为其他综合收益，到丧失控制权时再一并转入丧失控制权的当期损益。</w:t>
      </w:r>
    </w:p>
    <w:p w14:paraId="2651FEA1" w14:textId="77777777" w:rsidR="006C011D" w:rsidRPr="005A284F" w:rsidRDefault="00000000">
      <w:pPr>
        <w:pStyle w:val="3"/>
        <w:spacing w:line="280" w:lineRule="exact"/>
        <w:jc w:val="left"/>
        <w:rPr>
          <w:rFonts w:ascii="Times New Roman" w:hAnsi="Times New Roman" w:cs="Times New Roman"/>
          <w:b/>
          <w:bCs/>
        </w:rPr>
      </w:pPr>
      <w:bookmarkStart w:id="137" w:name="_Toc989026"/>
      <w:r w:rsidRPr="005A284F">
        <w:rPr>
          <w:rFonts w:ascii="Times New Roman" w:hAnsi="Times New Roman" w:cs="Times New Roman"/>
          <w:b/>
          <w:bCs/>
        </w:rPr>
        <w:t>23</w:t>
      </w:r>
      <w:r w:rsidRPr="005A284F">
        <w:rPr>
          <w:rFonts w:ascii="Times New Roman" w:hAnsi="Times New Roman" w:cs="Times New Roman"/>
          <w:b/>
          <w:bCs/>
        </w:rPr>
        <w:t>、投资性房地产</w:t>
      </w:r>
      <w:bookmarkEnd w:id="137"/>
    </w:p>
    <w:p w14:paraId="31C78956" w14:textId="77777777" w:rsidR="00EE3DD0" w:rsidRPr="005A284F" w:rsidRDefault="00EE3DD0" w:rsidP="00EE3DD0">
      <w:pPr>
        <w:pStyle w:val="a3"/>
        <w:rPr>
          <w:rFonts w:ascii="Times New Roman" w:hAnsi="Times New Roman" w:cs="Times New Roman"/>
          <w:sz w:val="18"/>
          <w:szCs w:val="18"/>
        </w:rPr>
      </w:pPr>
      <w:bookmarkStart w:id="138" w:name="_Toc989027"/>
      <w:r w:rsidRPr="005A284F">
        <w:rPr>
          <w:rFonts w:ascii="Times New Roman" w:hAnsi="Times New Roman" w:cs="Times New Roman"/>
          <w:sz w:val="18"/>
          <w:szCs w:val="18"/>
        </w:rPr>
        <w:t>无</w:t>
      </w:r>
    </w:p>
    <w:p w14:paraId="42CCF81E" w14:textId="77777777" w:rsidR="006C011D" w:rsidRPr="005A284F" w:rsidRDefault="00000000">
      <w:pPr>
        <w:pStyle w:val="3"/>
        <w:spacing w:line="280" w:lineRule="exact"/>
        <w:jc w:val="left"/>
        <w:rPr>
          <w:rFonts w:ascii="Times New Roman" w:hAnsi="Times New Roman" w:cs="Times New Roman"/>
          <w:b/>
          <w:bCs/>
        </w:rPr>
      </w:pPr>
      <w:r w:rsidRPr="005A284F">
        <w:rPr>
          <w:rFonts w:ascii="Times New Roman" w:hAnsi="Times New Roman" w:cs="Times New Roman"/>
          <w:b/>
          <w:bCs/>
        </w:rPr>
        <w:t>24</w:t>
      </w:r>
      <w:r w:rsidRPr="005A284F">
        <w:rPr>
          <w:rFonts w:ascii="Times New Roman" w:hAnsi="Times New Roman" w:cs="Times New Roman"/>
          <w:b/>
          <w:bCs/>
        </w:rPr>
        <w:t>、固定资产</w:t>
      </w:r>
      <w:bookmarkEnd w:id="138"/>
    </w:p>
    <w:p w14:paraId="4C57620D" w14:textId="5AC5B884"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139" w:name="_Toc989028"/>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1</w:t>
      </w:r>
      <w:r w:rsidRPr="005A284F">
        <w:rPr>
          <w:rFonts w:ascii="Times New Roman" w:eastAsia="宋体" w:hAnsi="Times New Roman" w:cs="Times New Roman"/>
          <w:b/>
          <w:bCs/>
          <w:sz w:val="21"/>
          <w:szCs w:val="21"/>
        </w:rPr>
        <w:t>）确认条件</w:t>
      </w:r>
      <w:bookmarkEnd w:id="139"/>
    </w:p>
    <w:p w14:paraId="4F596DAE" w14:textId="77777777" w:rsidR="000309B5" w:rsidRPr="005A284F" w:rsidRDefault="00000000" w:rsidP="00D15C4E">
      <w:pPr>
        <w:pStyle w:val="a3"/>
        <w:spacing w:before="0" w:beforeAutospacing="0" w:after="0" w:afterAutospacing="0" w:line="276" w:lineRule="auto"/>
        <w:ind w:firstLineChars="200" w:firstLine="360"/>
        <w:jc w:val="both"/>
        <w:divId w:val="1685353507"/>
        <w:rPr>
          <w:rFonts w:ascii="Times New Roman" w:hAnsi="Times New Roman" w:cs="Times New Roman"/>
          <w:sz w:val="18"/>
          <w:szCs w:val="18"/>
        </w:rPr>
      </w:pPr>
      <w:r w:rsidRPr="005A284F">
        <w:rPr>
          <w:rFonts w:ascii="Times New Roman" w:hAnsi="Times New Roman" w:cs="Times New Roman"/>
          <w:sz w:val="18"/>
          <w:szCs w:val="18"/>
        </w:rPr>
        <w:t>固定资产是指为生产商品、提供劳务、出租或经营管理而持有的，使用寿命超过一个会计年度的有形资产。固定资产仅在与其有关的经济利益很可能流入本集团，且其成本能够可靠地计量时才予以确认。固定资产按成本并考虑预计弃置费用因素的影响进行初始计量。</w:t>
      </w:r>
    </w:p>
    <w:p w14:paraId="654FAF8C" w14:textId="6E448448" w:rsidR="006C011D" w:rsidRPr="00D15C4E" w:rsidRDefault="00000000" w:rsidP="00D15C4E">
      <w:pPr>
        <w:keepNext/>
        <w:keepLines/>
        <w:spacing w:before="300" w:after="300" w:line="280" w:lineRule="exact"/>
        <w:outlineLvl w:val="3"/>
        <w:rPr>
          <w:rFonts w:ascii="Times New Roman" w:eastAsia="宋体" w:hAnsi="Times New Roman" w:cs="Times New Roman"/>
          <w:b/>
          <w:bCs/>
          <w:sz w:val="21"/>
          <w:szCs w:val="21"/>
        </w:rPr>
      </w:pPr>
      <w:bookmarkStart w:id="140" w:name="_Toc989029"/>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2</w:t>
      </w:r>
      <w:r w:rsidRPr="005A284F">
        <w:rPr>
          <w:rFonts w:ascii="Times New Roman" w:eastAsia="宋体" w:hAnsi="Times New Roman" w:cs="Times New Roman"/>
          <w:b/>
          <w:bCs/>
          <w:sz w:val="21"/>
          <w:szCs w:val="21"/>
        </w:rPr>
        <w:t>）折旧方法</w:t>
      </w:r>
      <w:bookmarkEnd w:id="140"/>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C011D" w:rsidRPr="005A284F" w14:paraId="549D75AC"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D0E7FA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类别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044E65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折旧方法</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E447C6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折旧年限</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4665B0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残值率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5C012C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年折旧率</w:t>
            </w:r>
          </w:p>
        </w:tc>
      </w:tr>
      <w:tr w:rsidR="006C011D" w:rsidRPr="005A284F" w14:paraId="1792547E"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7B81A5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房屋及建筑物</w:t>
            </w:r>
          </w:p>
        </w:tc>
        <w:tc>
          <w:tcPr>
            <w:tcW w:w="1928" w:type="dxa"/>
            <w:tcBorders>
              <w:top w:val="single" w:sz="2" w:space="0" w:color="auto"/>
              <w:left w:val="single" w:sz="2" w:space="0" w:color="auto"/>
              <w:bottom w:val="single" w:sz="2" w:space="0" w:color="auto"/>
              <w:right w:val="single" w:sz="2" w:space="0" w:color="auto"/>
            </w:tcBorders>
            <w:vAlign w:val="center"/>
          </w:tcPr>
          <w:p w14:paraId="2CD7EAD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14:paraId="72598635" w14:textId="77777777" w:rsidR="006C011D" w:rsidRPr="005A284F" w:rsidRDefault="00000000" w:rsidP="00D15C4E">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20-40</w:t>
            </w:r>
          </w:p>
        </w:tc>
        <w:tc>
          <w:tcPr>
            <w:tcW w:w="1928" w:type="dxa"/>
            <w:tcBorders>
              <w:top w:val="single" w:sz="2" w:space="0" w:color="auto"/>
              <w:left w:val="single" w:sz="2" w:space="0" w:color="auto"/>
              <w:bottom w:val="single" w:sz="2" w:space="0" w:color="auto"/>
              <w:right w:val="single" w:sz="2" w:space="0" w:color="auto"/>
            </w:tcBorders>
            <w:vAlign w:val="center"/>
          </w:tcPr>
          <w:p w14:paraId="6F7E975D" w14:textId="77777777" w:rsidR="006C011D" w:rsidRPr="005A284F" w:rsidRDefault="00000000" w:rsidP="00D15C4E">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5</w:t>
            </w:r>
          </w:p>
        </w:tc>
        <w:tc>
          <w:tcPr>
            <w:tcW w:w="1928" w:type="dxa"/>
            <w:tcBorders>
              <w:top w:val="single" w:sz="2" w:space="0" w:color="auto"/>
              <w:left w:val="single" w:sz="2" w:space="0" w:color="auto"/>
              <w:bottom w:val="single" w:sz="2" w:space="0" w:color="auto"/>
              <w:right w:val="single" w:sz="2" w:space="0" w:color="auto"/>
            </w:tcBorders>
            <w:vAlign w:val="center"/>
          </w:tcPr>
          <w:p w14:paraId="6681AB37" w14:textId="77777777" w:rsidR="006C011D" w:rsidRPr="005A284F" w:rsidRDefault="00000000" w:rsidP="00D15C4E">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2.38-4.75</w:t>
            </w:r>
          </w:p>
        </w:tc>
      </w:tr>
      <w:tr w:rsidR="006C011D" w:rsidRPr="005A284F" w14:paraId="7CD83FEA"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63C034B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机器设备</w:t>
            </w:r>
          </w:p>
        </w:tc>
        <w:tc>
          <w:tcPr>
            <w:tcW w:w="1928" w:type="dxa"/>
            <w:tcBorders>
              <w:top w:val="single" w:sz="2" w:space="0" w:color="auto"/>
              <w:left w:val="single" w:sz="2" w:space="0" w:color="auto"/>
              <w:bottom w:val="single" w:sz="2" w:space="0" w:color="auto"/>
              <w:right w:val="single" w:sz="2" w:space="0" w:color="auto"/>
            </w:tcBorders>
            <w:vAlign w:val="center"/>
          </w:tcPr>
          <w:p w14:paraId="5FB46E7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14:paraId="27FE6E00" w14:textId="77777777" w:rsidR="006C011D" w:rsidRPr="005A284F" w:rsidRDefault="00000000" w:rsidP="00D15C4E">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8-14</w:t>
            </w:r>
          </w:p>
        </w:tc>
        <w:tc>
          <w:tcPr>
            <w:tcW w:w="1928" w:type="dxa"/>
            <w:tcBorders>
              <w:top w:val="single" w:sz="2" w:space="0" w:color="auto"/>
              <w:left w:val="single" w:sz="2" w:space="0" w:color="auto"/>
              <w:bottom w:val="single" w:sz="2" w:space="0" w:color="auto"/>
              <w:right w:val="single" w:sz="2" w:space="0" w:color="auto"/>
            </w:tcBorders>
            <w:vAlign w:val="center"/>
          </w:tcPr>
          <w:p w14:paraId="66CEB443" w14:textId="77777777" w:rsidR="006C011D" w:rsidRPr="005A284F" w:rsidRDefault="00000000" w:rsidP="00D15C4E">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0-5</w:t>
            </w:r>
          </w:p>
        </w:tc>
        <w:tc>
          <w:tcPr>
            <w:tcW w:w="1928" w:type="dxa"/>
            <w:tcBorders>
              <w:top w:val="single" w:sz="2" w:space="0" w:color="auto"/>
              <w:left w:val="single" w:sz="2" w:space="0" w:color="auto"/>
              <w:bottom w:val="single" w:sz="2" w:space="0" w:color="auto"/>
              <w:right w:val="single" w:sz="2" w:space="0" w:color="auto"/>
            </w:tcBorders>
            <w:vAlign w:val="center"/>
          </w:tcPr>
          <w:p w14:paraId="22E66C5F" w14:textId="77777777" w:rsidR="006C011D" w:rsidRPr="005A284F" w:rsidRDefault="00000000" w:rsidP="00D15C4E">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6.79-12.50</w:t>
            </w:r>
          </w:p>
        </w:tc>
      </w:tr>
      <w:tr w:rsidR="006C011D" w:rsidRPr="005A284F" w14:paraId="5AAD8D09"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0F18F82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运输工具</w:t>
            </w:r>
          </w:p>
        </w:tc>
        <w:tc>
          <w:tcPr>
            <w:tcW w:w="1928" w:type="dxa"/>
            <w:tcBorders>
              <w:top w:val="single" w:sz="2" w:space="0" w:color="auto"/>
              <w:left w:val="single" w:sz="2" w:space="0" w:color="auto"/>
              <w:bottom w:val="single" w:sz="2" w:space="0" w:color="auto"/>
              <w:right w:val="single" w:sz="2" w:space="0" w:color="auto"/>
            </w:tcBorders>
            <w:vAlign w:val="center"/>
          </w:tcPr>
          <w:p w14:paraId="4BF5E66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14:paraId="3396157A" w14:textId="77777777" w:rsidR="006C011D" w:rsidRPr="005A284F" w:rsidRDefault="00000000" w:rsidP="00D15C4E">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4-5</w:t>
            </w:r>
          </w:p>
        </w:tc>
        <w:tc>
          <w:tcPr>
            <w:tcW w:w="1928" w:type="dxa"/>
            <w:tcBorders>
              <w:top w:val="single" w:sz="2" w:space="0" w:color="auto"/>
              <w:left w:val="single" w:sz="2" w:space="0" w:color="auto"/>
              <w:bottom w:val="single" w:sz="2" w:space="0" w:color="auto"/>
              <w:right w:val="single" w:sz="2" w:space="0" w:color="auto"/>
            </w:tcBorders>
            <w:vAlign w:val="center"/>
          </w:tcPr>
          <w:p w14:paraId="1FC2CB67" w14:textId="77777777" w:rsidR="006C011D" w:rsidRPr="005A284F" w:rsidRDefault="00000000" w:rsidP="00D15C4E">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0-5</w:t>
            </w:r>
          </w:p>
        </w:tc>
        <w:tc>
          <w:tcPr>
            <w:tcW w:w="1928" w:type="dxa"/>
            <w:tcBorders>
              <w:top w:val="single" w:sz="2" w:space="0" w:color="auto"/>
              <w:left w:val="single" w:sz="2" w:space="0" w:color="auto"/>
              <w:bottom w:val="single" w:sz="2" w:space="0" w:color="auto"/>
              <w:right w:val="single" w:sz="2" w:space="0" w:color="auto"/>
            </w:tcBorders>
            <w:vAlign w:val="center"/>
          </w:tcPr>
          <w:p w14:paraId="0F01FF58" w14:textId="77777777" w:rsidR="006C011D" w:rsidRPr="005A284F" w:rsidRDefault="00000000" w:rsidP="00D15C4E">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19.00-25.00</w:t>
            </w:r>
          </w:p>
        </w:tc>
      </w:tr>
      <w:tr w:rsidR="006C011D" w:rsidRPr="005A284F" w14:paraId="0460B6EC"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F0889B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电子设备</w:t>
            </w:r>
          </w:p>
        </w:tc>
        <w:tc>
          <w:tcPr>
            <w:tcW w:w="1928" w:type="dxa"/>
            <w:tcBorders>
              <w:top w:val="single" w:sz="2" w:space="0" w:color="auto"/>
              <w:left w:val="single" w:sz="2" w:space="0" w:color="auto"/>
              <w:bottom w:val="single" w:sz="2" w:space="0" w:color="auto"/>
              <w:right w:val="single" w:sz="2" w:space="0" w:color="auto"/>
            </w:tcBorders>
            <w:vAlign w:val="center"/>
          </w:tcPr>
          <w:p w14:paraId="1597ACC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14:paraId="76CB7DAB" w14:textId="77777777" w:rsidR="006C011D" w:rsidRPr="005A284F" w:rsidRDefault="00000000" w:rsidP="00D15C4E">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3-5</w:t>
            </w:r>
          </w:p>
        </w:tc>
        <w:tc>
          <w:tcPr>
            <w:tcW w:w="1928" w:type="dxa"/>
            <w:tcBorders>
              <w:top w:val="single" w:sz="2" w:space="0" w:color="auto"/>
              <w:left w:val="single" w:sz="2" w:space="0" w:color="auto"/>
              <w:bottom w:val="single" w:sz="2" w:space="0" w:color="auto"/>
              <w:right w:val="single" w:sz="2" w:space="0" w:color="auto"/>
            </w:tcBorders>
            <w:vAlign w:val="center"/>
          </w:tcPr>
          <w:p w14:paraId="77A0F83D" w14:textId="77777777" w:rsidR="006C011D" w:rsidRPr="005A284F" w:rsidRDefault="00000000" w:rsidP="00D15C4E">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0-5</w:t>
            </w:r>
          </w:p>
        </w:tc>
        <w:tc>
          <w:tcPr>
            <w:tcW w:w="1928" w:type="dxa"/>
            <w:tcBorders>
              <w:top w:val="single" w:sz="2" w:space="0" w:color="auto"/>
              <w:left w:val="single" w:sz="2" w:space="0" w:color="auto"/>
              <w:bottom w:val="single" w:sz="2" w:space="0" w:color="auto"/>
              <w:right w:val="single" w:sz="2" w:space="0" w:color="auto"/>
            </w:tcBorders>
            <w:vAlign w:val="center"/>
          </w:tcPr>
          <w:p w14:paraId="75602462" w14:textId="77777777" w:rsidR="006C011D" w:rsidRPr="005A284F" w:rsidRDefault="00000000" w:rsidP="00D15C4E">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19.00-33.33</w:t>
            </w:r>
          </w:p>
        </w:tc>
      </w:tr>
      <w:tr w:rsidR="006C011D" w:rsidRPr="005A284F" w14:paraId="30D8AFB4"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0D561DD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c>
          <w:tcPr>
            <w:tcW w:w="1928" w:type="dxa"/>
            <w:tcBorders>
              <w:top w:val="single" w:sz="2" w:space="0" w:color="auto"/>
              <w:left w:val="single" w:sz="2" w:space="0" w:color="auto"/>
              <w:bottom w:val="single" w:sz="2" w:space="0" w:color="auto"/>
              <w:right w:val="single" w:sz="2" w:space="0" w:color="auto"/>
            </w:tcBorders>
            <w:vAlign w:val="center"/>
          </w:tcPr>
          <w:p w14:paraId="3BC31A4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14:paraId="46D485A3" w14:textId="77777777" w:rsidR="006C011D" w:rsidRPr="005A284F" w:rsidRDefault="00000000" w:rsidP="00D15C4E">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4-8</w:t>
            </w:r>
          </w:p>
        </w:tc>
        <w:tc>
          <w:tcPr>
            <w:tcW w:w="1928" w:type="dxa"/>
            <w:tcBorders>
              <w:top w:val="single" w:sz="2" w:space="0" w:color="auto"/>
              <w:left w:val="single" w:sz="2" w:space="0" w:color="auto"/>
              <w:bottom w:val="single" w:sz="2" w:space="0" w:color="auto"/>
              <w:right w:val="single" w:sz="2" w:space="0" w:color="auto"/>
            </w:tcBorders>
            <w:vAlign w:val="center"/>
          </w:tcPr>
          <w:p w14:paraId="6217A89C" w14:textId="77777777" w:rsidR="006C011D" w:rsidRPr="005A284F" w:rsidRDefault="00000000" w:rsidP="00D15C4E">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0-5</w:t>
            </w:r>
          </w:p>
        </w:tc>
        <w:tc>
          <w:tcPr>
            <w:tcW w:w="1928" w:type="dxa"/>
            <w:tcBorders>
              <w:top w:val="single" w:sz="2" w:space="0" w:color="auto"/>
              <w:left w:val="single" w:sz="2" w:space="0" w:color="auto"/>
              <w:bottom w:val="single" w:sz="2" w:space="0" w:color="auto"/>
              <w:right w:val="single" w:sz="2" w:space="0" w:color="auto"/>
            </w:tcBorders>
            <w:vAlign w:val="center"/>
          </w:tcPr>
          <w:p w14:paraId="40AC662D" w14:textId="77777777" w:rsidR="006C011D" w:rsidRPr="005A284F" w:rsidRDefault="00000000" w:rsidP="00D15C4E">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11.88-25.00</w:t>
            </w:r>
          </w:p>
        </w:tc>
      </w:tr>
    </w:tbl>
    <w:p w14:paraId="03D960B0" w14:textId="77777777" w:rsidR="000309B5" w:rsidRPr="005A284F" w:rsidRDefault="00000000" w:rsidP="00D15C4E">
      <w:pPr>
        <w:pStyle w:val="a3"/>
        <w:spacing w:before="0" w:beforeAutospacing="0" w:after="0" w:afterAutospacing="0" w:line="276" w:lineRule="auto"/>
        <w:ind w:firstLine="357"/>
        <w:jc w:val="both"/>
        <w:divId w:val="1104499389"/>
        <w:rPr>
          <w:rFonts w:ascii="Times New Roman" w:hAnsi="Times New Roman" w:cs="Times New Roman"/>
        </w:rPr>
      </w:pPr>
      <w:r w:rsidRPr="005A284F">
        <w:rPr>
          <w:rFonts w:ascii="Times New Roman" w:hAnsi="Times New Roman" w:cs="Times New Roman"/>
          <w:sz w:val="18"/>
          <w:szCs w:val="18"/>
        </w:rPr>
        <w:lastRenderedPageBreak/>
        <w:t>预计净残值是指假定固定资产预计使用寿命已满并处于使用寿命终了时的预期状态，本集团目前从该项资产处置中获得的扣除预计处置费用后的金额。</w:t>
      </w:r>
    </w:p>
    <w:p w14:paraId="455F00AD" w14:textId="77777777" w:rsidR="000309B5" w:rsidRPr="005A284F" w:rsidRDefault="00000000" w:rsidP="00D15C4E">
      <w:pPr>
        <w:pStyle w:val="a3"/>
        <w:spacing w:before="0" w:beforeAutospacing="0" w:after="0" w:afterAutospacing="0" w:line="276" w:lineRule="auto"/>
        <w:ind w:firstLine="357"/>
        <w:jc w:val="both"/>
        <w:divId w:val="1104499389"/>
        <w:rPr>
          <w:rFonts w:ascii="Times New Roman" w:hAnsi="Times New Roman" w:cs="Times New Roman"/>
        </w:rPr>
      </w:pPr>
      <w:r w:rsidRPr="005A284F">
        <w:rPr>
          <w:rFonts w:ascii="Times New Roman" w:hAnsi="Times New Roman" w:cs="Times New Roman"/>
          <w:sz w:val="18"/>
          <w:szCs w:val="18"/>
        </w:rPr>
        <w:t>固定资产的减值测试方法和减值准备计提方法详见附注五、</w:t>
      </w:r>
      <w:r w:rsidRPr="005A284F">
        <w:rPr>
          <w:rFonts w:ascii="Times New Roman" w:hAnsi="Times New Roman" w:cs="Times New Roman"/>
          <w:sz w:val="18"/>
          <w:szCs w:val="18"/>
        </w:rPr>
        <w:t>30“</w:t>
      </w:r>
      <w:r w:rsidRPr="005A284F">
        <w:rPr>
          <w:rFonts w:ascii="Times New Roman" w:hAnsi="Times New Roman" w:cs="Times New Roman"/>
          <w:sz w:val="18"/>
          <w:szCs w:val="18"/>
        </w:rPr>
        <w:t>长期资产减值</w:t>
      </w:r>
      <w:r w:rsidRPr="005A284F">
        <w:rPr>
          <w:rFonts w:ascii="Times New Roman" w:hAnsi="Times New Roman" w:cs="Times New Roman"/>
          <w:sz w:val="18"/>
          <w:szCs w:val="18"/>
        </w:rPr>
        <w:t>”</w:t>
      </w:r>
      <w:r w:rsidRPr="005A284F">
        <w:rPr>
          <w:rFonts w:ascii="Times New Roman" w:hAnsi="Times New Roman" w:cs="Times New Roman"/>
          <w:sz w:val="18"/>
          <w:szCs w:val="18"/>
        </w:rPr>
        <w:t>。</w:t>
      </w:r>
    </w:p>
    <w:p w14:paraId="68A9C449" w14:textId="77777777" w:rsidR="000309B5" w:rsidRPr="005A284F" w:rsidRDefault="00000000" w:rsidP="00D15C4E">
      <w:pPr>
        <w:pStyle w:val="a3"/>
        <w:spacing w:before="0" w:beforeAutospacing="0" w:after="0" w:afterAutospacing="0" w:line="276" w:lineRule="auto"/>
        <w:ind w:firstLine="357"/>
        <w:jc w:val="both"/>
        <w:divId w:val="1104499389"/>
        <w:rPr>
          <w:rFonts w:ascii="Times New Roman" w:hAnsi="Times New Roman" w:cs="Times New Roman"/>
        </w:rPr>
      </w:pPr>
      <w:r w:rsidRPr="005A284F">
        <w:rPr>
          <w:rFonts w:ascii="Times New Roman" w:hAnsi="Times New Roman" w:cs="Times New Roman"/>
          <w:sz w:val="18"/>
          <w:szCs w:val="18"/>
        </w:rPr>
        <w:t>与固定资产有关的后续支出，如果与该固定资产有关的经济利益很可能流入且其成本能可靠地计量，则计入固定资产成本，并终止确认被替换部分的账面价值。除此以外的其他后续支出，在发生时计入当期损益。</w:t>
      </w:r>
    </w:p>
    <w:p w14:paraId="53DC23BF" w14:textId="77777777" w:rsidR="000309B5" w:rsidRPr="005A284F" w:rsidRDefault="00000000" w:rsidP="00D15C4E">
      <w:pPr>
        <w:pStyle w:val="a3"/>
        <w:spacing w:before="0" w:beforeAutospacing="0" w:after="0" w:afterAutospacing="0" w:line="276" w:lineRule="auto"/>
        <w:ind w:firstLine="357"/>
        <w:jc w:val="both"/>
        <w:divId w:val="1104499389"/>
        <w:rPr>
          <w:rFonts w:ascii="Times New Roman" w:hAnsi="Times New Roman" w:cs="Times New Roman"/>
        </w:rPr>
      </w:pPr>
      <w:r w:rsidRPr="005A284F">
        <w:rPr>
          <w:rFonts w:ascii="Times New Roman" w:hAnsi="Times New Roman" w:cs="Times New Roman"/>
          <w:sz w:val="18"/>
          <w:szCs w:val="18"/>
        </w:rPr>
        <w:t>当固定资产处于处置状态或预期通过使用或处置不能产生经济利益时，终止确认该固定资产。固定资产出售、转让、报废或毁损的处置收入扣除其账面价值和相关税费后的差额计入当期损益。</w:t>
      </w:r>
    </w:p>
    <w:p w14:paraId="3F54408F" w14:textId="1B79F51B" w:rsidR="000309B5" w:rsidRPr="005A284F" w:rsidRDefault="00000000" w:rsidP="00D15C4E">
      <w:pPr>
        <w:pStyle w:val="a3"/>
        <w:spacing w:before="0" w:beforeAutospacing="0" w:after="0" w:afterAutospacing="0" w:line="276" w:lineRule="auto"/>
        <w:ind w:firstLine="357"/>
        <w:jc w:val="both"/>
        <w:divId w:val="1104499389"/>
        <w:rPr>
          <w:rFonts w:ascii="Times New Roman" w:hAnsi="Times New Roman" w:cs="Times New Roman"/>
        </w:rPr>
      </w:pPr>
      <w:r w:rsidRPr="005A284F">
        <w:rPr>
          <w:rFonts w:ascii="Times New Roman" w:hAnsi="Times New Roman" w:cs="Times New Roman"/>
          <w:sz w:val="18"/>
          <w:szCs w:val="18"/>
        </w:rPr>
        <w:t>本集团至少于年度终了对固定资产的使用寿命、预计净残值和折旧方法进行复核，如发生改变则作为会计估计变更处理。</w:t>
      </w:r>
    </w:p>
    <w:p w14:paraId="1E3D968D" w14:textId="77777777" w:rsidR="006C011D" w:rsidRPr="005A284F" w:rsidRDefault="00000000">
      <w:pPr>
        <w:pStyle w:val="3"/>
        <w:spacing w:line="280" w:lineRule="exact"/>
        <w:jc w:val="left"/>
        <w:rPr>
          <w:rFonts w:ascii="Times New Roman" w:hAnsi="Times New Roman" w:cs="Times New Roman"/>
          <w:b/>
          <w:bCs/>
        </w:rPr>
      </w:pPr>
      <w:bookmarkStart w:id="141" w:name="_Toc989030"/>
      <w:r w:rsidRPr="005A284F">
        <w:rPr>
          <w:rFonts w:ascii="Times New Roman" w:hAnsi="Times New Roman" w:cs="Times New Roman"/>
          <w:b/>
          <w:bCs/>
        </w:rPr>
        <w:t>25</w:t>
      </w:r>
      <w:r w:rsidRPr="005A284F">
        <w:rPr>
          <w:rFonts w:ascii="Times New Roman" w:hAnsi="Times New Roman" w:cs="Times New Roman"/>
          <w:b/>
          <w:bCs/>
        </w:rPr>
        <w:t>、在建工程</w:t>
      </w:r>
      <w:bookmarkEnd w:id="141"/>
    </w:p>
    <w:p w14:paraId="3BC56894" w14:textId="77777777" w:rsidR="000309B5" w:rsidRPr="00D15C4E" w:rsidRDefault="00000000" w:rsidP="00D15C4E">
      <w:pPr>
        <w:pStyle w:val="a3"/>
        <w:spacing w:before="0" w:beforeAutospacing="0" w:after="0" w:afterAutospacing="0" w:line="276" w:lineRule="auto"/>
        <w:ind w:firstLine="357"/>
        <w:jc w:val="both"/>
        <w:divId w:val="1578637475"/>
        <w:rPr>
          <w:rFonts w:ascii="Times New Roman" w:hAnsi="Times New Roman" w:cs="Times New Roman"/>
          <w:sz w:val="18"/>
          <w:szCs w:val="18"/>
        </w:rPr>
      </w:pPr>
      <w:r w:rsidRPr="005A284F">
        <w:rPr>
          <w:rFonts w:ascii="Times New Roman" w:hAnsi="Times New Roman" w:cs="Times New Roman"/>
          <w:sz w:val="18"/>
          <w:szCs w:val="18"/>
        </w:rPr>
        <w:t>在建工程成本按实际工程支出确定，包括在建期间发生的各项工程支出、工程达到预定可使用状态前的资本化的借款费用以及其他相关费用等。在建工程在达到预定可使用状态后结转为固定资产。</w:t>
      </w:r>
    </w:p>
    <w:p w14:paraId="1F49C8F0" w14:textId="77777777" w:rsidR="000309B5" w:rsidRPr="00D15C4E" w:rsidRDefault="00000000" w:rsidP="00D15C4E">
      <w:pPr>
        <w:pStyle w:val="a3"/>
        <w:spacing w:before="0" w:beforeAutospacing="0" w:after="0" w:afterAutospacing="0" w:line="276" w:lineRule="auto"/>
        <w:ind w:firstLine="357"/>
        <w:jc w:val="both"/>
        <w:divId w:val="1578637475"/>
        <w:rPr>
          <w:rFonts w:ascii="Times New Roman" w:hAnsi="Times New Roman" w:cs="Times New Roman"/>
          <w:sz w:val="18"/>
          <w:szCs w:val="18"/>
        </w:rPr>
      </w:pPr>
      <w:r w:rsidRPr="005A284F">
        <w:rPr>
          <w:rFonts w:ascii="Times New Roman" w:hAnsi="Times New Roman" w:cs="Times New Roman"/>
          <w:sz w:val="18"/>
          <w:szCs w:val="18"/>
        </w:rPr>
        <w:t>在建工程的减值测试方法和减值准备计提方法详见附注五、</w:t>
      </w:r>
      <w:r w:rsidRPr="005A284F">
        <w:rPr>
          <w:rFonts w:ascii="Times New Roman" w:hAnsi="Times New Roman" w:cs="Times New Roman"/>
          <w:sz w:val="18"/>
          <w:szCs w:val="18"/>
        </w:rPr>
        <w:t>30“</w:t>
      </w:r>
      <w:r w:rsidRPr="005A284F">
        <w:rPr>
          <w:rFonts w:ascii="Times New Roman" w:hAnsi="Times New Roman" w:cs="Times New Roman"/>
          <w:sz w:val="18"/>
          <w:szCs w:val="18"/>
        </w:rPr>
        <w:t>长期资产减值</w:t>
      </w:r>
      <w:r w:rsidRPr="005A284F">
        <w:rPr>
          <w:rFonts w:ascii="Times New Roman" w:hAnsi="Times New Roman" w:cs="Times New Roman"/>
          <w:sz w:val="18"/>
          <w:szCs w:val="18"/>
        </w:rPr>
        <w:t>”</w:t>
      </w:r>
      <w:r w:rsidRPr="005A284F">
        <w:rPr>
          <w:rFonts w:ascii="Times New Roman" w:hAnsi="Times New Roman" w:cs="Times New Roman"/>
          <w:sz w:val="18"/>
          <w:szCs w:val="18"/>
        </w:rPr>
        <w:t>。</w:t>
      </w:r>
    </w:p>
    <w:p w14:paraId="6CAE6A7D" w14:textId="77777777" w:rsidR="006C011D" w:rsidRPr="005A284F" w:rsidRDefault="00000000">
      <w:pPr>
        <w:pStyle w:val="3"/>
        <w:spacing w:line="280" w:lineRule="exact"/>
        <w:jc w:val="left"/>
        <w:rPr>
          <w:rFonts w:ascii="Times New Roman" w:hAnsi="Times New Roman" w:cs="Times New Roman"/>
          <w:b/>
          <w:bCs/>
        </w:rPr>
      </w:pPr>
      <w:bookmarkStart w:id="142" w:name="_Toc989031"/>
      <w:r w:rsidRPr="005A284F">
        <w:rPr>
          <w:rFonts w:ascii="Times New Roman" w:hAnsi="Times New Roman" w:cs="Times New Roman"/>
          <w:b/>
          <w:bCs/>
        </w:rPr>
        <w:t>26</w:t>
      </w:r>
      <w:r w:rsidRPr="005A284F">
        <w:rPr>
          <w:rFonts w:ascii="Times New Roman" w:hAnsi="Times New Roman" w:cs="Times New Roman"/>
          <w:b/>
          <w:bCs/>
        </w:rPr>
        <w:t>、借款费用</w:t>
      </w:r>
      <w:bookmarkEnd w:id="142"/>
    </w:p>
    <w:p w14:paraId="7A382C4D" w14:textId="77777777" w:rsidR="000309B5" w:rsidRPr="00D15C4E" w:rsidRDefault="00000000" w:rsidP="00D15C4E">
      <w:pPr>
        <w:pStyle w:val="a3"/>
        <w:spacing w:before="0" w:beforeAutospacing="0" w:after="0" w:afterAutospacing="0" w:line="276" w:lineRule="auto"/>
        <w:ind w:firstLine="357"/>
        <w:jc w:val="both"/>
        <w:divId w:val="702054186"/>
        <w:rPr>
          <w:rFonts w:ascii="Times New Roman" w:hAnsi="Times New Roman" w:cs="Times New Roman"/>
          <w:sz w:val="18"/>
          <w:szCs w:val="18"/>
        </w:rPr>
      </w:pPr>
      <w:r w:rsidRPr="005A284F">
        <w:rPr>
          <w:rFonts w:ascii="Times New Roman" w:hAnsi="Times New Roman" w:cs="Times New Roman"/>
          <w:sz w:val="18"/>
          <w:szCs w:val="18"/>
        </w:rPr>
        <w:t>借款费用包括借款利息、折价或溢价的摊销、辅助费用以及因外币借款而发生的汇兑差额等。可直接归属于符合资本化条件的资产的购建或者生产的借款费用，在资产支出已经发生、借款费用已经发生、为使资产达到预定可使用或可销售状态所必要的购建或生产活动已经开始时，开始资本化；购建或者生产的符合资本化条件的资产达到预定可使用状态或者可销售状态时，停止资本化。其余借款费用在发生当期确认为费用。</w:t>
      </w:r>
    </w:p>
    <w:p w14:paraId="58087F95" w14:textId="77777777" w:rsidR="000309B5" w:rsidRPr="00D15C4E" w:rsidRDefault="00000000" w:rsidP="00D15C4E">
      <w:pPr>
        <w:pStyle w:val="a3"/>
        <w:spacing w:before="0" w:beforeAutospacing="0" w:after="0" w:afterAutospacing="0" w:line="276" w:lineRule="auto"/>
        <w:ind w:firstLine="357"/>
        <w:jc w:val="both"/>
        <w:divId w:val="702054186"/>
        <w:rPr>
          <w:rFonts w:ascii="Times New Roman" w:hAnsi="Times New Roman" w:cs="Times New Roman"/>
          <w:sz w:val="18"/>
          <w:szCs w:val="18"/>
        </w:rPr>
      </w:pPr>
      <w:r w:rsidRPr="005A284F">
        <w:rPr>
          <w:rFonts w:ascii="Times New Roman" w:hAnsi="Times New Roman" w:cs="Times New Roman"/>
          <w:sz w:val="18"/>
          <w:szCs w:val="18"/>
        </w:rPr>
        <w:t>专门借款当期实际发生的利息费用，减去尚未动用的借款资金存入银行取得的利息收入或进行暂时性投资取得的投资收益后的金额予以资本化；一般借款根据累计资产支出超过专门借款部分的资产支出加权平均数乘以所占用一般借款的资本化率，确定资本化金额。资本化率根据一般借款的加权平均利率计算确定。</w:t>
      </w:r>
    </w:p>
    <w:p w14:paraId="59134979" w14:textId="77777777" w:rsidR="000309B5" w:rsidRPr="00D15C4E" w:rsidRDefault="00000000" w:rsidP="00D15C4E">
      <w:pPr>
        <w:pStyle w:val="a3"/>
        <w:spacing w:before="0" w:beforeAutospacing="0" w:after="0" w:afterAutospacing="0" w:line="276" w:lineRule="auto"/>
        <w:ind w:firstLine="357"/>
        <w:jc w:val="both"/>
        <w:divId w:val="702054186"/>
        <w:rPr>
          <w:rFonts w:ascii="Times New Roman" w:hAnsi="Times New Roman" w:cs="Times New Roman"/>
          <w:sz w:val="18"/>
          <w:szCs w:val="18"/>
        </w:rPr>
      </w:pPr>
      <w:r w:rsidRPr="005A284F">
        <w:rPr>
          <w:rFonts w:ascii="Times New Roman" w:hAnsi="Times New Roman" w:cs="Times New Roman"/>
          <w:sz w:val="18"/>
          <w:szCs w:val="18"/>
        </w:rPr>
        <w:t>资本化期间内，外币专门借款的汇兑差额全部予以资本化；外币一般借款的汇兑差额计入当期损益。</w:t>
      </w:r>
    </w:p>
    <w:p w14:paraId="53F698B3" w14:textId="77777777" w:rsidR="000309B5" w:rsidRPr="00D15C4E" w:rsidRDefault="00000000" w:rsidP="00D15C4E">
      <w:pPr>
        <w:pStyle w:val="a3"/>
        <w:spacing w:before="0" w:beforeAutospacing="0" w:after="0" w:afterAutospacing="0" w:line="276" w:lineRule="auto"/>
        <w:ind w:firstLine="357"/>
        <w:jc w:val="both"/>
        <w:divId w:val="702054186"/>
        <w:rPr>
          <w:rFonts w:ascii="Times New Roman" w:hAnsi="Times New Roman" w:cs="Times New Roman"/>
          <w:sz w:val="18"/>
          <w:szCs w:val="18"/>
        </w:rPr>
      </w:pPr>
      <w:r w:rsidRPr="005A284F">
        <w:rPr>
          <w:rFonts w:ascii="Times New Roman" w:hAnsi="Times New Roman" w:cs="Times New Roman"/>
          <w:sz w:val="18"/>
          <w:szCs w:val="18"/>
        </w:rPr>
        <w:t>符合资本化条件的资产指需要经过相当长时间的购建或者生产活动才能达到预定可使用或可销售状态的固定资产、投资性房地产和存货等资产。</w:t>
      </w:r>
    </w:p>
    <w:p w14:paraId="364CDA87" w14:textId="77777777" w:rsidR="000309B5" w:rsidRPr="00D15C4E" w:rsidRDefault="00000000" w:rsidP="00D15C4E">
      <w:pPr>
        <w:pStyle w:val="a3"/>
        <w:spacing w:before="0" w:beforeAutospacing="0" w:after="0" w:afterAutospacing="0" w:line="276" w:lineRule="auto"/>
        <w:ind w:firstLine="357"/>
        <w:jc w:val="both"/>
        <w:divId w:val="702054186"/>
        <w:rPr>
          <w:rFonts w:ascii="Times New Roman" w:hAnsi="Times New Roman" w:cs="Times New Roman"/>
          <w:sz w:val="18"/>
          <w:szCs w:val="18"/>
        </w:rPr>
      </w:pPr>
      <w:r w:rsidRPr="005A284F">
        <w:rPr>
          <w:rFonts w:ascii="Times New Roman" w:hAnsi="Times New Roman" w:cs="Times New Roman"/>
          <w:sz w:val="18"/>
          <w:szCs w:val="18"/>
        </w:rPr>
        <w:t>如果符合资本化条件的资产在购建或生产过程中发生非正常中断、并且中断时间连续超过</w:t>
      </w:r>
      <w:r w:rsidRPr="005A284F">
        <w:rPr>
          <w:rFonts w:ascii="Times New Roman" w:hAnsi="Times New Roman" w:cs="Times New Roman"/>
          <w:sz w:val="18"/>
          <w:szCs w:val="18"/>
        </w:rPr>
        <w:t>3</w:t>
      </w:r>
      <w:r w:rsidRPr="005A284F">
        <w:rPr>
          <w:rFonts w:ascii="Times New Roman" w:hAnsi="Times New Roman" w:cs="Times New Roman"/>
          <w:sz w:val="18"/>
          <w:szCs w:val="18"/>
        </w:rPr>
        <w:t>个月的，暂停借款费用的资本化，直至资产的购建或生产活动重新开始。</w:t>
      </w:r>
    </w:p>
    <w:p w14:paraId="3D683C2B" w14:textId="77777777" w:rsidR="006C011D" w:rsidRPr="005A284F" w:rsidRDefault="00000000">
      <w:pPr>
        <w:pStyle w:val="3"/>
        <w:spacing w:line="280" w:lineRule="exact"/>
        <w:jc w:val="left"/>
        <w:rPr>
          <w:rFonts w:ascii="Times New Roman" w:hAnsi="Times New Roman" w:cs="Times New Roman"/>
          <w:b/>
          <w:bCs/>
        </w:rPr>
      </w:pPr>
      <w:bookmarkStart w:id="143" w:name="_Toc989032"/>
      <w:r w:rsidRPr="005A284F">
        <w:rPr>
          <w:rFonts w:ascii="Times New Roman" w:hAnsi="Times New Roman" w:cs="Times New Roman"/>
          <w:b/>
          <w:bCs/>
        </w:rPr>
        <w:t>27</w:t>
      </w:r>
      <w:r w:rsidRPr="005A284F">
        <w:rPr>
          <w:rFonts w:ascii="Times New Roman" w:hAnsi="Times New Roman" w:cs="Times New Roman"/>
          <w:b/>
          <w:bCs/>
        </w:rPr>
        <w:t>、生物资产</w:t>
      </w:r>
      <w:bookmarkEnd w:id="143"/>
    </w:p>
    <w:p w14:paraId="62D91044" w14:textId="77777777" w:rsidR="000309B5" w:rsidRPr="00D15C4E" w:rsidRDefault="00000000" w:rsidP="00D15C4E">
      <w:pPr>
        <w:pStyle w:val="a3"/>
        <w:spacing w:before="0" w:beforeAutospacing="0" w:after="0" w:afterAutospacing="0" w:line="276" w:lineRule="auto"/>
        <w:ind w:firstLine="357"/>
        <w:jc w:val="both"/>
        <w:divId w:val="1600093017"/>
        <w:rPr>
          <w:rFonts w:ascii="Times New Roman" w:hAnsi="Times New Roman" w:cs="Times New Roman"/>
          <w:sz w:val="18"/>
          <w:szCs w:val="18"/>
        </w:rPr>
      </w:pPr>
      <w:r w:rsidRPr="005A284F">
        <w:rPr>
          <w:rFonts w:ascii="Times New Roman" w:hAnsi="Times New Roman" w:cs="Times New Roman"/>
          <w:sz w:val="18"/>
          <w:szCs w:val="18"/>
        </w:rPr>
        <w:t>（</w:t>
      </w:r>
      <w:r w:rsidRPr="005A284F">
        <w:rPr>
          <w:rFonts w:ascii="Times New Roman" w:hAnsi="Times New Roman" w:cs="Times New Roman"/>
          <w:sz w:val="18"/>
          <w:szCs w:val="18"/>
        </w:rPr>
        <w:t>1</w:t>
      </w:r>
      <w:r w:rsidRPr="005A284F">
        <w:rPr>
          <w:rFonts w:ascii="Times New Roman" w:hAnsi="Times New Roman" w:cs="Times New Roman"/>
          <w:sz w:val="18"/>
          <w:szCs w:val="18"/>
        </w:rPr>
        <w:t>）消耗性生物资产</w:t>
      </w:r>
    </w:p>
    <w:p w14:paraId="3C51E7F4" w14:textId="77777777" w:rsidR="000309B5" w:rsidRPr="00D15C4E" w:rsidRDefault="00000000" w:rsidP="00D15C4E">
      <w:pPr>
        <w:pStyle w:val="a3"/>
        <w:spacing w:before="0" w:beforeAutospacing="0" w:after="0" w:afterAutospacing="0" w:line="276" w:lineRule="auto"/>
        <w:ind w:firstLine="357"/>
        <w:jc w:val="both"/>
        <w:divId w:val="1600093017"/>
        <w:rPr>
          <w:rFonts w:ascii="Times New Roman" w:hAnsi="Times New Roman" w:cs="Times New Roman"/>
          <w:sz w:val="18"/>
          <w:szCs w:val="18"/>
        </w:rPr>
      </w:pPr>
      <w:r w:rsidRPr="005A284F">
        <w:rPr>
          <w:rFonts w:ascii="Times New Roman" w:hAnsi="Times New Roman" w:cs="Times New Roman"/>
          <w:sz w:val="18"/>
          <w:szCs w:val="18"/>
        </w:rPr>
        <w:t>消耗性生物资产是指为出售而持有的、或在将来收获为农产品的生物资产，包括生长中的大田作物、蔬菜、用材林以及存栏待售的牲畜等。消耗性生物资产按照成本进行初始计量。自行栽培、营造、繁殖或养殖的消耗性生物资产的成本，为该资产在出售或入库前发生的可直接归属于该资产的必要支出，包括符合资本化条件的借款费用。消耗性生物资产在入库后发生的管护、饲养费用等后续支出，计入当期损益。</w:t>
      </w:r>
    </w:p>
    <w:p w14:paraId="2D3C6105" w14:textId="77777777" w:rsidR="000309B5" w:rsidRPr="00D15C4E" w:rsidRDefault="00000000" w:rsidP="00D15C4E">
      <w:pPr>
        <w:pStyle w:val="a3"/>
        <w:spacing w:before="0" w:beforeAutospacing="0" w:after="0" w:afterAutospacing="0" w:line="276" w:lineRule="auto"/>
        <w:ind w:firstLine="357"/>
        <w:jc w:val="both"/>
        <w:divId w:val="1600093017"/>
        <w:rPr>
          <w:rFonts w:ascii="Times New Roman" w:hAnsi="Times New Roman" w:cs="Times New Roman"/>
          <w:sz w:val="18"/>
          <w:szCs w:val="18"/>
        </w:rPr>
      </w:pPr>
      <w:r w:rsidRPr="005A284F">
        <w:rPr>
          <w:rFonts w:ascii="Times New Roman" w:hAnsi="Times New Roman" w:cs="Times New Roman"/>
          <w:sz w:val="18"/>
          <w:szCs w:val="18"/>
        </w:rPr>
        <w:t>消耗性生物资产在收获或出售时，采用加权平均法按账面价值结转成本。</w:t>
      </w:r>
    </w:p>
    <w:p w14:paraId="0062CD72" w14:textId="77777777" w:rsidR="000309B5" w:rsidRPr="00D15C4E" w:rsidRDefault="00000000" w:rsidP="00D15C4E">
      <w:pPr>
        <w:pStyle w:val="a3"/>
        <w:spacing w:before="0" w:beforeAutospacing="0" w:after="0" w:afterAutospacing="0" w:line="276" w:lineRule="auto"/>
        <w:ind w:firstLine="357"/>
        <w:jc w:val="both"/>
        <w:divId w:val="1600093017"/>
        <w:rPr>
          <w:rFonts w:ascii="Times New Roman" w:hAnsi="Times New Roman" w:cs="Times New Roman"/>
          <w:sz w:val="18"/>
          <w:szCs w:val="18"/>
        </w:rPr>
      </w:pPr>
      <w:r w:rsidRPr="005A284F">
        <w:rPr>
          <w:rFonts w:ascii="Times New Roman" w:hAnsi="Times New Roman" w:cs="Times New Roman"/>
          <w:sz w:val="18"/>
          <w:szCs w:val="18"/>
        </w:rPr>
        <w:lastRenderedPageBreak/>
        <w:t>资产负债表日，消耗性生物资产按照成本与可变现净值孰低计量，并采用与确认存货跌价准备一致的方法计算确认消耗性生物资产的跌价准备。如果减值的影响因素已经消失的，减记的金额应当予以恢复，并在原已计提的跌价准备金额内转回，转回金额计入当期损益。</w:t>
      </w:r>
    </w:p>
    <w:p w14:paraId="69702C9C" w14:textId="77777777" w:rsidR="000309B5" w:rsidRPr="00D15C4E" w:rsidRDefault="00000000" w:rsidP="00D15C4E">
      <w:pPr>
        <w:pStyle w:val="a3"/>
        <w:spacing w:before="0" w:beforeAutospacing="0" w:after="0" w:afterAutospacing="0" w:line="276" w:lineRule="auto"/>
        <w:ind w:firstLine="357"/>
        <w:jc w:val="both"/>
        <w:divId w:val="1600093017"/>
        <w:rPr>
          <w:rFonts w:ascii="Times New Roman" w:hAnsi="Times New Roman" w:cs="Times New Roman"/>
          <w:sz w:val="18"/>
          <w:szCs w:val="18"/>
        </w:rPr>
      </w:pPr>
      <w:r w:rsidRPr="005A284F">
        <w:rPr>
          <w:rFonts w:ascii="Times New Roman" w:hAnsi="Times New Roman" w:cs="Times New Roman"/>
          <w:sz w:val="18"/>
          <w:szCs w:val="18"/>
        </w:rPr>
        <w:t>如果消耗性生物资产改变用途，作为生产性生物资产，改变用途后的成本按改变用途时的账面价值确定。如果消耗性生物资产改变用途，作为公益性生物资产，则按照《企业会计准则第</w:t>
      </w:r>
      <w:r w:rsidRPr="005A284F">
        <w:rPr>
          <w:rFonts w:ascii="Times New Roman" w:hAnsi="Times New Roman" w:cs="Times New Roman"/>
          <w:sz w:val="18"/>
          <w:szCs w:val="18"/>
        </w:rPr>
        <w:t>8</w:t>
      </w:r>
      <w:r w:rsidRPr="005A284F">
        <w:rPr>
          <w:rFonts w:ascii="Times New Roman" w:hAnsi="Times New Roman" w:cs="Times New Roman"/>
          <w:sz w:val="18"/>
          <w:szCs w:val="18"/>
        </w:rPr>
        <w:t>号</w:t>
      </w:r>
      <w:r w:rsidRPr="005A284F">
        <w:rPr>
          <w:rFonts w:ascii="Times New Roman" w:hAnsi="Times New Roman" w:cs="Times New Roman"/>
          <w:sz w:val="18"/>
          <w:szCs w:val="18"/>
        </w:rPr>
        <w:t>——</w:t>
      </w:r>
      <w:r w:rsidRPr="005A284F">
        <w:rPr>
          <w:rFonts w:ascii="Times New Roman" w:hAnsi="Times New Roman" w:cs="Times New Roman"/>
          <w:sz w:val="18"/>
          <w:szCs w:val="18"/>
        </w:rPr>
        <w:t>资产减值》规定考虑是否发生减值，发生减值时先计提减值准备，再按计提减值准备后的账面价值确定。</w:t>
      </w:r>
    </w:p>
    <w:p w14:paraId="0F6C3E3C" w14:textId="77777777" w:rsidR="000309B5" w:rsidRPr="00D15C4E" w:rsidRDefault="00000000" w:rsidP="00D15C4E">
      <w:pPr>
        <w:pStyle w:val="a3"/>
        <w:spacing w:before="0" w:beforeAutospacing="0" w:after="0" w:afterAutospacing="0" w:line="276" w:lineRule="auto"/>
        <w:ind w:firstLine="357"/>
        <w:jc w:val="both"/>
        <w:divId w:val="1600093017"/>
        <w:rPr>
          <w:rFonts w:ascii="Times New Roman" w:hAnsi="Times New Roman" w:cs="Times New Roman"/>
          <w:sz w:val="18"/>
          <w:szCs w:val="18"/>
        </w:rPr>
      </w:pPr>
      <w:r w:rsidRPr="005A284F">
        <w:rPr>
          <w:rFonts w:ascii="Times New Roman" w:hAnsi="Times New Roman" w:cs="Times New Roman"/>
          <w:sz w:val="18"/>
          <w:szCs w:val="18"/>
        </w:rPr>
        <w:t>（</w:t>
      </w:r>
      <w:r w:rsidRPr="005A284F">
        <w:rPr>
          <w:rFonts w:ascii="Times New Roman" w:hAnsi="Times New Roman" w:cs="Times New Roman"/>
          <w:sz w:val="18"/>
          <w:szCs w:val="18"/>
        </w:rPr>
        <w:t>2</w:t>
      </w:r>
      <w:r w:rsidRPr="005A284F">
        <w:rPr>
          <w:rFonts w:ascii="Times New Roman" w:hAnsi="Times New Roman" w:cs="Times New Roman"/>
          <w:sz w:val="18"/>
          <w:szCs w:val="18"/>
        </w:rPr>
        <w:t>）生产性生物资产</w:t>
      </w:r>
    </w:p>
    <w:p w14:paraId="469C3254" w14:textId="77777777" w:rsidR="000309B5" w:rsidRPr="00D15C4E" w:rsidRDefault="00000000" w:rsidP="00D15C4E">
      <w:pPr>
        <w:pStyle w:val="a3"/>
        <w:spacing w:before="0" w:beforeAutospacing="0" w:after="0" w:afterAutospacing="0" w:line="276" w:lineRule="auto"/>
        <w:ind w:firstLine="357"/>
        <w:jc w:val="both"/>
        <w:divId w:val="1600093017"/>
        <w:rPr>
          <w:rFonts w:ascii="Times New Roman" w:hAnsi="Times New Roman" w:cs="Times New Roman"/>
          <w:sz w:val="18"/>
          <w:szCs w:val="18"/>
        </w:rPr>
      </w:pPr>
      <w:r w:rsidRPr="005A284F">
        <w:rPr>
          <w:rFonts w:ascii="Times New Roman" w:hAnsi="Times New Roman" w:cs="Times New Roman"/>
          <w:sz w:val="18"/>
          <w:szCs w:val="18"/>
        </w:rPr>
        <w:t>生产性生物资产是指为产出农产品、提供劳务或出租等目的而持有的生物资产，包括经济林、薪炭林、产畜和役畜等。生产性生物资产按照成本进行初始计量。自行营造或繁殖的生产性生物资产的成本，为该资产在达到预定生产经营目的前发生的可直接归属于该资产的必要支出，包括符合资本化条件的借款费用。</w:t>
      </w:r>
    </w:p>
    <w:p w14:paraId="714392A2" w14:textId="77777777" w:rsidR="000309B5" w:rsidRPr="00D15C4E" w:rsidRDefault="00000000" w:rsidP="00D15C4E">
      <w:pPr>
        <w:pStyle w:val="a3"/>
        <w:spacing w:before="0" w:beforeAutospacing="0" w:after="0" w:afterAutospacing="0" w:line="276" w:lineRule="auto"/>
        <w:ind w:firstLine="357"/>
        <w:jc w:val="both"/>
        <w:divId w:val="1600093017"/>
        <w:rPr>
          <w:rFonts w:ascii="Times New Roman" w:hAnsi="Times New Roman" w:cs="Times New Roman"/>
          <w:sz w:val="18"/>
          <w:szCs w:val="18"/>
        </w:rPr>
      </w:pPr>
      <w:r w:rsidRPr="005A284F">
        <w:rPr>
          <w:rFonts w:ascii="Times New Roman" w:hAnsi="Times New Roman" w:cs="Times New Roman"/>
          <w:sz w:val="18"/>
          <w:szCs w:val="18"/>
        </w:rPr>
        <w:t>生产性生物资产在达到预定生产经营目的后采用年限平均法在使用寿命内计提折旧。各类生产性生物资产的使用寿命、预计净残值率和年折旧率列示如下：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07"/>
        <w:gridCol w:w="2208"/>
        <w:gridCol w:w="2207"/>
        <w:gridCol w:w="2205"/>
      </w:tblGrid>
      <w:tr w:rsidR="000309B5" w:rsidRPr="005A284F" w14:paraId="454E1417" w14:textId="77777777" w:rsidTr="00D15C4E">
        <w:trPr>
          <w:divId w:val="1600093017"/>
          <w:trHeight w:val="340"/>
        </w:trPr>
        <w:tc>
          <w:tcPr>
            <w:tcW w:w="1562" w:type="pct"/>
            <w:tcMar>
              <w:top w:w="0" w:type="dxa"/>
              <w:left w:w="108" w:type="dxa"/>
              <w:bottom w:w="0" w:type="dxa"/>
              <w:right w:w="108" w:type="dxa"/>
            </w:tcMar>
            <w:vAlign w:val="center"/>
            <w:hideMark/>
          </w:tcPr>
          <w:p w14:paraId="485D540D"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类别</w:t>
            </w:r>
          </w:p>
        </w:tc>
        <w:tc>
          <w:tcPr>
            <w:tcW w:w="1147" w:type="pct"/>
            <w:tcMar>
              <w:top w:w="0" w:type="dxa"/>
              <w:left w:w="108" w:type="dxa"/>
              <w:bottom w:w="0" w:type="dxa"/>
              <w:right w:w="108" w:type="dxa"/>
            </w:tcMar>
            <w:vAlign w:val="center"/>
            <w:hideMark/>
          </w:tcPr>
          <w:p w14:paraId="3F6E52A9"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使用年限（年）</w:t>
            </w:r>
          </w:p>
        </w:tc>
        <w:tc>
          <w:tcPr>
            <w:tcW w:w="1146" w:type="pct"/>
            <w:tcMar>
              <w:top w:w="0" w:type="dxa"/>
              <w:left w:w="108" w:type="dxa"/>
              <w:bottom w:w="0" w:type="dxa"/>
              <w:right w:w="108" w:type="dxa"/>
            </w:tcMar>
            <w:vAlign w:val="center"/>
            <w:hideMark/>
          </w:tcPr>
          <w:p w14:paraId="0665F25E"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残值率（</w:t>
            </w:r>
            <w:r w:rsidRPr="005A284F">
              <w:rPr>
                <w:rFonts w:ascii="Times New Roman" w:hAnsi="Times New Roman" w:cs="Times New Roman"/>
                <w:sz w:val="18"/>
                <w:szCs w:val="18"/>
              </w:rPr>
              <w:t>%</w:t>
            </w:r>
            <w:r w:rsidRPr="005A284F">
              <w:rPr>
                <w:rFonts w:ascii="Times New Roman" w:hAnsi="Times New Roman" w:cs="Times New Roman"/>
                <w:sz w:val="18"/>
                <w:szCs w:val="18"/>
              </w:rPr>
              <w:t>）</w:t>
            </w:r>
          </w:p>
        </w:tc>
        <w:tc>
          <w:tcPr>
            <w:tcW w:w="1145" w:type="pct"/>
            <w:tcMar>
              <w:top w:w="0" w:type="dxa"/>
              <w:left w:w="108" w:type="dxa"/>
              <w:bottom w:w="0" w:type="dxa"/>
              <w:right w:w="108" w:type="dxa"/>
            </w:tcMar>
            <w:vAlign w:val="center"/>
            <w:hideMark/>
          </w:tcPr>
          <w:p w14:paraId="100FB2E1"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年折旧率（</w:t>
            </w:r>
            <w:r w:rsidRPr="005A284F">
              <w:rPr>
                <w:rFonts w:ascii="Times New Roman" w:hAnsi="Times New Roman" w:cs="Times New Roman"/>
                <w:sz w:val="18"/>
                <w:szCs w:val="18"/>
              </w:rPr>
              <w:t>%</w:t>
            </w:r>
            <w:r w:rsidRPr="005A284F">
              <w:rPr>
                <w:rFonts w:ascii="Times New Roman" w:hAnsi="Times New Roman" w:cs="Times New Roman"/>
                <w:sz w:val="18"/>
                <w:szCs w:val="18"/>
              </w:rPr>
              <w:t>）</w:t>
            </w:r>
          </w:p>
        </w:tc>
      </w:tr>
      <w:tr w:rsidR="000309B5" w:rsidRPr="005A284F" w14:paraId="029E1154" w14:textId="77777777" w:rsidTr="00D15C4E">
        <w:trPr>
          <w:divId w:val="1600093017"/>
          <w:trHeight w:val="340"/>
        </w:trPr>
        <w:tc>
          <w:tcPr>
            <w:tcW w:w="1562" w:type="pct"/>
            <w:tcMar>
              <w:top w:w="0" w:type="dxa"/>
              <w:left w:w="108" w:type="dxa"/>
              <w:bottom w:w="0" w:type="dxa"/>
              <w:right w:w="108" w:type="dxa"/>
            </w:tcMar>
            <w:vAlign w:val="center"/>
            <w:hideMark/>
          </w:tcPr>
          <w:p w14:paraId="5F659297"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种猪</w:t>
            </w:r>
          </w:p>
        </w:tc>
        <w:tc>
          <w:tcPr>
            <w:tcW w:w="1147" w:type="pct"/>
            <w:tcMar>
              <w:top w:w="0" w:type="dxa"/>
              <w:left w:w="108" w:type="dxa"/>
              <w:bottom w:w="0" w:type="dxa"/>
              <w:right w:w="108" w:type="dxa"/>
            </w:tcMar>
            <w:vAlign w:val="center"/>
            <w:hideMark/>
          </w:tcPr>
          <w:p w14:paraId="56B59BB2"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3</w:t>
            </w:r>
          </w:p>
        </w:tc>
        <w:tc>
          <w:tcPr>
            <w:tcW w:w="1146" w:type="pct"/>
            <w:tcMar>
              <w:top w:w="0" w:type="dxa"/>
              <w:left w:w="108" w:type="dxa"/>
              <w:bottom w:w="0" w:type="dxa"/>
              <w:right w:w="108" w:type="dxa"/>
            </w:tcMar>
            <w:vAlign w:val="center"/>
            <w:hideMark/>
          </w:tcPr>
          <w:p w14:paraId="1022EAA3"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0</w:t>
            </w:r>
          </w:p>
        </w:tc>
        <w:tc>
          <w:tcPr>
            <w:tcW w:w="1145" w:type="pct"/>
            <w:tcMar>
              <w:top w:w="0" w:type="dxa"/>
              <w:left w:w="108" w:type="dxa"/>
              <w:bottom w:w="0" w:type="dxa"/>
              <w:right w:w="108" w:type="dxa"/>
            </w:tcMar>
            <w:vAlign w:val="center"/>
            <w:hideMark/>
          </w:tcPr>
          <w:p w14:paraId="26902311"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33.33</w:t>
            </w:r>
          </w:p>
        </w:tc>
      </w:tr>
    </w:tbl>
    <w:p w14:paraId="050B884E" w14:textId="77777777" w:rsidR="000309B5" w:rsidRPr="00D15C4E" w:rsidRDefault="00000000" w:rsidP="00D15C4E">
      <w:pPr>
        <w:pStyle w:val="a3"/>
        <w:spacing w:before="0" w:beforeAutospacing="0" w:after="0" w:afterAutospacing="0" w:line="276" w:lineRule="auto"/>
        <w:ind w:firstLine="357"/>
        <w:jc w:val="both"/>
        <w:divId w:val="1600093017"/>
        <w:rPr>
          <w:rFonts w:ascii="Times New Roman" w:hAnsi="Times New Roman" w:cs="Times New Roman"/>
          <w:sz w:val="18"/>
          <w:szCs w:val="18"/>
        </w:rPr>
      </w:pPr>
      <w:r w:rsidRPr="005A284F">
        <w:rPr>
          <w:rFonts w:ascii="Times New Roman" w:hAnsi="Times New Roman" w:cs="Times New Roman"/>
          <w:sz w:val="18"/>
          <w:szCs w:val="18"/>
        </w:rPr>
        <w:t>本集团至少于年度终了对生产性生物资产的使用寿命、预计净残值和折旧方法进行复核，如发生改变则作为会计估计变更处理。</w:t>
      </w:r>
    </w:p>
    <w:p w14:paraId="2678C213" w14:textId="77777777" w:rsidR="000309B5" w:rsidRPr="00D15C4E" w:rsidRDefault="00000000" w:rsidP="00D15C4E">
      <w:pPr>
        <w:pStyle w:val="a3"/>
        <w:spacing w:before="0" w:beforeAutospacing="0" w:after="0" w:afterAutospacing="0" w:line="276" w:lineRule="auto"/>
        <w:ind w:firstLine="357"/>
        <w:jc w:val="both"/>
        <w:divId w:val="1600093017"/>
        <w:rPr>
          <w:rFonts w:ascii="Times New Roman" w:hAnsi="Times New Roman" w:cs="Times New Roman"/>
          <w:sz w:val="18"/>
          <w:szCs w:val="18"/>
        </w:rPr>
      </w:pPr>
      <w:r w:rsidRPr="005A284F">
        <w:rPr>
          <w:rFonts w:ascii="Times New Roman" w:hAnsi="Times New Roman" w:cs="Times New Roman"/>
          <w:sz w:val="18"/>
          <w:szCs w:val="18"/>
        </w:rPr>
        <w:t>生产性生物资产出售、盘亏、死亡或毁损的处置收入扣除其账面价值和相关税费后的差额计入当期损益。</w:t>
      </w:r>
    </w:p>
    <w:p w14:paraId="01BA240B" w14:textId="77777777" w:rsidR="000309B5" w:rsidRPr="00D15C4E" w:rsidRDefault="00000000" w:rsidP="00D15C4E">
      <w:pPr>
        <w:pStyle w:val="a3"/>
        <w:spacing w:before="0" w:beforeAutospacing="0" w:after="0" w:afterAutospacing="0" w:line="276" w:lineRule="auto"/>
        <w:ind w:firstLine="357"/>
        <w:jc w:val="both"/>
        <w:divId w:val="1600093017"/>
        <w:rPr>
          <w:rFonts w:ascii="Times New Roman" w:hAnsi="Times New Roman" w:cs="Times New Roman"/>
          <w:sz w:val="18"/>
          <w:szCs w:val="18"/>
        </w:rPr>
      </w:pPr>
      <w:r w:rsidRPr="005A284F">
        <w:rPr>
          <w:rFonts w:ascii="Times New Roman" w:hAnsi="Times New Roman" w:cs="Times New Roman"/>
          <w:sz w:val="18"/>
          <w:szCs w:val="18"/>
        </w:rPr>
        <w:t>本集团在每一个资产负债表日检查生产性生物资产是否存在可能发生减值的迹象。如果该资产存在减值迹象，则估计其可收回金额。估计资产的可收回金额以单项资产为基础，如果难以对单项资产的可收回金额进行估计的，则以该资产所属的资产组为基础确定资产组的可收回金额。如果资产的可收回金额低于其账面价值，按其差额计提资产减值准备，并计入当期损益。</w:t>
      </w:r>
    </w:p>
    <w:p w14:paraId="5D0579B9" w14:textId="77777777" w:rsidR="000309B5" w:rsidRPr="00D15C4E" w:rsidRDefault="00000000" w:rsidP="00D15C4E">
      <w:pPr>
        <w:pStyle w:val="a3"/>
        <w:spacing w:before="0" w:beforeAutospacing="0" w:after="0" w:afterAutospacing="0" w:line="276" w:lineRule="auto"/>
        <w:ind w:firstLine="357"/>
        <w:jc w:val="both"/>
        <w:divId w:val="1600093017"/>
        <w:rPr>
          <w:rFonts w:ascii="Times New Roman" w:hAnsi="Times New Roman" w:cs="Times New Roman"/>
          <w:sz w:val="18"/>
          <w:szCs w:val="18"/>
        </w:rPr>
      </w:pPr>
      <w:r w:rsidRPr="005A284F">
        <w:rPr>
          <w:rFonts w:ascii="Times New Roman" w:hAnsi="Times New Roman" w:cs="Times New Roman"/>
          <w:sz w:val="18"/>
          <w:szCs w:val="18"/>
        </w:rPr>
        <w:t>上述资产减值损失一经确认，在以后会计期间不予转回。</w:t>
      </w:r>
    </w:p>
    <w:p w14:paraId="361B877D" w14:textId="77777777" w:rsidR="000309B5" w:rsidRPr="00D15C4E" w:rsidRDefault="00000000" w:rsidP="00D15C4E">
      <w:pPr>
        <w:pStyle w:val="a3"/>
        <w:spacing w:before="0" w:beforeAutospacing="0" w:after="0" w:afterAutospacing="0" w:line="276" w:lineRule="auto"/>
        <w:ind w:firstLine="357"/>
        <w:jc w:val="both"/>
        <w:divId w:val="1600093017"/>
        <w:rPr>
          <w:rFonts w:ascii="Times New Roman" w:hAnsi="Times New Roman" w:cs="Times New Roman"/>
          <w:sz w:val="18"/>
          <w:szCs w:val="18"/>
        </w:rPr>
      </w:pPr>
      <w:r w:rsidRPr="005A284F">
        <w:rPr>
          <w:rFonts w:ascii="Times New Roman" w:hAnsi="Times New Roman" w:cs="Times New Roman"/>
          <w:sz w:val="18"/>
          <w:szCs w:val="18"/>
        </w:rPr>
        <w:t>如果生产性生物资产改变用途，作为消耗性生物资产，其改变用途后的成本按改变用途时的账面价值确定；若生产性生物资产改变用途作为公益性生物资产，则按照《企业会计准则第</w:t>
      </w:r>
      <w:r w:rsidRPr="005A284F">
        <w:rPr>
          <w:rFonts w:ascii="Times New Roman" w:hAnsi="Times New Roman" w:cs="Times New Roman"/>
          <w:sz w:val="18"/>
          <w:szCs w:val="18"/>
        </w:rPr>
        <w:t>8</w:t>
      </w:r>
      <w:r w:rsidRPr="005A284F">
        <w:rPr>
          <w:rFonts w:ascii="Times New Roman" w:hAnsi="Times New Roman" w:cs="Times New Roman"/>
          <w:sz w:val="18"/>
          <w:szCs w:val="18"/>
        </w:rPr>
        <w:t>号</w:t>
      </w:r>
      <w:r w:rsidRPr="005A284F">
        <w:rPr>
          <w:rFonts w:ascii="Times New Roman" w:hAnsi="Times New Roman" w:cs="Times New Roman"/>
          <w:sz w:val="18"/>
          <w:szCs w:val="18"/>
        </w:rPr>
        <w:t>――</w:t>
      </w:r>
      <w:r w:rsidRPr="005A284F">
        <w:rPr>
          <w:rFonts w:ascii="Times New Roman" w:hAnsi="Times New Roman" w:cs="Times New Roman"/>
          <w:sz w:val="18"/>
          <w:szCs w:val="18"/>
        </w:rPr>
        <w:t>资产减值》规定考虑是否发生减值，发生减值时先计提减值准备，再按计提减值准备后的账面价值确定。</w:t>
      </w:r>
    </w:p>
    <w:p w14:paraId="59298DF7" w14:textId="77777777" w:rsidR="006C011D" w:rsidRPr="005A284F" w:rsidRDefault="00000000">
      <w:pPr>
        <w:pStyle w:val="3"/>
        <w:spacing w:line="280" w:lineRule="exact"/>
        <w:jc w:val="left"/>
        <w:rPr>
          <w:rFonts w:ascii="Times New Roman" w:hAnsi="Times New Roman" w:cs="Times New Roman"/>
          <w:b/>
          <w:bCs/>
        </w:rPr>
      </w:pPr>
      <w:bookmarkStart w:id="144" w:name="_Toc989033"/>
      <w:r w:rsidRPr="005A284F">
        <w:rPr>
          <w:rFonts w:ascii="Times New Roman" w:hAnsi="Times New Roman" w:cs="Times New Roman"/>
          <w:b/>
          <w:bCs/>
        </w:rPr>
        <w:t>28</w:t>
      </w:r>
      <w:r w:rsidRPr="005A284F">
        <w:rPr>
          <w:rFonts w:ascii="Times New Roman" w:hAnsi="Times New Roman" w:cs="Times New Roman"/>
          <w:b/>
          <w:bCs/>
        </w:rPr>
        <w:t>、油气资产</w:t>
      </w:r>
      <w:bookmarkEnd w:id="144"/>
    </w:p>
    <w:p w14:paraId="2A38287B" w14:textId="77777777" w:rsidR="000309B5" w:rsidRPr="005A284F" w:rsidRDefault="00000000">
      <w:pPr>
        <w:pStyle w:val="a3"/>
        <w:divId w:val="1605916381"/>
        <w:rPr>
          <w:rFonts w:ascii="Times New Roman" w:hAnsi="Times New Roman" w:cs="Times New Roman"/>
          <w:sz w:val="18"/>
          <w:szCs w:val="18"/>
        </w:rPr>
      </w:pPr>
      <w:r w:rsidRPr="005A284F">
        <w:rPr>
          <w:rFonts w:ascii="Times New Roman" w:hAnsi="Times New Roman" w:cs="Times New Roman"/>
          <w:sz w:val="18"/>
          <w:szCs w:val="18"/>
        </w:rPr>
        <w:t>无</w:t>
      </w:r>
    </w:p>
    <w:p w14:paraId="4775B1CD" w14:textId="77777777" w:rsidR="006C011D" w:rsidRPr="005A284F" w:rsidRDefault="00000000">
      <w:pPr>
        <w:pStyle w:val="3"/>
        <w:spacing w:line="280" w:lineRule="exact"/>
        <w:jc w:val="left"/>
        <w:rPr>
          <w:rFonts w:ascii="Times New Roman" w:hAnsi="Times New Roman" w:cs="Times New Roman"/>
          <w:b/>
          <w:bCs/>
        </w:rPr>
      </w:pPr>
      <w:bookmarkStart w:id="145" w:name="_Toc989034"/>
      <w:r w:rsidRPr="005A284F">
        <w:rPr>
          <w:rFonts w:ascii="Times New Roman" w:hAnsi="Times New Roman" w:cs="Times New Roman"/>
          <w:b/>
          <w:bCs/>
        </w:rPr>
        <w:t>29</w:t>
      </w:r>
      <w:r w:rsidRPr="005A284F">
        <w:rPr>
          <w:rFonts w:ascii="Times New Roman" w:hAnsi="Times New Roman" w:cs="Times New Roman"/>
          <w:b/>
          <w:bCs/>
        </w:rPr>
        <w:t>、无形资产</w:t>
      </w:r>
      <w:bookmarkEnd w:id="145"/>
    </w:p>
    <w:p w14:paraId="0932EB61" w14:textId="4EEC84EE"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146" w:name="_Toc989035"/>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1</w:t>
      </w:r>
      <w:r w:rsidRPr="005A284F">
        <w:rPr>
          <w:rFonts w:ascii="Times New Roman" w:eastAsia="宋体" w:hAnsi="Times New Roman" w:cs="Times New Roman"/>
          <w:b/>
          <w:bCs/>
          <w:sz w:val="21"/>
          <w:szCs w:val="21"/>
        </w:rPr>
        <w:t>）使用寿命及其确定依据、估计情况、摊销方法或复核程序</w:t>
      </w:r>
      <w:bookmarkEnd w:id="146"/>
    </w:p>
    <w:p w14:paraId="249C8B16" w14:textId="77777777" w:rsidR="000309B5" w:rsidRPr="00D15C4E" w:rsidRDefault="00000000" w:rsidP="00D15C4E">
      <w:pPr>
        <w:pStyle w:val="a3"/>
        <w:spacing w:before="0" w:beforeAutospacing="0" w:after="0" w:afterAutospacing="0" w:line="276" w:lineRule="auto"/>
        <w:ind w:firstLine="357"/>
        <w:jc w:val="both"/>
        <w:divId w:val="2048793903"/>
        <w:rPr>
          <w:rFonts w:ascii="Times New Roman" w:hAnsi="Times New Roman" w:cs="Times New Roman"/>
          <w:sz w:val="18"/>
          <w:szCs w:val="18"/>
        </w:rPr>
      </w:pPr>
      <w:r w:rsidRPr="005A284F">
        <w:rPr>
          <w:rFonts w:ascii="Times New Roman" w:hAnsi="Times New Roman" w:cs="Times New Roman"/>
          <w:sz w:val="18"/>
          <w:szCs w:val="18"/>
        </w:rPr>
        <w:t>无形资产是指本集团拥有或者控制的没有实物形态的可辨认非货币性资产。</w:t>
      </w:r>
    </w:p>
    <w:p w14:paraId="249088D0" w14:textId="77777777" w:rsidR="000309B5" w:rsidRPr="00D15C4E" w:rsidRDefault="00000000" w:rsidP="00D15C4E">
      <w:pPr>
        <w:pStyle w:val="a3"/>
        <w:spacing w:before="0" w:beforeAutospacing="0" w:after="0" w:afterAutospacing="0" w:line="276" w:lineRule="auto"/>
        <w:ind w:firstLine="357"/>
        <w:jc w:val="both"/>
        <w:divId w:val="2048793903"/>
        <w:rPr>
          <w:rFonts w:ascii="Times New Roman" w:hAnsi="Times New Roman" w:cs="Times New Roman"/>
          <w:sz w:val="18"/>
          <w:szCs w:val="18"/>
        </w:rPr>
      </w:pPr>
      <w:r w:rsidRPr="005A284F">
        <w:rPr>
          <w:rFonts w:ascii="Times New Roman" w:hAnsi="Times New Roman" w:cs="Times New Roman"/>
          <w:sz w:val="18"/>
          <w:szCs w:val="18"/>
        </w:rPr>
        <w:t>无形资产按成本进行初始计量。与无形资产有关的支出，如果相关的经济利益很可能流入本集团且其成本能可靠地计量，则计入无形资产成本。除此以外的其他项目的支出，在发生时计入当期损益。</w:t>
      </w:r>
    </w:p>
    <w:p w14:paraId="57DD4CEB" w14:textId="77777777" w:rsidR="000309B5" w:rsidRPr="00D15C4E" w:rsidRDefault="00000000" w:rsidP="00D15C4E">
      <w:pPr>
        <w:pStyle w:val="a3"/>
        <w:spacing w:before="0" w:beforeAutospacing="0" w:after="0" w:afterAutospacing="0" w:line="276" w:lineRule="auto"/>
        <w:ind w:firstLine="357"/>
        <w:jc w:val="both"/>
        <w:divId w:val="2048793903"/>
        <w:rPr>
          <w:rFonts w:ascii="Times New Roman" w:hAnsi="Times New Roman" w:cs="Times New Roman"/>
          <w:sz w:val="18"/>
          <w:szCs w:val="18"/>
        </w:rPr>
      </w:pPr>
      <w:r w:rsidRPr="005A284F">
        <w:rPr>
          <w:rFonts w:ascii="Times New Roman" w:hAnsi="Times New Roman" w:cs="Times New Roman"/>
          <w:sz w:val="18"/>
          <w:szCs w:val="18"/>
        </w:rPr>
        <w:t>取得的土地使用权通常作为无形资产核算。自行开发建造厂房等建筑物，相关的土地使用权支出和建筑物建造成本则分别作为无形资产和固定资产核算。如为外购的房屋及建筑物，则将有关价款在土地使用权和建筑物之间进行分配，难以合理分配的，全部作为固定资产处理。</w:t>
      </w:r>
    </w:p>
    <w:p w14:paraId="5FDCC227" w14:textId="77777777" w:rsidR="000309B5" w:rsidRPr="00D15C4E" w:rsidRDefault="00000000" w:rsidP="00D15C4E">
      <w:pPr>
        <w:pStyle w:val="a3"/>
        <w:spacing w:before="0" w:beforeAutospacing="0" w:after="0" w:afterAutospacing="0" w:line="276" w:lineRule="auto"/>
        <w:ind w:firstLine="357"/>
        <w:jc w:val="both"/>
        <w:divId w:val="2048793903"/>
        <w:rPr>
          <w:rFonts w:ascii="Times New Roman" w:hAnsi="Times New Roman" w:cs="Times New Roman"/>
          <w:sz w:val="18"/>
          <w:szCs w:val="18"/>
        </w:rPr>
      </w:pPr>
      <w:r w:rsidRPr="005A284F">
        <w:rPr>
          <w:rFonts w:ascii="Times New Roman" w:hAnsi="Times New Roman" w:cs="Times New Roman"/>
          <w:sz w:val="18"/>
          <w:szCs w:val="18"/>
        </w:rPr>
        <w:lastRenderedPageBreak/>
        <w:t>使用寿命有限的无形资产自可供使用时起，对其原值减去预计净残值和已计提的减值准备累计金额在其预计使用寿命内采用直线法分期平均摊销。使用寿命不确定的无形资产不予摊销。</w:t>
      </w:r>
    </w:p>
    <w:p w14:paraId="33112E2E" w14:textId="77777777" w:rsidR="000309B5" w:rsidRPr="00D15C4E" w:rsidRDefault="00000000" w:rsidP="00D15C4E">
      <w:pPr>
        <w:pStyle w:val="a3"/>
        <w:spacing w:before="0" w:beforeAutospacing="0" w:after="0" w:afterAutospacing="0" w:line="276" w:lineRule="auto"/>
        <w:ind w:firstLine="357"/>
        <w:jc w:val="both"/>
        <w:divId w:val="2048793903"/>
        <w:rPr>
          <w:rFonts w:ascii="Times New Roman" w:hAnsi="Times New Roman" w:cs="Times New Roman"/>
          <w:sz w:val="18"/>
          <w:szCs w:val="18"/>
        </w:rPr>
      </w:pPr>
      <w:r w:rsidRPr="005A284F">
        <w:rPr>
          <w:rFonts w:ascii="Times New Roman" w:hAnsi="Times New Roman" w:cs="Times New Roman"/>
          <w:sz w:val="18"/>
          <w:szCs w:val="18"/>
        </w:rPr>
        <w:t>其中，知识产权类无形资产项目的使用寿命及摊销方法如下：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01"/>
        <w:gridCol w:w="2863"/>
        <w:gridCol w:w="2863"/>
      </w:tblGrid>
      <w:tr w:rsidR="000309B5" w:rsidRPr="005A284F" w14:paraId="2B86701C" w14:textId="77777777" w:rsidTr="00D15C4E">
        <w:trPr>
          <w:divId w:val="2048793903"/>
          <w:trHeight w:val="340"/>
        </w:trPr>
        <w:tc>
          <w:tcPr>
            <w:tcW w:w="2026" w:type="pct"/>
            <w:tcMar>
              <w:top w:w="0" w:type="dxa"/>
              <w:left w:w="108" w:type="dxa"/>
              <w:bottom w:w="0" w:type="dxa"/>
              <w:right w:w="108" w:type="dxa"/>
            </w:tcMar>
            <w:vAlign w:val="center"/>
            <w:hideMark/>
          </w:tcPr>
          <w:p w14:paraId="352576A6"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项目</w:t>
            </w:r>
          </w:p>
        </w:tc>
        <w:tc>
          <w:tcPr>
            <w:tcW w:w="1487" w:type="pct"/>
            <w:tcMar>
              <w:top w:w="0" w:type="dxa"/>
              <w:left w:w="108" w:type="dxa"/>
              <w:bottom w:w="0" w:type="dxa"/>
              <w:right w:w="108" w:type="dxa"/>
            </w:tcMar>
            <w:vAlign w:val="center"/>
            <w:hideMark/>
          </w:tcPr>
          <w:p w14:paraId="79459345"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使用寿命（年）</w:t>
            </w:r>
          </w:p>
        </w:tc>
        <w:tc>
          <w:tcPr>
            <w:tcW w:w="1487" w:type="pct"/>
            <w:tcMar>
              <w:top w:w="0" w:type="dxa"/>
              <w:left w:w="108" w:type="dxa"/>
              <w:bottom w:w="0" w:type="dxa"/>
              <w:right w:w="108" w:type="dxa"/>
            </w:tcMar>
            <w:vAlign w:val="center"/>
            <w:hideMark/>
          </w:tcPr>
          <w:p w14:paraId="7D2FBD84"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摊销方法</w:t>
            </w:r>
          </w:p>
        </w:tc>
      </w:tr>
      <w:tr w:rsidR="000309B5" w:rsidRPr="005A284F" w14:paraId="601E5177" w14:textId="77777777" w:rsidTr="00D15C4E">
        <w:trPr>
          <w:divId w:val="2048793903"/>
          <w:trHeight w:val="340"/>
        </w:trPr>
        <w:tc>
          <w:tcPr>
            <w:tcW w:w="2026" w:type="pct"/>
            <w:tcMar>
              <w:top w:w="0" w:type="dxa"/>
              <w:left w:w="108" w:type="dxa"/>
              <w:bottom w:w="0" w:type="dxa"/>
              <w:right w:w="108" w:type="dxa"/>
            </w:tcMar>
            <w:vAlign w:val="center"/>
            <w:hideMark/>
          </w:tcPr>
          <w:p w14:paraId="5F879F16"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软件使用权</w:t>
            </w:r>
          </w:p>
        </w:tc>
        <w:tc>
          <w:tcPr>
            <w:tcW w:w="1487" w:type="pct"/>
            <w:tcMar>
              <w:top w:w="0" w:type="dxa"/>
              <w:left w:w="108" w:type="dxa"/>
              <w:bottom w:w="0" w:type="dxa"/>
              <w:right w:w="108" w:type="dxa"/>
            </w:tcMar>
            <w:vAlign w:val="center"/>
            <w:hideMark/>
          </w:tcPr>
          <w:p w14:paraId="70EF02AE"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2-10</w:t>
            </w:r>
          </w:p>
        </w:tc>
        <w:tc>
          <w:tcPr>
            <w:tcW w:w="1487" w:type="pct"/>
            <w:tcMar>
              <w:top w:w="0" w:type="dxa"/>
              <w:left w:w="108" w:type="dxa"/>
              <w:bottom w:w="0" w:type="dxa"/>
              <w:right w:w="108" w:type="dxa"/>
            </w:tcMar>
            <w:vAlign w:val="center"/>
            <w:hideMark/>
          </w:tcPr>
          <w:p w14:paraId="1C46B870"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直线法分期平均摊销</w:t>
            </w:r>
          </w:p>
        </w:tc>
      </w:tr>
      <w:tr w:rsidR="000309B5" w:rsidRPr="005A284F" w14:paraId="6895A1B3" w14:textId="77777777" w:rsidTr="00D15C4E">
        <w:trPr>
          <w:divId w:val="2048793903"/>
          <w:trHeight w:val="340"/>
        </w:trPr>
        <w:tc>
          <w:tcPr>
            <w:tcW w:w="2026" w:type="pct"/>
            <w:tcMar>
              <w:top w:w="0" w:type="dxa"/>
              <w:left w:w="108" w:type="dxa"/>
              <w:bottom w:w="0" w:type="dxa"/>
              <w:right w:w="108" w:type="dxa"/>
            </w:tcMar>
            <w:vAlign w:val="center"/>
            <w:hideMark/>
          </w:tcPr>
          <w:p w14:paraId="06282597"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商标使用权</w:t>
            </w:r>
          </w:p>
        </w:tc>
        <w:tc>
          <w:tcPr>
            <w:tcW w:w="1487" w:type="pct"/>
            <w:tcMar>
              <w:top w:w="0" w:type="dxa"/>
              <w:left w:w="108" w:type="dxa"/>
              <w:bottom w:w="0" w:type="dxa"/>
              <w:right w:w="108" w:type="dxa"/>
            </w:tcMar>
            <w:vAlign w:val="center"/>
            <w:hideMark/>
          </w:tcPr>
          <w:p w14:paraId="4D36BFC9"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10</w:t>
            </w:r>
          </w:p>
        </w:tc>
        <w:tc>
          <w:tcPr>
            <w:tcW w:w="1487" w:type="pct"/>
            <w:tcMar>
              <w:top w:w="0" w:type="dxa"/>
              <w:left w:w="108" w:type="dxa"/>
              <w:bottom w:w="0" w:type="dxa"/>
              <w:right w:w="108" w:type="dxa"/>
            </w:tcMar>
            <w:vAlign w:val="center"/>
            <w:hideMark/>
          </w:tcPr>
          <w:p w14:paraId="4868691F" w14:textId="77777777" w:rsidR="000309B5" w:rsidRPr="005A284F" w:rsidRDefault="00000000">
            <w:pPr>
              <w:pStyle w:val="a3"/>
              <w:spacing w:before="0" w:beforeAutospacing="0" w:after="0" w:afterAutospacing="0" w:line="273" w:lineRule="auto"/>
              <w:jc w:val="center"/>
              <w:rPr>
                <w:rFonts w:ascii="Times New Roman" w:hAnsi="Times New Roman" w:cs="Times New Roman"/>
              </w:rPr>
            </w:pPr>
            <w:r w:rsidRPr="005A284F">
              <w:rPr>
                <w:rFonts w:ascii="Times New Roman" w:hAnsi="Times New Roman" w:cs="Times New Roman"/>
                <w:sz w:val="18"/>
                <w:szCs w:val="18"/>
              </w:rPr>
              <w:t>直线法分期平均摊销</w:t>
            </w:r>
          </w:p>
        </w:tc>
      </w:tr>
    </w:tbl>
    <w:p w14:paraId="4F694F41" w14:textId="2A6975BF" w:rsidR="000309B5" w:rsidRPr="00D15C4E" w:rsidRDefault="00000000" w:rsidP="00D15C4E">
      <w:pPr>
        <w:pStyle w:val="a3"/>
        <w:spacing w:before="0" w:beforeAutospacing="0" w:after="0" w:afterAutospacing="0" w:line="276" w:lineRule="auto"/>
        <w:ind w:firstLine="357"/>
        <w:jc w:val="both"/>
        <w:divId w:val="2048793903"/>
        <w:rPr>
          <w:rFonts w:ascii="Times New Roman" w:hAnsi="Times New Roman" w:cs="Times New Roman"/>
          <w:sz w:val="18"/>
          <w:szCs w:val="18"/>
        </w:rPr>
      </w:pPr>
      <w:r w:rsidRPr="005A284F">
        <w:rPr>
          <w:rFonts w:ascii="Times New Roman" w:hAnsi="Times New Roman" w:cs="Times New Roman"/>
          <w:sz w:val="18"/>
          <w:szCs w:val="18"/>
        </w:rPr>
        <w:t>期末，对使用寿命有限的无形资产的使用寿命和摊销方法进行复核，如发生变更则作为会计估计变更处理。此外，还对使用寿命不确定的无形资产的使用寿命进行复核，如果有证据表明该无形资产为企业带来经济利益的期限是可预见的，则估计其使用寿命并按照使用寿命有限的无形资产的摊销政策进行摊销。</w:t>
      </w:r>
    </w:p>
    <w:p w14:paraId="16125ACA" w14:textId="2AD6DD28" w:rsidR="006C011D" w:rsidRPr="005A284F" w:rsidRDefault="00000000" w:rsidP="00D15C4E">
      <w:pPr>
        <w:keepNext/>
        <w:keepLines/>
        <w:spacing w:after="0" w:line="276" w:lineRule="auto"/>
        <w:ind w:firstLineChars="200" w:firstLine="422"/>
        <w:outlineLvl w:val="3"/>
        <w:rPr>
          <w:rFonts w:ascii="Times New Roman" w:eastAsia="宋体" w:hAnsi="Times New Roman" w:cs="Times New Roman"/>
          <w:b/>
          <w:bCs/>
          <w:sz w:val="21"/>
          <w:szCs w:val="21"/>
        </w:rPr>
      </w:pPr>
      <w:bookmarkStart w:id="147" w:name="_Toc989036"/>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2</w:t>
      </w:r>
      <w:r w:rsidRPr="005A284F">
        <w:rPr>
          <w:rFonts w:ascii="Times New Roman" w:eastAsia="宋体" w:hAnsi="Times New Roman" w:cs="Times New Roman"/>
          <w:b/>
          <w:bCs/>
          <w:sz w:val="21"/>
          <w:szCs w:val="21"/>
        </w:rPr>
        <w:t>）研发支出的归集范围及相关会计处理方法</w:t>
      </w:r>
      <w:bookmarkEnd w:id="147"/>
    </w:p>
    <w:p w14:paraId="5931B99E" w14:textId="77777777" w:rsidR="000309B5" w:rsidRPr="005A284F" w:rsidRDefault="00000000" w:rsidP="00D15C4E">
      <w:pPr>
        <w:pStyle w:val="a3"/>
        <w:spacing w:before="0" w:beforeAutospacing="0" w:after="0" w:afterAutospacing="0" w:line="276" w:lineRule="auto"/>
        <w:ind w:firstLineChars="200" w:firstLine="360"/>
        <w:jc w:val="both"/>
        <w:divId w:val="453644730"/>
        <w:rPr>
          <w:rFonts w:ascii="Times New Roman" w:hAnsi="Times New Roman" w:cs="Times New Roman"/>
        </w:rPr>
      </w:pPr>
      <w:r w:rsidRPr="005A284F">
        <w:rPr>
          <w:rFonts w:ascii="Times New Roman" w:hAnsi="Times New Roman" w:cs="Times New Roman"/>
          <w:sz w:val="18"/>
          <w:szCs w:val="18"/>
        </w:rPr>
        <w:t>本集团内部研究开发项目的支出分为研究阶段支出与开发阶段支出。</w:t>
      </w:r>
    </w:p>
    <w:p w14:paraId="63AAD21D" w14:textId="77777777" w:rsidR="000309B5" w:rsidRPr="005A284F" w:rsidRDefault="00000000" w:rsidP="00D15C4E">
      <w:pPr>
        <w:pStyle w:val="a3"/>
        <w:spacing w:before="0" w:beforeAutospacing="0" w:after="0" w:afterAutospacing="0" w:line="276" w:lineRule="auto"/>
        <w:ind w:firstLineChars="200" w:firstLine="360"/>
        <w:jc w:val="both"/>
        <w:divId w:val="453644730"/>
        <w:rPr>
          <w:rFonts w:ascii="Times New Roman" w:hAnsi="Times New Roman" w:cs="Times New Roman"/>
        </w:rPr>
      </w:pPr>
      <w:r w:rsidRPr="005A284F">
        <w:rPr>
          <w:rFonts w:ascii="Times New Roman" w:hAnsi="Times New Roman" w:cs="Times New Roman"/>
          <w:sz w:val="18"/>
          <w:szCs w:val="18"/>
        </w:rPr>
        <w:t>研究阶段的支出，于发生时计入当期损益。</w:t>
      </w:r>
    </w:p>
    <w:p w14:paraId="2B4B9C12" w14:textId="77777777" w:rsidR="000309B5" w:rsidRPr="005A284F" w:rsidRDefault="00000000" w:rsidP="00D15C4E">
      <w:pPr>
        <w:pStyle w:val="a3"/>
        <w:spacing w:before="0" w:beforeAutospacing="0" w:after="0" w:afterAutospacing="0" w:line="276" w:lineRule="auto"/>
        <w:ind w:firstLineChars="200" w:firstLine="360"/>
        <w:jc w:val="both"/>
        <w:divId w:val="453644730"/>
        <w:rPr>
          <w:rFonts w:ascii="Times New Roman" w:hAnsi="Times New Roman" w:cs="Times New Roman"/>
        </w:rPr>
      </w:pPr>
      <w:r w:rsidRPr="005A284F">
        <w:rPr>
          <w:rFonts w:ascii="Times New Roman" w:hAnsi="Times New Roman" w:cs="Times New Roman"/>
          <w:sz w:val="18"/>
          <w:szCs w:val="18"/>
        </w:rPr>
        <w:t>开发阶段的支出同时满足下列条件的，确认为无形资产，不能满足下述条件的开发阶段的支出计入当期损益：</w:t>
      </w:r>
    </w:p>
    <w:p w14:paraId="0EAF29D8" w14:textId="77777777" w:rsidR="000309B5" w:rsidRPr="005A284F" w:rsidRDefault="00000000" w:rsidP="00D15C4E">
      <w:pPr>
        <w:pStyle w:val="a3"/>
        <w:spacing w:before="0" w:beforeAutospacing="0" w:after="0" w:afterAutospacing="0" w:line="276" w:lineRule="auto"/>
        <w:ind w:firstLineChars="200" w:firstLine="360"/>
        <w:jc w:val="both"/>
        <w:divId w:val="453644730"/>
        <w:rPr>
          <w:rFonts w:ascii="Times New Roman" w:hAnsi="Times New Roman" w:cs="Times New Roman"/>
        </w:rPr>
      </w:pPr>
      <w:r w:rsidRPr="005A284F">
        <w:rPr>
          <w:rFonts w:ascii="Cambria Math" w:hAnsi="Cambria Math" w:cs="Cambria Math"/>
          <w:sz w:val="18"/>
          <w:szCs w:val="18"/>
        </w:rPr>
        <w:t>①</w:t>
      </w:r>
      <w:r w:rsidRPr="005A284F">
        <w:rPr>
          <w:rFonts w:ascii="Times New Roman" w:hAnsi="Times New Roman" w:cs="Times New Roman"/>
          <w:sz w:val="18"/>
          <w:szCs w:val="18"/>
        </w:rPr>
        <w:t>完成该无形资产以使其能够使用或出售在技术上具有可行性；</w:t>
      </w:r>
    </w:p>
    <w:p w14:paraId="70E50BFF" w14:textId="77777777" w:rsidR="000309B5" w:rsidRPr="005A284F" w:rsidRDefault="00000000" w:rsidP="00D15C4E">
      <w:pPr>
        <w:pStyle w:val="a3"/>
        <w:spacing w:before="0" w:beforeAutospacing="0" w:after="0" w:afterAutospacing="0" w:line="276" w:lineRule="auto"/>
        <w:ind w:firstLineChars="200" w:firstLine="360"/>
        <w:jc w:val="both"/>
        <w:divId w:val="453644730"/>
        <w:rPr>
          <w:rFonts w:ascii="Times New Roman" w:hAnsi="Times New Roman" w:cs="Times New Roman"/>
        </w:rPr>
      </w:pPr>
      <w:r w:rsidRPr="005A284F">
        <w:rPr>
          <w:rFonts w:ascii="Cambria Math" w:hAnsi="Cambria Math" w:cs="Cambria Math"/>
          <w:sz w:val="18"/>
          <w:szCs w:val="18"/>
        </w:rPr>
        <w:t>②</w:t>
      </w:r>
      <w:r w:rsidRPr="005A284F">
        <w:rPr>
          <w:rFonts w:ascii="Times New Roman" w:hAnsi="Times New Roman" w:cs="Times New Roman"/>
          <w:sz w:val="18"/>
          <w:szCs w:val="18"/>
        </w:rPr>
        <w:t>具有完成该无形资产并使用或出售的意图；</w:t>
      </w:r>
    </w:p>
    <w:p w14:paraId="1E0A2F3F" w14:textId="77777777" w:rsidR="000309B5" w:rsidRPr="005A284F" w:rsidRDefault="00000000" w:rsidP="00D15C4E">
      <w:pPr>
        <w:pStyle w:val="a3"/>
        <w:spacing w:before="0" w:beforeAutospacing="0" w:after="0" w:afterAutospacing="0" w:line="276" w:lineRule="auto"/>
        <w:ind w:firstLineChars="200" w:firstLine="360"/>
        <w:jc w:val="both"/>
        <w:divId w:val="453644730"/>
        <w:rPr>
          <w:rFonts w:ascii="Times New Roman" w:hAnsi="Times New Roman" w:cs="Times New Roman"/>
        </w:rPr>
      </w:pPr>
      <w:r w:rsidRPr="005A284F">
        <w:rPr>
          <w:rFonts w:ascii="Cambria Math" w:hAnsi="Cambria Math" w:cs="Cambria Math"/>
          <w:sz w:val="18"/>
          <w:szCs w:val="18"/>
        </w:rPr>
        <w:t>③</w:t>
      </w:r>
      <w:r w:rsidRPr="005A284F">
        <w:rPr>
          <w:rFonts w:ascii="Times New Roman" w:hAnsi="Times New Roman" w:cs="Times New Roman"/>
          <w:sz w:val="18"/>
          <w:szCs w:val="18"/>
        </w:rPr>
        <w:t>无形资产产生经济利益的方式，包括能够证明运用该无形资产生产的产品存在市场或无形资产自身存在市场，无形资产将在内部使用的，能够证明其有用性；</w:t>
      </w:r>
    </w:p>
    <w:p w14:paraId="07C3563D" w14:textId="77777777" w:rsidR="000309B5" w:rsidRPr="005A284F" w:rsidRDefault="00000000" w:rsidP="00D15C4E">
      <w:pPr>
        <w:pStyle w:val="a3"/>
        <w:spacing w:before="0" w:beforeAutospacing="0" w:after="0" w:afterAutospacing="0" w:line="276" w:lineRule="auto"/>
        <w:ind w:firstLineChars="200" w:firstLine="360"/>
        <w:jc w:val="both"/>
        <w:divId w:val="453644730"/>
        <w:rPr>
          <w:rFonts w:ascii="Times New Roman" w:hAnsi="Times New Roman" w:cs="Times New Roman"/>
        </w:rPr>
      </w:pPr>
      <w:r w:rsidRPr="005A284F">
        <w:rPr>
          <w:rFonts w:ascii="Cambria Math" w:hAnsi="Cambria Math" w:cs="Cambria Math"/>
          <w:sz w:val="18"/>
          <w:szCs w:val="18"/>
        </w:rPr>
        <w:t>④</w:t>
      </w:r>
      <w:r w:rsidRPr="005A284F">
        <w:rPr>
          <w:rFonts w:ascii="Times New Roman" w:hAnsi="Times New Roman" w:cs="Times New Roman"/>
          <w:sz w:val="18"/>
          <w:szCs w:val="18"/>
        </w:rPr>
        <w:t>有足够的技术、财务资源和其他资源支持，以完成该无形资产的开发，并有能力使用或出售该无形资产；</w:t>
      </w:r>
    </w:p>
    <w:p w14:paraId="6BD0072C" w14:textId="77777777" w:rsidR="000309B5" w:rsidRPr="005A284F" w:rsidRDefault="00000000" w:rsidP="00D15C4E">
      <w:pPr>
        <w:pStyle w:val="a3"/>
        <w:spacing w:before="0" w:beforeAutospacing="0" w:after="0" w:afterAutospacing="0" w:line="276" w:lineRule="auto"/>
        <w:ind w:firstLineChars="200" w:firstLine="360"/>
        <w:jc w:val="both"/>
        <w:divId w:val="453644730"/>
        <w:rPr>
          <w:rFonts w:ascii="Times New Roman" w:hAnsi="Times New Roman" w:cs="Times New Roman"/>
        </w:rPr>
      </w:pPr>
      <w:r w:rsidRPr="005A284F">
        <w:rPr>
          <w:rFonts w:ascii="Cambria Math" w:hAnsi="Cambria Math" w:cs="Cambria Math"/>
          <w:sz w:val="18"/>
          <w:szCs w:val="18"/>
        </w:rPr>
        <w:t>⑤</w:t>
      </w:r>
      <w:r w:rsidRPr="005A284F">
        <w:rPr>
          <w:rFonts w:ascii="Times New Roman" w:hAnsi="Times New Roman" w:cs="Times New Roman"/>
          <w:sz w:val="18"/>
          <w:szCs w:val="18"/>
        </w:rPr>
        <w:t>归属于该无形资产开发阶段的支出能够可靠地计量。</w:t>
      </w:r>
    </w:p>
    <w:p w14:paraId="26B018D9" w14:textId="77777777" w:rsidR="000309B5" w:rsidRPr="005A284F" w:rsidRDefault="00000000" w:rsidP="00D15C4E">
      <w:pPr>
        <w:pStyle w:val="a3"/>
        <w:spacing w:before="0" w:beforeAutospacing="0" w:after="0" w:afterAutospacing="0" w:line="276" w:lineRule="auto"/>
        <w:ind w:firstLineChars="200" w:firstLine="360"/>
        <w:jc w:val="both"/>
        <w:divId w:val="453644730"/>
        <w:rPr>
          <w:rFonts w:ascii="Times New Roman" w:hAnsi="Times New Roman" w:cs="Times New Roman"/>
        </w:rPr>
      </w:pPr>
      <w:r w:rsidRPr="005A284F">
        <w:rPr>
          <w:rFonts w:ascii="Times New Roman" w:hAnsi="Times New Roman" w:cs="Times New Roman"/>
          <w:sz w:val="18"/>
          <w:szCs w:val="18"/>
        </w:rPr>
        <w:t>无法区分研究阶段支出和开发阶段支出的，将发生的研发支出全部计入当期损益。</w:t>
      </w:r>
    </w:p>
    <w:p w14:paraId="4CB60C08" w14:textId="77777777" w:rsidR="000309B5" w:rsidRPr="005A284F" w:rsidRDefault="00000000" w:rsidP="00D15C4E">
      <w:pPr>
        <w:pStyle w:val="a3"/>
        <w:spacing w:before="0" w:beforeAutospacing="0" w:after="0" w:afterAutospacing="0" w:line="276" w:lineRule="auto"/>
        <w:ind w:firstLineChars="200" w:firstLine="360"/>
        <w:jc w:val="both"/>
        <w:divId w:val="453644730"/>
        <w:rPr>
          <w:rFonts w:ascii="Times New Roman" w:hAnsi="Times New Roman" w:cs="Times New Roman"/>
        </w:rPr>
      </w:pPr>
      <w:r w:rsidRPr="005A284F">
        <w:rPr>
          <w:rFonts w:ascii="Times New Roman" w:hAnsi="Times New Roman" w:cs="Times New Roman"/>
          <w:sz w:val="18"/>
          <w:szCs w:val="18"/>
        </w:rPr>
        <w:t>无形资产的减值测试方法及减值准备计提方法</w:t>
      </w:r>
    </w:p>
    <w:p w14:paraId="7EF86884" w14:textId="77777777" w:rsidR="000309B5" w:rsidRPr="005A284F" w:rsidRDefault="00000000" w:rsidP="00D15C4E">
      <w:pPr>
        <w:pStyle w:val="a3"/>
        <w:spacing w:before="0" w:beforeAutospacing="0" w:after="0" w:afterAutospacing="0" w:line="276" w:lineRule="auto"/>
        <w:ind w:firstLineChars="200" w:firstLine="360"/>
        <w:jc w:val="both"/>
        <w:divId w:val="453644730"/>
        <w:rPr>
          <w:rFonts w:ascii="Times New Roman" w:hAnsi="Times New Roman" w:cs="Times New Roman"/>
        </w:rPr>
      </w:pPr>
      <w:r w:rsidRPr="005A284F">
        <w:rPr>
          <w:rFonts w:ascii="Times New Roman" w:hAnsi="Times New Roman" w:cs="Times New Roman"/>
          <w:sz w:val="18"/>
          <w:szCs w:val="18"/>
        </w:rPr>
        <w:t>无形资产的减值测试方法和减值准备计提方法详见附注五、</w:t>
      </w:r>
      <w:r w:rsidRPr="005A284F">
        <w:rPr>
          <w:rFonts w:ascii="Times New Roman" w:hAnsi="Times New Roman" w:cs="Times New Roman"/>
          <w:sz w:val="18"/>
          <w:szCs w:val="18"/>
        </w:rPr>
        <w:t>30“</w:t>
      </w:r>
      <w:r w:rsidRPr="005A284F">
        <w:rPr>
          <w:rFonts w:ascii="Times New Roman" w:hAnsi="Times New Roman" w:cs="Times New Roman"/>
          <w:sz w:val="18"/>
          <w:szCs w:val="18"/>
        </w:rPr>
        <w:t>长期资产减值</w:t>
      </w:r>
      <w:r w:rsidRPr="005A284F">
        <w:rPr>
          <w:rFonts w:ascii="Times New Roman" w:hAnsi="Times New Roman" w:cs="Times New Roman"/>
          <w:sz w:val="18"/>
          <w:szCs w:val="18"/>
        </w:rPr>
        <w:t>”</w:t>
      </w:r>
      <w:r w:rsidRPr="005A284F">
        <w:rPr>
          <w:rFonts w:ascii="Times New Roman" w:hAnsi="Times New Roman" w:cs="Times New Roman"/>
          <w:sz w:val="18"/>
          <w:szCs w:val="18"/>
        </w:rPr>
        <w:t>。</w:t>
      </w:r>
    </w:p>
    <w:p w14:paraId="1ACE9973" w14:textId="77777777" w:rsidR="006C011D" w:rsidRPr="005A284F" w:rsidRDefault="00000000">
      <w:pPr>
        <w:pStyle w:val="3"/>
        <w:spacing w:line="280" w:lineRule="exact"/>
        <w:jc w:val="left"/>
        <w:rPr>
          <w:rFonts w:ascii="Times New Roman" w:hAnsi="Times New Roman" w:cs="Times New Roman"/>
          <w:b/>
          <w:bCs/>
        </w:rPr>
      </w:pPr>
      <w:bookmarkStart w:id="148" w:name="_Toc989037"/>
      <w:r w:rsidRPr="005A284F">
        <w:rPr>
          <w:rFonts w:ascii="Times New Roman" w:hAnsi="Times New Roman" w:cs="Times New Roman"/>
          <w:b/>
          <w:bCs/>
        </w:rPr>
        <w:t>30</w:t>
      </w:r>
      <w:r w:rsidRPr="005A284F">
        <w:rPr>
          <w:rFonts w:ascii="Times New Roman" w:hAnsi="Times New Roman" w:cs="Times New Roman"/>
          <w:b/>
          <w:bCs/>
        </w:rPr>
        <w:t>、长期资产减值</w:t>
      </w:r>
      <w:bookmarkEnd w:id="148"/>
    </w:p>
    <w:p w14:paraId="02E1903F" w14:textId="77777777" w:rsidR="000309B5" w:rsidRPr="00D15C4E" w:rsidRDefault="00000000" w:rsidP="00D15C4E">
      <w:pPr>
        <w:pStyle w:val="a3"/>
        <w:spacing w:before="0" w:beforeAutospacing="0" w:after="0" w:afterAutospacing="0" w:line="276" w:lineRule="auto"/>
        <w:ind w:firstLineChars="200" w:firstLine="360"/>
        <w:jc w:val="both"/>
        <w:divId w:val="405416070"/>
        <w:rPr>
          <w:rFonts w:ascii="Cambria Math" w:hAnsi="Cambria Math" w:cs="Cambria Math"/>
          <w:sz w:val="18"/>
          <w:szCs w:val="18"/>
        </w:rPr>
      </w:pPr>
      <w:r w:rsidRPr="00D15C4E">
        <w:rPr>
          <w:rFonts w:ascii="Cambria Math" w:hAnsi="Cambria Math" w:cs="Cambria Math"/>
          <w:sz w:val="18"/>
          <w:szCs w:val="18"/>
        </w:rPr>
        <w:t>对于固定资产、在建工程、使用权资产、使用寿命有限的无形资产、以成本模式计量的投资性房地产及对子公司、合营企业、联营企业的长期股权投资等非流动非金融资产，本集团于资产负债表日判断是否存在减值迹象。如存在减值迹象的，则估计其可收回金额，进行减值测试。商誉、使用寿命不确定的无形资产和尚未达到可使用状态的无形资产，无论是否存在减值迹象，每年均进行减值测试。</w:t>
      </w:r>
    </w:p>
    <w:p w14:paraId="22676E98" w14:textId="77777777" w:rsidR="000309B5" w:rsidRPr="00D15C4E" w:rsidRDefault="00000000" w:rsidP="00D15C4E">
      <w:pPr>
        <w:pStyle w:val="a3"/>
        <w:spacing w:before="0" w:beforeAutospacing="0" w:after="0" w:afterAutospacing="0" w:line="276" w:lineRule="auto"/>
        <w:ind w:firstLineChars="200" w:firstLine="360"/>
        <w:jc w:val="both"/>
        <w:divId w:val="405416070"/>
        <w:rPr>
          <w:rFonts w:ascii="Cambria Math" w:hAnsi="Cambria Math" w:cs="Cambria Math"/>
          <w:sz w:val="18"/>
          <w:szCs w:val="18"/>
        </w:rPr>
      </w:pPr>
      <w:r w:rsidRPr="00D15C4E">
        <w:rPr>
          <w:rFonts w:ascii="Cambria Math" w:hAnsi="Cambria Math" w:cs="Cambria Math"/>
          <w:sz w:val="18"/>
          <w:szCs w:val="18"/>
        </w:rPr>
        <w:t>减值测试结果表明资产的可收回金额低于其账面价值的，按其差额计提减值准备并计入减值损失。可收回金额为资产的公允价值减去处置费用后的净额与资产预计未来现金流量的现值两者之间的较高者。资产的公允价值根据公平交易中销售协议价格确定；不存在销售协议但存在资产活跃市场的，公允价值按照该资产的买方出价确定；不存在销售协议和资产活跃市场的，则以可获取的最佳信息为基础估计资产的公允价值。处置费用包括与资产处置有关的法律费用、相关税费、搬运费以及为使资产达到可销售状态所发生的直接费用。资产预计未来现金流量的现值，按照资产在持续使用过程中和最终处置时所产生的预计未来现金流量，选择恰当的折现率对其进行折现后的金额加以确定。资产减值准备按单项资产为基础计算并确认，如果难以对单项资产的可收回金额进行估计的，以该资产所属的资产组确定资产组的可收回金额。资产组是能够独立产生现金流入的最小资产组合。</w:t>
      </w:r>
    </w:p>
    <w:p w14:paraId="750A8F6A" w14:textId="77777777" w:rsidR="000309B5" w:rsidRPr="00D15C4E" w:rsidRDefault="00000000" w:rsidP="00D15C4E">
      <w:pPr>
        <w:pStyle w:val="a3"/>
        <w:spacing w:before="0" w:beforeAutospacing="0" w:after="0" w:afterAutospacing="0" w:line="276" w:lineRule="auto"/>
        <w:ind w:firstLineChars="200" w:firstLine="360"/>
        <w:jc w:val="both"/>
        <w:divId w:val="405416070"/>
        <w:rPr>
          <w:rFonts w:ascii="Cambria Math" w:hAnsi="Cambria Math" w:cs="Cambria Math"/>
          <w:sz w:val="18"/>
          <w:szCs w:val="18"/>
        </w:rPr>
      </w:pPr>
      <w:r w:rsidRPr="00D15C4E">
        <w:rPr>
          <w:rFonts w:ascii="Cambria Math" w:hAnsi="Cambria Math" w:cs="Cambria Math"/>
          <w:sz w:val="18"/>
          <w:szCs w:val="18"/>
        </w:rPr>
        <w:t>在财务报表中单独列示的商誉，在进行减值测试时，将商誉的账面价值分摊至预期从企业合并的协同效应中受益的资产组或资产组组合。测试结果表明包含分摊的商誉的资产组或资产组组合的可收回金额低于其账面价值的，确认相应的减</w:t>
      </w:r>
      <w:r w:rsidRPr="00D15C4E">
        <w:rPr>
          <w:rFonts w:ascii="Cambria Math" w:hAnsi="Cambria Math" w:cs="Cambria Math"/>
          <w:sz w:val="18"/>
          <w:szCs w:val="18"/>
        </w:rPr>
        <w:lastRenderedPageBreak/>
        <w:t>值损失。减值损失金额先抵减分摊至该资产组或资产组组合的商誉的账面价值，再根据资产组或资产组组合中除商誉以外的其他各项资产的账面价值所占比重，按比例抵减其他各项资产的账面价值。</w:t>
      </w:r>
    </w:p>
    <w:p w14:paraId="312CD051" w14:textId="77777777" w:rsidR="000309B5" w:rsidRPr="00D15C4E" w:rsidRDefault="00000000" w:rsidP="00D15C4E">
      <w:pPr>
        <w:pStyle w:val="a3"/>
        <w:spacing w:before="0" w:beforeAutospacing="0" w:after="0" w:afterAutospacing="0" w:line="276" w:lineRule="auto"/>
        <w:ind w:firstLineChars="200" w:firstLine="360"/>
        <w:jc w:val="both"/>
        <w:divId w:val="405416070"/>
        <w:rPr>
          <w:rFonts w:ascii="Cambria Math" w:hAnsi="Cambria Math" w:cs="Cambria Math"/>
          <w:sz w:val="18"/>
          <w:szCs w:val="18"/>
        </w:rPr>
      </w:pPr>
      <w:r w:rsidRPr="00D15C4E">
        <w:rPr>
          <w:rFonts w:ascii="Cambria Math" w:hAnsi="Cambria Math" w:cs="Cambria Math"/>
          <w:sz w:val="18"/>
          <w:szCs w:val="18"/>
        </w:rPr>
        <w:t>上述资产减值损失一经确认，以后期间不予转回价值得以恢复的部分。</w:t>
      </w:r>
    </w:p>
    <w:p w14:paraId="1F40822E" w14:textId="77777777" w:rsidR="006C011D" w:rsidRPr="005A284F" w:rsidRDefault="00000000">
      <w:pPr>
        <w:pStyle w:val="3"/>
        <w:spacing w:line="280" w:lineRule="exact"/>
        <w:jc w:val="left"/>
        <w:rPr>
          <w:rFonts w:ascii="Times New Roman" w:hAnsi="Times New Roman" w:cs="Times New Roman"/>
          <w:b/>
          <w:bCs/>
        </w:rPr>
      </w:pPr>
      <w:bookmarkStart w:id="149" w:name="_Toc989038"/>
      <w:r w:rsidRPr="005A284F">
        <w:rPr>
          <w:rFonts w:ascii="Times New Roman" w:hAnsi="Times New Roman" w:cs="Times New Roman"/>
          <w:b/>
          <w:bCs/>
        </w:rPr>
        <w:t>31</w:t>
      </w:r>
      <w:r w:rsidRPr="005A284F">
        <w:rPr>
          <w:rFonts w:ascii="Times New Roman" w:hAnsi="Times New Roman" w:cs="Times New Roman"/>
          <w:b/>
          <w:bCs/>
        </w:rPr>
        <w:t>、长期待摊费用</w:t>
      </w:r>
      <w:bookmarkEnd w:id="149"/>
    </w:p>
    <w:p w14:paraId="08CECE85" w14:textId="77777777" w:rsidR="000309B5" w:rsidRPr="00D15C4E" w:rsidRDefault="00000000" w:rsidP="00D15C4E">
      <w:pPr>
        <w:pStyle w:val="a3"/>
        <w:spacing w:before="0" w:beforeAutospacing="0" w:after="0" w:afterAutospacing="0" w:line="276" w:lineRule="auto"/>
        <w:ind w:firstLineChars="200" w:firstLine="360"/>
        <w:jc w:val="both"/>
        <w:divId w:val="1528759263"/>
        <w:rPr>
          <w:rFonts w:ascii="Cambria Math" w:hAnsi="Cambria Math" w:cs="Cambria Math"/>
          <w:sz w:val="18"/>
          <w:szCs w:val="18"/>
        </w:rPr>
      </w:pPr>
      <w:r w:rsidRPr="00D15C4E">
        <w:rPr>
          <w:rFonts w:ascii="Cambria Math" w:hAnsi="Cambria Math" w:cs="Cambria Math"/>
          <w:sz w:val="18"/>
          <w:szCs w:val="18"/>
        </w:rPr>
        <w:t>长期待摊费用为已经发生但应由报告期和以后各期负担的分摊期限在一年以上的各项费用。长期待摊费用在预计受益期间按直线法摊销。</w:t>
      </w:r>
    </w:p>
    <w:p w14:paraId="00D57373" w14:textId="77777777" w:rsidR="006C011D" w:rsidRPr="005A284F" w:rsidRDefault="00000000">
      <w:pPr>
        <w:pStyle w:val="3"/>
        <w:spacing w:line="280" w:lineRule="exact"/>
        <w:jc w:val="left"/>
        <w:rPr>
          <w:rFonts w:ascii="Times New Roman" w:hAnsi="Times New Roman" w:cs="Times New Roman"/>
          <w:b/>
          <w:bCs/>
        </w:rPr>
      </w:pPr>
      <w:bookmarkStart w:id="150" w:name="_Toc989039"/>
      <w:r w:rsidRPr="005A284F">
        <w:rPr>
          <w:rFonts w:ascii="Times New Roman" w:hAnsi="Times New Roman" w:cs="Times New Roman"/>
          <w:b/>
          <w:bCs/>
        </w:rPr>
        <w:t>32</w:t>
      </w:r>
      <w:r w:rsidRPr="005A284F">
        <w:rPr>
          <w:rFonts w:ascii="Times New Roman" w:hAnsi="Times New Roman" w:cs="Times New Roman"/>
          <w:b/>
          <w:bCs/>
        </w:rPr>
        <w:t>、合同负债</w:t>
      </w:r>
      <w:bookmarkEnd w:id="150"/>
    </w:p>
    <w:p w14:paraId="17BABFEC" w14:textId="77777777" w:rsidR="000309B5" w:rsidRPr="00D15C4E" w:rsidRDefault="00000000" w:rsidP="00D15C4E">
      <w:pPr>
        <w:pStyle w:val="a3"/>
        <w:spacing w:before="0" w:beforeAutospacing="0" w:after="0" w:afterAutospacing="0" w:line="276" w:lineRule="auto"/>
        <w:ind w:firstLineChars="200" w:firstLine="360"/>
        <w:jc w:val="both"/>
        <w:divId w:val="683283057"/>
        <w:rPr>
          <w:rFonts w:ascii="Cambria Math" w:hAnsi="Cambria Math" w:cs="Cambria Math"/>
          <w:sz w:val="18"/>
          <w:szCs w:val="18"/>
        </w:rPr>
      </w:pPr>
      <w:r w:rsidRPr="00D15C4E">
        <w:rPr>
          <w:rFonts w:ascii="Cambria Math" w:hAnsi="Cambria Math" w:cs="Cambria Math"/>
          <w:sz w:val="18"/>
          <w:szCs w:val="18"/>
        </w:rPr>
        <w:t>合同负债，是指本集团已收或应收客户对价而应向客户转让商品的义务。如果在本集团向客户转让商品之前，客户已经支付了合同对价或本集团已经取得了无条件收款权，本集团在客户实际支付款项和到期应支付款项孰早时点，将该已收或应收款项列示为合同负债。同一合同下的合同资产和合同负债以净额列示，不同合同下的合同资产和合同负债不予抵销。</w:t>
      </w:r>
    </w:p>
    <w:p w14:paraId="72617C9A" w14:textId="77777777" w:rsidR="006C011D" w:rsidRPr="005A284F" w:rsidRDefault="00000000">
      <w:pPr>
        <w:pStyle w:val="3"/>
        <w:spacing w:line="280" w:lineRule="exact"/>
        <w:jc w:val="left"/>
        <w:rPr>
          <w:rFonts w:ascii="Times New Roman" w:hAnsi="Times New Roman" w:cs="Times New Roman"/>
          <w:b/>
          <w:bCs/>
        </w:rPr>
      </w:pPr>
      <w:bookmarkStart w:id="151" w:name="_Toc989040"/>
      <w:r w:rsidRPr="005A284F">
        <w:rPr>
          <w:rFonts w:ascii="Times New Roman" w:hAnsi="Times New Roman" w:cs="Times New Roman"/>
          <w:b/>
          <w:bCs/>
        </w:rPr>
        <w:t>33</w:t>
      </w:r>
      <w:r w:rsidRPr="005A284F">
        <w:rPr>
          <w:rFonts w:ascii="Times New Roman" w:hAnsi="Times New Roman" w:cs="Times New Roman"/>
          <w:b/>
          <w:bCs/>
        </w:rPr>
        <w:t>、职工薪酬</w:t>
      </w:r>
      <w:bookmarkEnd w:id="151"/>
    </w:p>
    <w:p w14:paraId="20F60A4F" w14:textId="7AF6BBB9"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152" w:name="_Toc989041"/>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1</w:t>
      </w:r>
      <w:r w:rsidRPr="005A284F">
        <w:rPr>
          <w:rFonts w:ascii="Times New Roman" w:eastAsia="宋体" w:hAnsi="Times New Roman" w:cs="Times New Roman"/>
          <w:b/>
          <w:bCs/>
          <w:sz w:val="21"/>
          <w:szCs w:val="21"/>
        </w:rPr>
        <w:t>）短期薪酬的会计处理方法</w:t>
      </w:r>
      <w:bookmarkEnd w:id="152"/>
    </w:p>
    <w:p w14:paraId="19F63937" w14:textId="77777777" w:rsidR="000309B5" w:rsidRPr="00D15C4E" w:rsidRDefault="00000000" w:rsidP="00D15C4E">
      <w:pPr>
        <w:pStyle w:val="a3"/>
        <w:spacing w:before="0" w:beforeAutospacing="0" w:after="0" w:afterAutospacing="0" w:line="276" w:lineRule="auto"/>
        <w:ind w:firstLineChars="200" w:firstLine="360"/>
        <w:jc w:val="both"/>
        <w:divId w:val="1582988334"/>
        <w:rPr>
          <w:rFonts w:ascii="Cambria Math" w:hAnsi="Cambria Math" w:cs="Cambria Math"/>
          <w:sz w:val="18"/>
          <w:szCs w:val="18"/>
        </w:rPr>
      </w:pPr>
      <w:r w:rsidRPr="00D15C4E">
        <w:rPr>
          <w:rFonts w:ascii="Cambria Math" w:hAnsi="Cambria Math" w:cs="Cambria Math"/>
          <w:sz w:val="18"/>
          <w:szCs w:val="18"/>
        </w:rPr>
        <w:t>短期薪酬主要包括工资、奖金、津贴和补贴、职工福利费、医疗保险费、生育保险费、工伤保险费、住房公积金、工会经费和职工教育经费、非货币性福利等。本集团在职工为本集团提供服务的会计期间将实际发生的短期职工薪酬确认为负债，并计入当期损益或相关资产成本。其中非货币性福利按公允价值计量。</w:t>
      </w:r>
    </w:p>
    <w:p w14:paraId="15FDB585" w14:textId="55196684"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153" w:name="_Toc989042"/>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2</w:t>
      </w:r>
      <w:r w:rsidRPr="005A284F">
        <w:rPr>
          <w:rFonts w:ascii="Times New Roman" w:eastAsia="宋体" w:hAnsi="Times New Roman" w:cs="Times New Roman"/>
          <w:b/>
          <w:bCs/>
          <w:sz w:val="21"/>
          <w:szCs w:val="21"/>
        </w:rPr>
        <w:t>）离职后福利的会计处理方法</w:t>
      </w:r>
      <w:bookmarkEnd w:id="153"/>
    </w:p>
    <w:p w14:paraId="41296E2E" w14:textId="6E6934BF" w:rsidR="000309B5" w:rsidRPr="00D15C4E" w:rsidRDefault="00000000" w:rsidP="00D15C4E">
      <w:pPr>
        <w:pStyle w:val="a3"/>
        <w:spacing w:before="0" w:beforeAutospacing="0" w:after="0" w:afterAutospacing="0" w:line="276" w:lineRule="auto"/>
        <w:ind w:firstLineChars="200" w:firstLine="360"/>
        <w:jc w:val="both"/>
        <w:divId w:val="1315644164"/>
        <w:rPr>
          <w:rFonts w:ascii="Cambria Math" w:hAnsi="Cambria Math" w:cs="Cambria Math"/>
          <w:sz w:val="18"/>
          <w:szCs w:val="18"/>
        </w:rPr>
      </w:pPr>
      <w:r w:rsidRPr="00D15C4E">
        <w:rPr>
          <w:rFonts w:ascii="Cambria Math" w:hAnsi="Cambria Math" w:cs="Cambria Math"/>
          <w:sz w:val="18"/>
          <w:szCs w:val="18"/>
        </w:rPr>
        <w:t>离职后福利主要包括基本养老保险、失业保险等。离职后福利计划包括设定提存计划。采用设定提存计划的，相应的应缴存金额于发生时计入相关资产成本或当期损益。</w:t>
      </w:r>
    </w:p>
    <w:p w14:paraId="6D74C3C2" w14:textId="4A7EBBC8"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154" w:name="_Toc989043"/>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3</w:t>
      </w:r>
      <w:r w:rsidRPr="005A284F">
        <w:rPr>
          <w:rFonts w:ascii="Times New Roman" w:eastAsia="宋体" w:hAnsi="Times New Roman" w:cs="Times New Roman"/>
          <w:b/>
          <w:bCs/>
          <w:sz w:val="21"/>
          <w:szCs w:val="21"/>
        </w:rPr>
        <w:t>）辞退福利的会计处理方法</w:t>
      </w:r>
      <w:bookmarkEnd w:id="154"/>
    </w:p>
    <w:p w14:paraId="3386DCA4" w14:textId="77777777" w:rsidR="000309B5" w:rsidRPr="00D15C4E" w:rsidRDefault="00000000" w:rsidP="00D15C4E">
      <w:pPr>
        <w:pStyle w:val="a3"/>
        <w:spacing w:before="0" w:beforeAutospacing="0" w:after="0" w:afterAutospacing="0" w:line="276" w:lineRule="auto"/>
        <w:ind w:firstLineChars="200" w:firstLine="360"/>
        <w:jc w:val="both"/>
        <w:divId w:val="727606443"/>
        <w:rPr>
          <w:rFonts w:ascii="Cambria Math" w:hAnsi="Cambria Math" w:cs="Cambria Math"/>
          <w:sz w:val="18"/>
          <w:szCs w:val="18"/>
        </w:rPr>
      </w:pPr>
      <w:r w:rsidRPr="00D15C4E">
        <w:rPr>
          <w:rFonts w:ascii="Cambria Math" w:hAnsi="Cambria Math" w:cs="Cambria Math"/>
          <w:sz w:val="18"/>
          <w:szCs w:val="18"/>
        </w:rPr>
        <w:t>在职工劳动合同到期之前解除与职工的劳动关系，或为鼓励职工自愿接受裁减而提出给予补偿的建议，在本集团不能单方面撤回因解除劳动关系计划或裁减建议所提供的辞退福利时，和本集团确认与涉及支付辞退福利的重组相关的成本两者孰早日，确认辞退福利产生的职工薪酬负债，并计入当期损益。但辞退福利预期在年度报告期结束后十二个月不能完全支付的，按照其他长期职工薪酬处理。</w:t>
      </w:r>
    </w:p>
    <w:p w14:paraId="57CB6076" w14:textId="668CA0C4"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155" w:name="_Toc989044"/>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4</w:t>
      </w:r>
      <w:r w:rsidRPr="005A284F">
        <w:rPr>
          <w:rFonts w:ascii="Times New Roman" w:eastAsia="宋体" w:hAnsi="Times New Roman" w:cs="Times New Roman"/>
          <w:b/>
          <w:bCs/>
          <w:sz w:val="21"/>
          <w:szCs w:val="21"/>
        </w:rPr>
        <w:t>）其他长期职工福利的会计处理方法</w:t>
      </w:r>
      <w:bookmarkEnd w:id="155"/>
    </w:p>
    <w:p w14:paraId="30406363" w14:textId="77777777" w:rsidR="000309B5" w:rsidRPr="005A284F" w:rsidRDefault="00000000" w:rsidP="00D15C4E">
      <w:pPr>
        <w:pStyle w:val="a3"/>
        <w:spacing w:before="0" w:beforeAutospacing="0" w:after="0" w:afterAutospacing="0" w:line="276" w:lineRule="auto"/>
        <w:ind w:firstLineChars="200" w:firstLine="360"/>
        <w:jc w:val="both"/>
        <w:divId w:val="1416395893"/>
        <w:rPr>
          <w:rFonts w:ascii="Times New Roman" w:hAnsi="Times New Roman" w:cs="Times New Roman"/>
        </w:rPr>
      </w:pPr>
      <w:r w:rsidRPr="005A284F">
        <w:rPr>
          <w:rFonts w:ascii="Times New Roman" w:hAnsi="Times New Roman" w:cs="Times New Roman"/>
          <w:sz w:val="18"/>
          <w:szCs w:val="18"/>
        </w:rPr>
        <w:t>职工内部退休计划采用与上述辞退福利相同的原则处理。本集团将自职工停止提供服务日至正常退休日的期间拟支付的内退人员工资和缴纳的社会保险费等，在符合预计负债确认条件时，计入当期损益（辞退福利）。</w:t>
      </w:r>
    </w:p>
    <w:p w14:paraId="3131A29C" w14:textId="77777777" w:rsidR="000309B5" w:rsidRPr="005A284F" w:rsidRDefault="00000000" w:rsidP="00D15C4E">
      <w:pPr>
        <w:pStyle w:val="a3"/>
        <w:spacing w:before="0" w:beforeAutospacing="0" w:after="0" w:afterAutospacing="0" w:line="276" w:lineRule="auto"/>
        <w:ind w:firstLineChars="200" w:firstLine="360"/>
        <w:divId w:val="1416395893"/>
        <w:rPr>
          <w:rFonts w:ascii="Times New Roman" w:hAnsi="Times New Roman" w:cs="Times New Roman"/>
          <w:sz w:val="21"/>
          <w:szCs w:val="21"/>
        </w:rPr>
      </w:pPr>
      <w:r w:rsidRPr="005A284F">
        <w:rPr>
          <w:rFonts w:ascii="Times New Roman" w:hAnsi="Times New Roman" w:cs="Times New Roman"/>
          <w:sz w:val="18"/>
          <w:szCs w:val="18"/>
        </w:rPr>
        <w:t>本集团向职工提供的其他长期职工福利，符合设定提存计划的，按照设定提存计划进行会计处理，除此之外按照设定受益计划进行会计处理。</w:t>
      </w:r>
    </w:p>
    <w:p w14:paraId="583805C0" w14:textId="77777777" w:rsidR="006C011D" w:rsidRPr="005A284F" w:rsidRDefault="00000000">
      <w:pPr>
        <w:pStyle w:val="3"/>
        <w:spacing w:line="280" w:lineRule="exact"/>
        <w:jc w:val="left"/>
        <w:rPr>
          <w:rFonts w:ascii="Times New Roman" w:hAnsi="Times New Roman" w:cs="Times New Roman"/>
          <w:b/>
          <w:bCs/>
        </w:rPr>
      </w:pPr>
      <w:bookmarkStart w:id="156" w:name="_Toc989045"/>
      <w:r w:rsidRPr="005A284F">
        <w:rPr>
          <w:rFonts w:ascii="Times New Roman" w:hAnsi="Times New Roman" w:cs="Times New Roman"/>
          <w:b/>
          <w:bCs/>
        </w:rPr>
        <w:lastRenderedPageBreak/>
        <w:t>34</w:t>
      </w:r>
      <w:r w:rsidRPr="005A284F">
        <w:rPr>
          <w:rFonts w:ascii="Times New Roman" w:hAnsi="Times New Roman" w:cs="Times New Roman"/>
          <w:b/>
          <w:bCs/>
        </w:rPr>
        <w:t>、预计负债</w:t>
      </w:r>
      <w:bookmarkEnd w:id="156"/>
    </w:p>
    <w:p w14:paraId="784170BC" w14:textId="77777777" w:rsidR="000309B5" w:rsidRPr="00D15C4E" w:rsidRDefault="00000000" w:rsidP="00D15C4E">
      <w:pPr>
        <w:pStyle w:val="a3"/>
        <w:spacing w:before="0" w:beforeAutospacing="0" w:after="0" w:afterAutospacing="0" w:line="276" w:lineRule="auto"/>
        <w:ind w:firstLineChars="200" w:firstLine="360"/>
        <w:jc w:val="both"/>
        <w:divId w:val="1558004946"/>
        <w:rPr>
          <w:rFonts w:ascii="Times New Roman" w:hAnsi="Times New Roman" w:cs="Times New Roman"/>
          <w:sz w:val="18"/>
          <w:szCs w:val="18"/>
        </w:rPr>
      </w:pPr>
      <w:r w:rsidRPr="005A284F">
        <w:rPr>
          <w:rFonts w:ascii="Times New Roman" w:hAnsi="Times New Roman" w:cs="Times New Roman"/>
          <w:sz w:val="18"/>
          <w:szCs w:val="18"/>
        </w:rPr>
        <w:t>当与或有事项相关的义务同时符合以下条件，确认为预计负债：（</w:t>
      </w:r>
      <w:r w:rsidRPr="005A284F">
        <w:rPr>
          <w:rFonts w:ascii="Times New Roman" w:hAnsi="Times New Roman" w:cs="Times New Roman"/>
          <w:sz w:val="18"/>
          <w:szCs w:val="18"/>
        </w:rPr>
        <w:t>1</w:t>
      </w:r>
      <w:r w:rsidRPr="005A284F">
        <w:rPr>
          <w:rFonts w:ascii="Times New Roman" w:hAnsi="Times New Roman" w:cs="Times New Roman"/>
          <w:sz w:val="18"/>
          <w:szCs w:val="18"/>
        </w:rPr>
        <w:t>）该义务是本集团承担的现时义务；（</w:t>
      </w:r>
      <w:r w:rsidRPr="005A284F">
        <w:rPr>
          <w:rFonts w:ascii="Times New Roman" w:hAnsi="Times New Roman" w:cs="Times New Roman"/>
          <w:sz w:val="18"/>
          <w:szCs w:val="18"/>
        </w:rPr>
        <w:t>2</w:t>
      </w:r>
      <w:r w:rsidRPr="005A284F">
        <w:rPr>
          <w:rFonts w:ascii="Times New Roman" w:hAnsi="Times New Roman" w:cs="Times New Roman"/>
          <w:sz w:val="18"/>
          <w:szCs w:val="18"/>
        </w:rPr>
        <w:t>）履行该义务很可能导致经济利益流出；（</w:t>
      </w:r>
      <w:r w:rsidRPr="005A284F">
        <w:rPr>
          <w:rFonts w:ascii="Times New Roman" w:hAnsi="Times New Roman" w:cs="Times New Roman"/>
          <w:sz w:val="18"/>
          <w:szCs w:val="18"/>
        </w:rPr>
        <w:t>3</w:t>
      </w:r>
      <w:r w:rsidRPr="005A284F">
        <w:rPr>
          <w:rFonts w:ascii="Times New Roman" w:hAnsi="Times New Roman" w:cs="Times New Roman"/>
          <w:sz w:val="18"/>
          <w:szCs w:val="18"/>
        </w:rPr>
        <w:t>）该义务的金额能够可靠地计量。</w:t>
      </w:r>
    </w:p>
    <w:p w14:paraId="018EE246" w14:textId="77777777" w:rsidR="000309B5" w:rsidRPr="00D15C4E" w:rsidRDefault="00000000" w:rsidP="00D15C4E">
      <w:pPr>
        <w:pStyle w:val="a3"/>
        <w:spacing w:before="0" w:beforeAutospacing="0" w:after="0" w:afterAutospacing="0" w:line="276" w:lineRule="auto"/>
        <w:ind w:firstLineChars="200" w:firstLine="360"/>
        <w:jc w:val="both"/>
        <w:divId w:val="1558004946"/>
        <w:rPr>
          <w:rFonts w:ascii="Times New Roman" w:hAnsi="Times New Roman" w:cs="Times New Roman"/>
          <w:sz w:val="18"/>
          <w:szCs w:val="18"/>
        </w:rPr>
      </w:pPr>
      <w:r w:rsidRPr="005A284F">
        <w:rPr>
          <w:rFonts w:ascii="Times New Roman" w:hAnsi="Times New Roman" w:cs="Times New Roman"/>
          <w:sz w:val="18"/>
          <w:szCs w:val="18"/>
        </w:rPr>
        <w:t>在资产负债表日，考虑与或有事项有关的风险、不确定性和货币时间价值等因素，按照履行相关现时义务所需支出的最佳估计数对预计负债进行计量。</w:t>
      </w:r>
    </w:p>
    <w:p w14:paraId="618B4236" w14:textId="77777777" w:rsidR="000309B5" w:rsidRPr="00D15C4E" w:rsidRDefault="00000000" w:rsidP="00D15C4E">
      <w:pPr>
        <w:pStyle w:val="a3"/>
        <w:spacing w:before="0" w:beforeAutospacing="0" w:after="0" w:afterAutospacing="0" w:line="276" w:lineRule="auto"/>
        <w:ind w:firstLineChars="200" w:firstLine="360"/>
        <w:jc w:val="both"/>
        <w:divId w:val="1558004946"/>
        <w:rPr>
          <w:rFonts w:ascii="Times New Roman" w:hAnsi="Times New Roman" w:cs="Times New Roman"/>
          <w:sz w:val="18"/>
          <w:szCs w:val="18"/>
        </w:rPr>
      </w:pPr>
      <w:r w:rsidRPr="005A284F">
        <w:rPr>
          <w:rFonts w:ascii="Times New Roman" w:hAnsi="Times New Roman" w:cs="Times New Roman"/>
          <w:sz w:val="18"/>
          <w:szCs w:val="18"/>
        </w:rPr>
        <w:t>如果清偿预计负债所需支出全部或部分预期由第三方补偿的，补偿金额在基本确定能够收到时，作为资产单独确认，且确认的补偿金额不超过预计负债的账面价值。</w:t>
      </w:r>
    </w:p>
    <w:p w14:paraId="367806F5" w14:textId="77777777" w:rsidR="006C011D" w:rsidRPr="005A284F" w:rsidRDefault="00000000">
      <w:pPr>
        <w:pStyle w:val="3"/>
        <w:spacing w:line="280" w:lineRule="exact"/>
        <w:jc w:val="left"/>
        <w:rPr>
          <w:rFonts w:ascii="Times New Roman" w:hAnsi="Times New Roman" w:cs="Times New Roman"/>
          <w:b/>
          <w:bCs/>
        </w:rPr>
      </w:pPr>
      <w:bookmarkStart w:id="157" w:name="_Toc989046"/>
      <w:r w:rsidRPr="005A284F">
        <w:rPr>
          <w:rFonts w:ascii="Times New Roman" w:hAnsi="Times New Roman" w:cs="Times New Roman"/>
          <w:b/>
          <w:bCs/>
        </w:rPr>
        <w:t>35</w:t>
      </w:r>
      <w:r w:rsidRPr="005A284F">
        <w:rPr>
          <w:rFonts w:ascii="Times New Roman" w:hAnsi="Times New Roman" w:cs="Times New Roman"/>
          <w:b/>
          <w:bCs/>
        </w:rPr>
        <w:t>、股份支付</w:t>
      </w:r>
      <w:bookmarkEnd w:id="157"/>
    </w:p>
    <w:p w14:paraId="35AFB52E" w14:textId="77777777" w:rsidR="000309B5" w:rsidRPr="00D15C4E" w:rsidRDefault="00000000" w:rsidP="00D15C4E">
      <w:pPr>
        <w:pStyle w:val="a3"/>
        <w:spacing w:before="0" w:beforeAutospacing="0" w:after="0" w:afterAutospacing="0" w:line="276" w:lineRule="auto"/>
        <w:ind w:firstLineChars="200" w:firstLine="360"/>
        <w:jc w:val="both"/>
        <w:divId w:val="1599943332"/>
        <w:rPr>
          <w:rFonts w:ascii="Times New Roman" w:hAnsi="Times New Roman" w:cs="Times New Roman"/>
          <w:sz w:val="18"/>
          <w:szCs w:val="18"/>
        </w:rPr>
      </w:pPr>
      <w:r w:rsidRPr="005A284F">
        <w:rPr>
          <w:rFonts w:ascii="Times New Roman" w:hAnsi="Times New Roman" w:cs="Times New Roman"/>
          <w:sz w:val="18"/>
          <w:szCs w:val="18"/>
        </w:rPr>
        <w:t>股份支付的会计处理方法</w:t>
      </w:r>
    </w:p>
    <w:p w14:paraId="30C666D3" w14:textId="77777777" w:rsidR="000309B5" w:rsidRPr="00D15C4E" w:rsidRDefault="00000000" w:rsidP="00D15C4E">
      <w:pPr>
        <w:pStyle w:val="a3"/>
        <w:spacing w:before="0" w:beforeAutospacing="0" w:after="0" w:afterAutospacing="0" w:line="276" w:lineRule="auto"/>
        <w:ind w:firstLineChars="200" w:firstLine="360"/>
        <w:jc w:val="both"/>
        <w:divId w:val="1599943332"/>
        <w:rPr>
          <w:rFonts w:ascii="Times New Roman" w:hAnsi="Times New Roman" w:cs="Times New Roman"/>
          <w:sz w:val="18"/>
          <w:szCs w:val="18"/>
        </w:rPr>
      </w:pPr>
      <w:r w:rsidRPr="005A284F">
        <w:rPr>
          <w:rFonts w:ascii="Times New Roman" w:hAnsi="Times New Roman" w:cs="Times New Roman"/>
          <w:sz w:val="18"/>
          <w:szCs w:val="18"/>
        </w:rPr>
        <w:t>股份支付是为了获取职工或其他方提供服务而授予权益工具或者承担以权益工具为基础确定的负债的交易。股份支付分为以权益结算的股份支付和以现金结算的股份支付。</w:t>
      </w:r>
    </w:p>
    <w:p w14:paraId="46638092" w14:textId="77777777" w:rsidR="000309B5" w:rsidRPr="00D15C4E" w:rsidRDefault="00000000" w:rsidP="00D15C4E">
      <w:pPr>
        <w:pStyle w:val="a3"/>
        <w:spacing w:before="0" w:beforeAutospacing="0" w:after="0" w:afterAutospacing="0" w:line="276" w:lineRule="auto"/>
        <w:ind w:firstLineChars="200" w:firstLine="360"/>
        <w:jc w:val="both"/>
        <w:divId w:val="1599943332"/>
        <w:rPr>
          <w:rFonts w:ascii="Times New Roman" w:hAnsi="Times New Roman" w:cs="Times New Roman"/>
          <w:sz w:val="18"/>
          <w:szCs w:val="18"/>
        </w:rPr>
      </w:pPr>
      <w:r w:rsidRPr="00D15C4E">
        <w:rPr>
          <w:rFonts w:ascii="Cambria Math" w:hAnsi="Cambria Math" w:cs="Cambria Math"/>
          <w:sz w:val="18"/>
          <w:szCs w:val="18"/>
        </w:rPr>
        <w:t>①</w:t>
      </w:r>
      <w:r w:rsidRPr="005A284F">
        <w:rPr>
          <w:rFonts w:ascii="Times New Roman" w:hAnsi="Times New Roman" w:cs="Times New Roman"/>
          <w:sz w:val="18"/>
          <w:szCs w:val="18"/>
        </w:rPr>
        <w:t>以权益结算的股份支付</w:t>
      </w:r>
    </w:p>
    <w:p w14:paraId="72484BA9" w14:textId="77777777" w:rsidR="000309B5" w:rsidRPr="00D15C4E" w:rsidRDefault="00000000" w:rsidP="00D15C4E">
      <w:pPr>
        <w:pStyle w:val="a3"/>
        <w:spacing w:before="0" w:beforeAutospacing="0" w:after="0" w:afterAutospacing="0" w:line="276" w:lineRule="auto"/>
        <w:ind w:firstLineChars="200" w:firstLine="360"/>
        <w:jc w:val="both"/>
        <w:divId w:val="1599943332"/>
        <w:rPr>
          <w:rFonts w:ascii="Times New Roman" w:hAnsi="Times New Roman" w:cs="Times New Roman"/>
          <w:sz w:val="18"/>
          <w:szCs w:val="18"/>
        </w:rPr>
      </w:pPr>
      <w:r w:rsidRPr="005A284F">
        <w:rPr>
          <w:rFonts w:ascii="Times New Roman" w:hAnsi="Times New Roman" w:cs="Times New Roman"/>
          <w:sz w:val="18"/>
          <w:szCs w:val="18"/>
        </w:rPr>
        <w:t>用以换取职工提供的服务的权益结算的股份支付，以授予职工权益工具在授予日的公允价值计量。该公允价值的金额在完成等待期内的服务或达到规定业绩条件才可行权的情况下，在等待期内以对可行权权益工具数量的最佳估计为基础，按直线法计算计入相关成本或费用</w:t>
      </w:r>
      <w:r w:rsidRPr="005A284F">
        <w:rPr>
          <w:rFonts w:ascii="Times New Roman" w:hAnsi="Times New Roman" w:cs="Times New Roman"/>
          <w:sz w:val="18"/>
          <w:szCs w:val="18"/>
        </w:rPr>
        <w:t>/</w:t>
      </w:r>
      <w:r w:rsidRPr="005A284F">
        <w:rPr>
          <w:rFonts w:ascii="Times New Roman" w:hAnsi="Times New Roman" w:cs="Times New Roman"/>
          <w:sz w:val="18"/>
          <w:szCs w:val="18"/>
        </w:rPr>
        <w:t>在授予后立即可行权时，在授予日计入相关成本或费用，相应增加资本公积。</w:t>
      </w:r>
    </w:p>
    <w:p w14:paraId="5A8B7E71" w14:textId="77777777" w:rsidR="000309B5" w:rsidRPr="00D15C4E" w:rsidRDefault="00000000" w:rsidP="00D15C4E">
      <w:pPr>
        <w:pStyle w:val="a3"/>
        <w:spacing w:before="0" w:beforeAutospacing="0" w:after="0" w:afterAutospacing="0" w:line="276" w:lineRule="auto"/>
        <w:ind w:firstLineChars="200" w:firstLine="360"/>
        <w:jc w:val="both"/>
        <w:divId w:val="1599943332"/>
        <w:rPr>
          <w:rFonts w:ascii="Times New Roman" w:hAnsi="Times New Roman" w:cs="Times New Roman"/>
          <w:sz w:val="18"/>
          <w:szCs w:val="18"/>
        </w:rPr>
      </w:pPr>
      <w:r w:rsidRPr="005A284F">
        <w:rPr>
          <w:rFonts w:ascii="Times New Roman" w:hAnsi="Times New Roman" w:cs="Times New Roman"/>
          <w:sz w:val="18"/>
          <w:szCs w:val="18"/>
        </w:rPr>
        <w:t>在等待期内每个资产负债表日，本集团根据最新取得的可行权职工人数变动等后续信息做出最佳估计，修正预计可行权的权益工具数量。上述估计的影响计入当期相关成本或费用，并相应调整资本公积。</w:t>
      </w:r>
    </w:p>
    <w:p w14:paraId="347E8C32" w14:textId="77777777" w:rsidR="000309B5" w:rsidRPr="00D15C4E" w:rsidRDefault="00000000" w:rsidP="00D15C4E">
      <w:pPr>
        <w:pStyle w:val="a3"/>
        <w:spacing w:before="0" w:beforeAutospacing="0" w:after="0" w:afterAutospacing="0" w:line="276" w:lineRule="auto"/>
        <w:ind w:firstLineChars="200" w:firstLine="360"/>
        <w:jc w:val="both"/>
        <w:divId w:val="1599943332"/>
        <w:rPr>
          <w:rFonts w:ascii="Times New Roman" w:hAnsi="Times New Roman" w:cs="Times New Roman"/>
          <w:sz w:val="18"/>
          <w:szCs w:val="18"/>
        </w:rPr>
      </w:pPr>
      <w:r w:rsidRPr="005A284F">
        <w:rPr>
          <w:rFonts w:ascii="Times New Roman" w:hAnsi="Times New Roman" w:cs="Times New Roman"/>
          <w:sz w:val="18"/>
          <w:szCs w:val="18"/>
        </w:rPr>
        <w:t>用以换取其他方服务的权益结算的股份支付，如果其他方服务的公允价值能够可靠计量，按照其他方服务在取得日的公允价值计量，如果其他方服务的公允价值不能可靠计量，但权益工具的公允价值能够可靠计量的，按照权益工具在服务取得日的公允价值计量，计入相关成本或费用，相应增加股东权益。</w:t>
      </w:r>
    </w:p>
    <w:p w14:paraId="75D51727" w14:textId="77777777" w:rsidR="000309B5" w:rsidRPr="00D15C4E" w:rsidRDefault="00000000" w:rsidP="00D15C4E">
      <w:pPr>
        <w:pStyle w:val="a3"/>
        <w:spacing w:before="0" w:beforeAutospacing="0" w:after="0" w:afterAutospacing="0" w:line="276" w:lineRule="auto"/>
        <w:ind w:firstLineChars="200" w:firstLine="360"/>
        <w:jc w:val="both"/>
        <w:divId w:val="1599943332"/>
        <w:rPr>
          <w:rFonts w:ascii="Times New Roman" w:hAnsi="Times New Roman" w:cs="Times New Roman"/>
          <w:sz w:val="18"/>
          <w:szCs w:val="18"/>
        </w:rPr>
      </w:pPr>
      <w:r w:rsidRPr="00D15C4E">
        <w:rPr>
          <w:rFonts w:ascii="Cambria Math" w:hAnsi="Cambria Math" w:cs="Cambria Math"/>
          <w:sz w:val="18"/>
          <w:szCs w:val="18"/>
        </w:rPr>
        <w:t>②</w:t>
      </w:r>
      <w:r w:rsidRPr="005A284F">
        <w:rPr>
          <w:rFonts w:ascii="Times New Roman" w:hAnsi="Times New Roman" w:cs="Times New Roman"/>
          <w:sz w:val="18"/>
          <w:szCs w:val="18"/>
        </w:rPr>
        <w:t>以现金结算的股份支付</w:t>
      </w:r>
    </w:p>
    <w:p w14:paraId="0AE62DD4" w14:textId="77777777" w:rsidR="000309B5" w:rsidRPr="00D15C4E" w:rsidRDefault="00000000" w:rsidP="00D15C4E">
      <w:pPr>
        <w:pStyle w:val="a3"/>
        <w:spacing w:before="0" w:beforeAutospacing="0" w:after="0" w:afterAutospacing="0" w:line="276" w:lineRule="auto"/>
        <w:ind w:firstLineChars="200" w:firstLine="360"/>
        <w:jc w:val="both"/>
        <w:divId w:val="1599943332"/>
        <w:rPr>
          <w:rFonts w:ascii="Times New Roman" w:hAnsi="Times New Roman" w:cs="Times New Roman"/>
          <w:sz w:val="18"/>
          <w:szCs w:val="18"/>
        </w:rPr>
      </w:pPr>
      <w:r w:rsidRPr="005A284F">
        <w:rPr>
          <w:rFonts w:ascii="Times New Roman" w:hAnsi="Times New Roman" w:cs="Times New Roman"/>
          <w:sz w:val="18"/>
          <w:szCs w:val="18"/>
        </w:rPr>
        <w:t>以现金结算的股份支付，按照本集团承担的以股份或其他权益工具为基础确定的负债的公允价值计量。如授予后立即可行权，在授予日计入相关成本或费用，相应增加负债；如须完成等待期内的服务或达到规定业绩条件以后才可行权，在等待期的每个资产负债表日，以对可行权情况的最佳估计为基础，按照本集团承担负债的公允价值金额，将当期取得的服务计入成本或费用，相应增加负债。</w:t>
      </w:r>
    </w:p>
    <w:p w14:paraId="3B78DED4" w14:textId="77777777" w:rsidR="000309B5" w:rsidRPr="00D15C4E" w:rsidRDefault="00000000" w:rsidP="00D15C4E">
      <w:pPr>
        <w:pStyle w:val="a3"/>
        <w:spacing w:before="0" w:beforeAutospacing="0" w:after="0" w:afterAutospacing="0" w:line="276" w:lineRule="auto"/>
        <w:ind w:firstLineChars="200" w:firstLine="360"/>
        <w:jc w:val="both"/>
        <w:divId w:val="1599943332"/>
        <w:rPr>
          <w:rFonts w:ascii="Times New Roman" w:hAnsi="Times New Roman" w:cs="Times New Roman"/>
          <w:sz w:val="18"/>
          <w:szCs w:val="18"/>
        </w:rPr>
      </w:pPr>
      <w:r w:rsidRPr="005A284F">
        <w:rPr>
          <w:rFonts w:ascii="Times New Roman" w:hAnsi="Times New Roman" w:cs="Times New Roman"/>
          <w:sz w:val="18"/>
          <w:szCs w:val="18"/>
        </w:rPr>
        <w:t>在相关负债结算前的每个资产负债表日以及结算日，对负债的公允价值重新计量，其变动计入当期损益。</w:t>
      </w:r>
    </w:p>
    <w:p w14:paraId="2709496D" w14:textId="77777777" w:rsidR="000309B5" w:rsidRPr="00D15C4E" w:rsidRDefault="00000000" w:rsidP="00D15C4E">
      <w:pPr>
        <w:pStyle w:val="a3"/>
        <w:spacing w:before="0" w:beforeAutospacing="0" w:after="0" w:afterAutospacing="0" w:line="276" w:lineRule="auto"/>
        <w:ind w:firstLineChars="200" w:firstLine="360"/>
        <w:jc w:val="both"/>
        <w:divId w:val="1599943332"/>
        <w:rPr>
          <w:rFonts w:ascii="Times New Roman" w:hAnsi="Times New Roman" w:cs="Times New Roman"/>
          <w:sz w:val="18"/>
          <w:szCs w:val="18"/>
        </w:rPr>
      </w:pPr>
      <w:r w:rsidRPr="005A284F">
        <w:rPr>
          <w:rFonts w:ascii="Times New Roman" w:hAnsi="Times New Roman" w:cs="Times New Roman"/>
          <w:sz w:val="18"/>
          <w:szCs w:val="18"/>
        </w:rPr>
        <w:t>修改、终止股份支付计划的相关会计处理</w:t>
      </w:r>
    </w:p>
    <w:p w14:paraId="2A52AF58" w14:textId="77777777" w:rsidR="000309B5" w:rsidRPr="00D15C4E" w:rsidRDefault="00000000" w:rsidP="00D15C4E">
      <w:pPr>
        <w:pStyle w:val="a3"/>
        <w:spacing w:before="0" w:beforeAutospacing="0" w:after="0" w:afterAutospacing="0" w:line="276" w:lineRule="auto"/>
        <w:ind w:firstLineChars="200" w:firstLine="360"/>
        <w:jc w:val="both"/>
        <w:divId w:val="1599943332"/>
        <w:rPr>
          <w:rFonts w:ascii="Times New Roman" w:hAnsi="Times New Roman" w:cs="Times New Roman"/>
          <w:sz w:val="18"/>
          <w:szCs w:val="18"/>
        </w:rPr>
      </w:pPr>
      <w:r w:rsidRPr="005A284F">
        <w:rPr>
          <w:rFonts w:ascii="Times New Roman" w:hAnsi="Times New Roman" w:cs="Times New Roman"/>
          <w:sz w:val="18"/>
          <w:szCs w:val="18"/>
        </w:rPr>
        <w:t>本集团对股份支付计划进行修改时，若修改增加了所授予权益工具的公允价值，按照权益工具公允价值的增加相应确认取得服务的增加。权益工具公允价值的增加是指修改前后的权益工具在修改日的公允价值之间的差额。若修改减少了股份支付公允价值总额或采用了其他不利于职工的方式，则仍继续对取得的服务进行会计处理，视同该变更从未发生，除非本集团取消了部分或全部已授予的权益工具。</w:t>
      </w:r>
    </w:p>
    <w:p w14:paraId="411D8727" w14:textId="77777777" w:rsidR="000309B5" w:rsidRPr="00D15C4E" w:rsidRDefault="00000000" w:rsidP="00D15C4E">
      <w:pPr>
        <w:pStyle w:val="a3"/>
        <w:spacing w:before="0" w:beforeAutospacing="0" w:after="0" w:afterAutospacing="0" w:line="276" w:lineRule="auto"/>
        <w:ind w:firstLineChars="200" w:firstLine="360"/>
        <w:jc w:val="both"/>
        <w:divId w:val="1599943332"/>
        <w:rPr>
          <w:rFonts w:ascii="Times New Roman" w:hAnsi="Times New Roman" w:cs="Times New Roman"/>
          <w:sz w:val="18"/>
          <w:szCs w:val="18"/>
        </w:rPr>
      </w:pPr>
      <w:r w:rsidRPr="005A284F">
        <w:rPr>
          <w:rFonts w:ascii="Times New Roman" w:hAnsi="Times New Roman" w:cs="Times New Roman"/>
          <w:sz w:val="18"/>
          <w:szCs w:val="18"/>
        </w:rPr>
        <w:t>在等待期内，如果取消了授予的权益工具，本集团对取消所授予的权益性工具作为加速行权处理，将剩余等待期内应确认的金额立即计入当期损益，同时确认资本公积。职工或其他方能够选择满足非可行权条件但在等待期内未满足的，本集团将其作为授予权益工具的取消处理。</w:t>
      </w:r>
    </w:p>
    <w:p w14:paraId="24D6C840" w14:textId="77777777" w:rsidR="000309B5" w:rsidRPr="00D15C4E" w:rsidRDefault="00000000" w:rsidP="00D15C4E">
      <w:pPr>
        <w:pStyle w:val="a3"/>
        <w:spacing w:before="0" w:beforeAutospacing="0" w:after="0" w:afterAutospacing="0" w:line="276" w:lineRule="auto"/>
        <w:ind w:firstLineChars="200" w:firstLine="360"/>
        <w:jc w:val="both"/>
        <w:divId w:val="1599943332"/>
        <w:rPr>
          <w:rFonts w:ascii="Times New Roman" w:hAnsi="Times New Roman" w:cs="Times New Roman"/>
          <w:sz w:val="18"/>
          <w:szCs w:val="18"/>
        </w:rPr>
      </w:pPr>
      <w:r w:rsidRPr="005A284F">
        <w:rPr>
          <w:rFonts w:ascii="Times New Roman" w:hAnsi="Times New Roman" w:cs="Times New Roman"/>
          <w:sz w:val="18"/>
          <w:szCs w:val="18"/>
        </w:rPr>
        <w:t>涉及本集团与本公司股东或实际控制人的股份支付交易的会计处理</w:t>
      </w:r>
    </w:p>
    <w:p w14:paraId="5ECCF3FF" w14:textId="77777777" w:rsidR="000309B5" w:rsidRPr="00D15C4E" w:rsidRDefault="00000000" w:rsidP="00D15C4E">
      <w:pPr>
        <w:pStyle w:val="a3"/>
        <w:spacing w:before="0" w:beforeAutospacing="0" w:after="0" w:afterAutospacing="0" w:line="276" w:lineRule="auto"/>
        <w:ind w:firstLineChars="200" w:firstLine="360"/>
        <w:jc w:val="both"/>
        <w:divId w:val="1599943332"/>
        <w:rPr>
          <w:rFonts w:ascii="Times New Roman" w:hAnsi="Times New Roman" w:cs="Times New Roman"/>
          <w:sz w:val="18"/>
          <w:szCs w:val="18"/>
        </w:rPr>
      </w:pPr>
      <w:r w:rsidRPr="005A284F">
        <w:rPr>
          <w:rFonts w:ascii="Times New Roman" w:hAnsi="Times New Roman" w:cs="Times New Roman"/>
          <w:sz w:val="18"/>
          <w:szCs w:val="18"/>
        </w:rPr>
        <w:t>涉及本集团与本公司股东或实际控制人的股份支付交易，结算企业与接受服务企业中其一在本集团内，另一在本集团外的，在本集团合并财务报表中按照以下规定进行会计处理：</w:t>
      </w:r>
    </w:p>
    <w:p w14:paraId="77B9790A" w14:textId="77777777" w:rsidR="000309B5" w:rsidRPr="00D15C4E" w:rsidRDefault="00000000" w:rsidP="00D15C4E">
      <w:pPr>
        <w:pStyle w:val="a3"/>
        <w:spacing w:before="0" w:beforeAutospacing="0" w:after="0" w:afterAutospacing="0" w:line="276" w:lineRule="auto"/>
        <w:ind w:firstLineChars="200" w:firstLine="360"/>
        <w:jc w:val="both"/>
        <w:divId w:val="1599943332"/>
        <w:rPr>
          <w:rFonts w:ascii="Times New Roman" w:hAnsi="Times New Roman" w:cs="Times New Roman"/>
          <w:sz w:val="18"/>
          <w:szCs w:val="18"/>
        </w:rPr>
      </w:pPr>
      <w:r w:rsidRPr="00D15C4E">
        <w:rPr>
          <w:rFonts w:ascii="Cambria Math" w:hAnsi="Cambria Math" w:cs="Cambria Math"/>
          <w:sz w:val="18"/>
          <w:szCs w:val="18"/>
        </w:rPr>
        <w:lastRenderedPageBreak/>
        <w:t>①</w:t>
      </w:r>
      <w:r w:rsidRPr="005A284F">
        <w:rPr>
          <w:rFonts w:ascii="Times New Roman" w:hAnsi="Times New Roman" w:cs="Times New Roman"/>
          <w:sz w:val="18"/>
          <w:szCs w:val="18"/>
        </w:rPr>
        <w:t>结算企业以其本身权益工具结算的，将该股份支付交易作为权益结算的股份支付处理；除此之外，作为现金结算的股份支付处理。</w:t>
      </w:r>
    </w:p>
    <w:p w14:paraId="21657B0E" w14:textId="77777777" w:rsidR="000309B5" w:rsidRPr="00D15C4E" w:rsidRDefault="00000000" w:rsidP="00D15C4E">
      <w:pPr>
        <w:pStyle w:val="a3"/>
        <w:spacing w:before="0" w:beforeAutospacing="0" w:after="0" w:afterAutospacing="0" w:line="276" w:lineRule="auto"/>
        <w:ind w:firstLineChars="200" w:firstLine="360"/>
        <w:jc w:val="both"/>
        <w:divId w:val="1599943332"/>
        <w:rPr>
          <w:rFonts w:ascii="Times New Roman" w:hAnsi="Times New Roman" w:cs="Times New Roman"/>
          <w:sz w:val="18"/>
          <w:szCs w:val="18"/>
        </w:rPr>
      </w:pPr>
      <w:r w:rsidRPr="005A284F">
        <w:rPr>
          <w:rFonts w:ascii="Times New Roman" w:hAnsi="Times New Roman" w:cs="Times New Roman"/>
          <w:sz w:val="18"/>
          <w:szCs w:val="18"/>
        </w:rPr>
        <w:t>结算企业是接受服务企业的投资者的，按照授予日权益工具的公允价值或应承担负债的公允价值确认为对接受服务企业的长期股权投资，同时确认资本公积（其他资本公积）或负债。</w:t>
      </w:r>
    </w:p>
    <w:p w14:paraId="4D2E9CD4" w14:textId="77777777" w:rsidR="000309B5" w:rsidRPr="00D15C4E" w:rsidRDefault="00000000" w:rsidP="00D15C4E">
      <w:pPr>
        <w:pStyle w:val="a3"/>
        <w:spacing w:before="0" w:beforeAutospacing="0" w:after="0" w:afterAutospacing="0" w:line="276" w:lineRule="auto"/>
        <w:ind w:firstLineChars="200" w:firstLine="360"/>
        <w:jc w:val="both"/>
        <w:divId w:val="1599943332"/>
        <w:rPr>
          <w:rFonts w:ascii="Times New Roman" w:hAnsi="Times New Roman" w:cs="Times New Roman"/>
          <w:sz w:val="18"/>
          <w:szCs w:val="18"/>
        </w:rPr>
      </w:pPr>
      <w:r w:rsidRPr="00D15C4E">
        <w:rPr>
          <w:rFonts w:ascii="Cambria Math" w:hAnsi="Cambria Math" w:cs="Cambria Math"/>
          <w:sz w:val="18"/>
          <w:szCs w:val="18"/>
        </w:rPr>
        <w:t>②</w:t>
      </w:r>
      <w:r w:rsidRPr="005A284F">
        <w:rPr>
          <w:rFonts w:ascii="Times New Roman" w:hAnsi="Times New Roman" w:cs="Times New Roman"/>
          <w:sz w:val="18"/>
          <w:szCs w:val="18"/>
        </w:rPr>
        <w:t>接受服务企业没有结算义务或授予本企业职工的是其本身权益工具的，将该股份支付交易作为权益结算的股份支付处理；接受服务企业具有结算义务且授予本企业职工的并非其本身权益工具的，将该股份支付交易作为现金结算的股份支付处理。</w:t>
      </w:r>
    </w:p>
    <w:p w14:paraId="10435B91" w14:textId="77777777" w:rsidR="000309B5" w:rsidRPr="00D15C4E" w:rsidRDefault="00000000" w:rsidP="00D15C4E">
      <w:pPr>
        <w:pStyle w:val="a3"/>
        <w:spacing w:before="0" w:beforeAutospacing="0" w:after="0" w:afterAutospacing="0" w:line="276" w:lineRule="auto"/>
        <w:ind w:firstLineChars="200" w:firstLine="360"/>
        <w:jc w:val="both"/>
        <w:divId w:val="1599943332"/>
        <w:rPr>
          <w:rFonts w:ascii="Times New Roman" w:hAnsi="Times New Roman" w:cs="Times New Roman"/>
          <w:sz w:val="18"/>
          <w:szCs w:val="18"/>
        </w:rPr>
      </w:pPr>
      <w:r w:rsidRPr="005A284F">
        <w:rPr>
          <w:rFonts w:ascii="Times New Roman" w:hAnsi="Times New Roman" w:cs="Times New Roman"/>
          <w:sz w:val="18"/>
          <w:szCs w:val="18"/>
        </w:rPr>
        <w:t>本集团内各企业之间发生的股份支付交易，接受服务企业和结算企业不是同一企业的，在接受服务企业和结算企业各自的个别财务报表中对该股份支付交易的确认和计量，比照上述原则处理。</w:t>
      </w:r>
    </w:p>
    <w:p w14:paraId="031C8865" w14:textId="77777777" w:rsidR="006C011D" w:rsidRPr="005A284F" w:rsidRDefault="00000000">
      <w:pPr>
        <w:pStyle w:val="3"/>
        <w:spacing w:line="280" w:lineRule="exact"/>
        <w:jc w:val="left"/>
        <w:rPr>
          <w:rFonts w:ascii="Times New Roman" w:hAnsi="Times New Roman" w:cs="Times New Roman"/>
          <w:b/>
          <w:bCs/>
        </w:rPr>
      </w:pPr>
      <w:bookmarkStart w:id="158" w:name="_Toc989047"/>
      <w:r w:rsidRPr="005A284F">
        <w:rPr>
          <w:rFonts w:ascii="Times New Roman" w:hAnsi="Times New Roman" w:cs="Times New Roman"/>
          <w:b/>
          <w:bCs/>
        </w:rPr>
        <w:t>36</w:t>
      </w:r>
      <w:r w:rsidRPr="005A284F">
        <w:rPr>
          <w:rFonts w:ascii="Times New Roman" w:hAnsi="Times New Roman" w:cs="Times New Roman"/>
          <w:b/>
          <w:bCs/>
        </w:rPr>
        <w:t>、优先股、永续债等其他金融工具</w:t>
      </w:r>
      <w:bookmarkEnd w:id="158"/>
    </w:p>
    <w:p w14:paraId="78A93F70" w14:textId="77777777" w:rsidR="000309B5" w:rsidRPr="00D15C4E" w:rsidRDefault="00000000" w:rsidP="00D15C4E">
      <w:pPr>
        <w:pStyle w:val="a3"/>
        <w:spacing w:before="0" w:beforeAutospacing="0" w:after="0" w:afterAutospacing="0" w:line="276" w:lineRule="auto"/>
        <w:ind w:firstLineChars="200" w:firstLine="360"/>
        <w:jc w:val="both"/>
        <w:divId w:val="1200970028"/>
        <w:rPr>
          <w:rFonts w:ascii="Times New Roman" w:hAnsi="Times New Roman" w:cs="Times New Roman"/>
          <w:sz w:val="18"/>
          <w:szCs w:val="18"/>
        </w:rPr>
      </w:pPr>
      <w:r w:rsidRPr="005A284F">
        <w:rPr>
          <w:rFonts w:ascii="Times New Roman" w:hAnsi="Times New Roman" w:cs="Times New Roman"/>
          <w:sz w:val="18"/>
          <w:szCs w:val="18"/>
        </w:rPr>
        <w:t>永续债和优先股等的区分</w:t>
      </w:r>
    </w:p>
    <w:p w14:paraId="0FF3A71A" w14:textId="77777777" w:rsidR="000309B5" w:rsidRPr="00D15C4E" w:rsidRDefault="00000000" w:rsidP="00D15C4E">
      <w:pPr>
        <w:pStyle w:val="a3"/>
        <w:spacing w:before="0" w:beforeAutospacing="0" w:after="0" w:afterAutospacing="0" w:line="276" w:lineRule="auto"/>
        <w:ind w:firstLineChars="200" w:firstLine="360"/>
        <w:jc w:val="both"/>
        <w:divId w:val="1200970028"/>
        <w:rPr>
          <w:rFonts w:ascii="Times New Roman" w:hAnsi="Times New Roman" w:cs="Times New Roman"/>
          <w:sz w:val="18"/>
          <w:szCs w:val="18"/>
        </w:rPr>
      </w:pPr>
      <w:r w:rsidRPr="005A284F">
        <w:rPr>
          <w:rFonts w:ascii="Times New Roman" w:hAnsi="Times New Roman" w:cs="Times New Roman"/>
          <w:sz w:val="18"/>
          <w:szCs w:val="18"/>
        </w:rPr>
        <w:t>本集团发行的永续债和优先股等金融工具，同时符合以下条件的，作为权益工具：</w:t>
      </w:r>
    </w:p>
    <w:p w14:paraId="115E3AC8" w14:textId="77777777" w:rsidR="000309B5" w:rsidRPr="00D15C4E" w:rsidRDefault="00000000" w:rsidP="00D15C4E">
      <w:pPr>
        <w:pStyle w:val="a3"/>
        <w:spacing w:before="0" w:beforeAutospacing="0" w:after="0" w:afterAutospacing="0" w:line="276" w:lineRule="auto"/>
        <w:ind w:firstLineChars="200" w:firstLine="360"/>
        <w:jc w:val="both"/>
        <w:divId w:val="1200970028"/>
        <w:rPr>
          <w:rFonts w:ascii="Times New Roman" w:hAnsi="Times New Roman" w:cs="Times New Roman"/>
          <w:sz w:val="18"/>
          <w:szCs w:val="18"/>
        </w:rPr>
      </w:pPr>
      <w:r w:rsidRPr="00D15C4E">
        <w:rPr>
          <w:rFonts w:ascii="Cambria Math" w:hAnsi="Cambria Math" w:cs="Cambria Math"/>
          <w:sz w:val="18"/>
          <w:szCs w:val="18"/>
        </w:rPr>
        <w:t>①</w:t>
      </w:r>
      <w:r w:rsidRPr="005A284F">
        <w:rPr>
          <w:rFonts w:ascii="Times New Roman" w:hAnsi="Times New Roman" w:cs="Times New Roman"/>
          <w:sz w:val="18"/>
          <w:szCs w:val="18"/>
        </w:rPr>
        <w:t>该金融工具不包括交付现金或其他金融资产给其他方，或在潜在不利条件下与其他方交换金融资产或金融负债的合同义务；</w:t>
      </w:r>
    </w:p>
    <w:p w14:paraId="6701D62F" w14:textId="77777777" w:rsidR="000309B5" w:rsidRPr="00D15C4E" w:rsidRDefault="00000000" w:rsidP="00D15C4E">
      <w:pPr>
        <w:pStyle w:val="a3"/>
        <w:spacing w:before="0" w:beforeAutospacing="0" w:after="0" w:afterAutospacing="0" w:line="276" w:lineRule="auto"/>
        <w:ind w:firstLineChars="200" w:firstLine="360"/>
        <w:jc w:val="both"/>
        <w:divId w:val="1200970028"/>
        <w:rPr>
          <w:rFonts w:ascii="Times New Roman" w:hAnsi="Times New Roman" w:cs="Times New Roman"/>
          <w:sz w:val="18"/>
          <w:szCs w:val="18"/>
        </w:rPr>
      </w:pPr>
      <w:r w:rsidRPr="00D15C4E">
        <w:rPr>
          <w:rFonts w:ascii="Cambria Math" w:hAnsi="Cambria Math" w:cs="Cambria Math"/>
          <w:sz w:val="18"/>
          <w:szCs w:val="18"/>
        </w:rPr>
        <w:t>②</w:t>
      </w:r>
      <w:r w:rsidRPr="005A284F">
        <w:rPr>
          <w:rFonts w:ascii="Times New Roman" w:hAnsi="Times New Roman" w:cs="Times New Roman"/>
          <w:sz w:val="18"/>
          <w:szCs w:val="18"/>
        </w:rPr>
        <w:t>如将来须用或可用企业自身权益工具结算该金融工具的，如该金融工具为非衍生工具，则不包括交付可变数量的自身权益工具进行结算的合同义务；如为衍生工具，则本集团只能通过以固定数量的自身权益工具交换固定金额的现金或其他金融资产结算该金融工具。</w:t>
      </w:r>
    </w:p>
    <w:p w14:paraId="4C82A682" w14:textId="77777777" w:rsidR="000309B5" w:rsidRPr="00D15C4E" w:rsidRDefault="00000000" w:rsidP="00D15C4E">
      <w:pPr>
        <w:pStyle w:val="a3"/>
        <w:spacing w:before="0" w:beforeAutospacing="0" w:after="0" w:afterAutospacing="0" w:line="276" w:lineRule="auto"/>
        <w:ind w:firstLineChars="200" w:firstLine="360"/>
        <w:jc w:val="both"/>
        <w:divId w:val="1200970028"/>
        <w:rPr>
          <w:rFonts w:ascii="Times New Roman" w:hAnsi="Times New Roman" w:cs="Times New Roman"/>
          <w:sz w:val="18"/>
          <w:szCs w:val="18"/>
        </w:rPr>
      </w:pPr>
      <w:r w:rsidRPr="005A284F">
        <w:rPr>
          <w:rFonts w:ascii="Times New Roman" w:hAnsi="Times New Roman" w:cs="Times New Roman"/>
          <w:sz w:val="18"/>
          <w:szCs w:val="18"/>
        </w:rPr>
        <w:t>除按上述条件可归类为权益工具的金融工具以外，本集团发行的其他金融工具应归类为金融负债。</w:t>
      </w:r>
    </w:p>
    <w:p w14:paraId="4B3AB679" w14:textId="77777777" w:rsidR="000309B5" w:rsidRPr="00D15C4E" w:rsidRDefault="00000000" w:rsidP="00D15C4E">
      <w:pPr>
        <w:pStyle w:val="a3"/>
        <w:spacing w:before="0" w:beforeAutospacing="0" w:after="0" w:afterAutospacing="0" w:line="276" w:lineRule="auto"/>
        <w:ind w:firstLineChars="200" w:firstLine="360"/>
        <w:jc w:val="both"/>
        <w:divId w:val="1200970028"/>
        <w:rPr>
          <w:rFonts w:ascii="Times New Roman" w:hAnsi="Times New Roman" w:cs="Times New Roman"/>
          <w:sz w:val="18"/>
          <w:szCs w:val="18"/>
        </w:rPr>
      </w:pPr>
      <w:r w:rsidRPr="005A284F">
        <w:rPr>
          <w:rFonts w:ascii="Times New Roman" w:hAnsi="Times New Roman" w:cs="Times New Roman"/>
          <w:sz w:val="18"/>
          <w:szCs w:val="18"/>
        </w:rPr>
        <w:t>本集团发行的金融工具为复合金融工具的，按照负债成分的公允价值确认为一项负债，按实际收到的金额扣除负债成分的公允价值后的金额，确认为</w:t>
      </w:r>
      <w:r w:rsidRPr="005A284F">
        <w:rPr>
          <w:rFonts w:ascii="Times New Roman" w:hAnsi="Times New Roman" w:cs="Times New Roman"/>
          <w:sz w:val="18"/>
          <w:szCs w:val="18"/>
        </w:rPr>
        <w:t>“</w:t>
      </w:r>
      <w:r w:rsidRPr="005A284F">
        <w:rPr>
          <w:rFonts w:ascii="Times New Roman" w:hAnsi="Times New Roman" w:cs="Times New Roman"/>
          <w:sz w:val="18"/>
          <w:szCs w:val="18"/>
        </w:rPr>
        <w:t>其他权益工具</w:t>
      </w:r>
      <w:r w:rsidRPr="005A284F">
        <w:rPr>
          <w:rFonts w:ascii="Times New Roman" w:hAnsi="Times New Roman" w:cs="Times New Roman"/>
          <w:sz w:val="18"/>
          <w:szCs w:val="18"/>
        </w:rPr>
        <w:t>”</w:t>
      </w:r>
      <w:r w:rsidRPr="005A284F">
        <w:rPr>
          <w:rFonts w:ascii="Times New Roman" w:hAnsi="Times New Roman" w:cs="Times New Roman"/>
          <w:sz w:val="18"/>
          <w:szCs w:val="18"/>
        </w:rPr>
        <w:t>。发行复合金融工具发生的交易费用，在负债成分和权益成分之间按照各自占总发行价款的比例进行分摊。</w:t>
      </w:r>
    </w:p>
    <w:p w14:paraId="2677135B" w14:textId="77777777" w:rsidR="000309B5" w:rsidRPr="00D15C4E" w:rsidRDefault="00000000" w:rsidP="00D15C4E">
      <w:pPr>
        <w:pStyle w:val="a3"/>
        <w:spacing w:before="0" w:beforeAutospacing="0" w:after="0" w:afterAutospacing="0" w:line="276" w:lineRule="auto"/>
        <w:ind w:firstLineChars="200" w:firstLine="360"/>
        <w:jc w:val="both"/>
        <w:divId w:val="1200970028"/>
        <w:rPr>
          <w:rFonts w:ascii="Times New Roman" w:hAnsi="Times New Roman" w:cs="Times New Roman"/>
          <w:sz w:val="18"/>
          <w:szCs w:val="18"/>
        </w:rPr>
      </w:pPr>
      <w:r w:rsidRPr="005A284F">
        <w:rPr>
          <w:rFonts w:ascii="Times New Roman" w:hAnsi="Times New Roman" w:cs="Times New Roman"/>
          <w:sz w:val="18"/>
          <w:szCs w:val="18"/>
        </w:rPr>
        <w:t>永续债和优先股等的会计处理方法</w:t>
      </w:r>
    </w:p>
    <w:p w14:paraId="412E43E7" w14:textId="77777777" w:rsidR="000309B5" w:rsidRPr="00D15C4E" w:rsidRDefault="00000000" w:rsidP="00D15C4E">
      <w:pPr>
        <w:pStyle w:val="a3"/>
        <w:spacing w:before="0" w:beforeAutospacing="0" w:after="0" w:afterAutospacing="0" w:line="276" w:lineRule="auto"/>
        <w:ind w:firstLineChars="200" w:firstLine="360"/>
        <w:jc w:val="both"/>
        <w:divId w:val="1200970028"/>
        <w:rPr>
          <w:rFonts w:ascii="Times New Roman" w:hAnsi="Times New Roman" w:cs="Times New Roman"/>
          <w:sz w:val="18"/>
          <w:szCs w:val="18"/>
        </w:rPr>
      </w:pPr>
      <w:r w:rsidRPr="005A284F">
        <w:rPr>
          <w:rFonts w:ascii="Times New Roman" w:hAnsi="Times New Roman" w:cs="Times New Roman"/>
          <w:sz w:val="18"/>
          <w:szCs w:val="18"/>
        </w:rPr>
        <w:t>归类为金融负债的永续债和优先股等金融工具，其相关利息、股利（或股息）、利得或损失，以及赎回或再融资产生的利得或损失等，除符合资本化条件的借款费用（参见本附注五、</w:t>
      </w:r>
      <w:r w:rsidRPr="005A284F">
        <w:rPr>
          <w:rFonts w:ascii="Times New Roman" w:hAnsi="Times New Roman" w:cs="Times New Roman"/>
          <w:sz w:val="18"/>
          <w:szCs w:val="18"/>
        </w:rPr>
        <w:t>26“</w:t>
      </w:r>
      <w:r w:rsidRPr="005A284F">
        <w:rPr>
          <w:rFonts w:ascii="Times New Roman" w:hAnsi="Times New Roman" w:cs="Times New Roman"/>
          <w:sz w:val="18"/>
          <w:szCs w:val="18"/>
        </w:rPr>
        <w:t>借款费用</w:t>
      </w:r>
      <w:r w:rsidRPr="005A284F">
        <w:rPr>
          <w:rFonts w:ascii="Times New Roman" w:hAnsi="Times New Roman" w:cs="Times New Roman"/>
          <w:sz w:val="18"/>
          <w:szCs w:val="18"/>
        </w:rPr>
        <w:t>”</w:t>
      </w:r>
      <w:r w:rsidRPr="005A284F">
        <w:rPr>
          <w:rFonts w:ascii="Times New Roman" w:hAnsi="Times New Roman" w:cs="Times New Roman"/>
          <w:sz w:val="18"/>
          <w:szCs w:val="18"/>
        </w:rPr>
        <w:t>）以外，均计入当期损益。</w:t>
      </w:r>
    </w:p>
    <w:p w14:paraId="26EFD773" w14:textId="77777777" w:rsidR="000309B5" w:rsidRPr="00D15C4E" w:rsidRDefault="00000000" w:rsidP="00D15C4E">
      <w:pPr>
        <w:pStyle w:val="a3"/>
        <w:spacing w:before="0" w:beforeAutospacing="0" w:after="0" w:afterAutospacing="0" w:line="276" w:lineRule="auto"/>
        <w:ind w:firstLineChars="200" w:firstLine="360"/>
        <w:jc w:val="both"/>
        <w:divId w:val="1200970028"/>
        <w:rPr>
          <w:rFonts w:ascii="Times New Roman" w:hAnsi="Times New Roman" w:cs="Times New Roman"/>
          <w:sz w:val="18"/>
          <w:szCs w:val="18"/>
        </w:rPr>
      </w:pPr>
      <w:r w:rsidRPr="005A284F">
        <w:rPr>
          <w:rFonts w:ascii="Times New Roman" w:hAnsi="Times New Roman" w:cs="Times New Roman"/>
          <w:sz w:val="18"/>
          <w:szCs w:val="18"/>
        </w:rPr>
        <w:t>归类为权益工具的永续债和优先股等金融工具，其发行（含再融资）、回购、出售或注销时，本集团作为权益的变动处理，相关交易费用亦从权益中扣减。本集团对权益工具持有方的分配作为利润分配处理。</w:t>
      </w:r>
    </w:p>
    <w:p w14:paraId="5A292B25" w14:textId="77777777" w:rsidR="000309B5" w:rsidRPr="00D15C4E" w:rsidRDefault="00000000" w:rsidP="00D15C4E">
      <w:pPr>
        <w:pStyle w:val="a3"/>
        <w:spacing w:before="0" w:beforeAutospacing="0" w:after="0" w:afterAutospacing="0" w:line="276" w:lineRule="auto"/>
        <w:ind w:firstLineChars="200" w:firstLine="360"/>
        <w:jc w:val="both"/>
        <w:divId w:val="1200970028"/>
        <w:rPr>
          <w:rFonts w:ascii="Times New Roman" w:hAnsi="Times New Roman" w:cs="Times New Roman"/>
          <w:sz w:val="18"/>
          <w:szCs w:val="18"/>
        </w:rPr>
      </w:pPr>
      <w:r w:rsidRPr="005A284F">
        <w:rPr>
          <w:rFonts w:ascii="Times New Roman" w:hAnsi="Times New Roman" w:cs="Times New Roman"/>
          <w:sz w:val="18"/>
          <w:szCs w:val="18"/>
        </w:rPr>
        <w:t>本集团不确认权益工具的公允价值变动。</w:t>
      </w:r>
    </w:p>
    <w:p w14:paraId="78691882" w14:textId="77777777" w:rsidR="006C011D" w:rsidRPr="005A284F" w:rsidRDefault="00000000">
      <w:pPr>
        <w:pStyle w:val="3"/>
        <w:spacing w:line="280" w:lineRule="exact"/>
        <w:jc w:val="left"/>
        <w:rPr>
          <w:rFonts w:ascii="Times New Roman" w:hAnsi="Times New Roman" w:cs="Times New Roman"/>
          <w:b/>
          <w:bCs/>
        </w:rPr>
      </w:pPr>
      <w:bookmarkStart w:id="159" w:name="_Toc989048"/>
      <w:r w:rsidRPr="005A284F">
        <w:rPr>
          <w:rFonts w:ascii="Times New Roman" w:hAnsi="Times New Roman" w:cs="Times New Roman"/>
          <w:b/>
          <w:bCs/>
        </w:rPr>
        <w:t>37</w:t>
      </w:r>
      <w:r w:rsidRPr="005A284F">
        <w:rPr>
          <w:rFonts w:ascii="Times New Roman" w:hAnsi="Times New Roman" w:cs="Times New Roman"/>
          <w:b/>
          <w:bCs/>
        </w:rPr>
        <w:t>、收入</w:t>
      </w:r>
      <w:bookmarkEnd w:id="159"/>
    </w:p>
    <w:p w14:paraId="72DE2CE8" w14:textId="77777777" w:rsidR="006C011D" w:rsidRPr="005A284F" w:rsidRDefault="00000000" w:rsidP="00D15C4E">
      <w:pPr>
        <w:pStyle w:val="a3"/>
        <w:spacing w:before="0" w:beforeAutospacing="0" w:after="0" w:afterAutospacing="0" w:line="276" w:lineRule="auto"/>
        <w:ind w:firstLineChars="200" w:firstLine="360"/>
        <w:jc w:val="both"/>
        <w:rPr>
          <w:rFonts w:ascii="Times New Roman" w:hAnsi="Times New Roman" w:cs="Times New Roman"/>
          <w:sz w:val="18"/>
          <w:szCs w:val="18"/>
        </w:rPr>
      </w:pPr>
      <w:r w:rsidRPr="005A284F">
        <w:rPr>
          <w:rFonts w:ascii="Times New Roman" w:hAnsi="Times New Roman" w:cs="Times New Roman"/>
          <w:sz w:val="18"/>
          <w:szCs w:val="18"/>
        </w:rPr>
        <w:t>按照业务类型披露收入确认和计量所采用的会计政策</w:t>
      </w:r>
    </w:p>
    <w:p w14:paraId="506DBFE2" w14:textId="77777777" w:rsidR="000309B5" w:rsidRPr="00D15C4E" w:rsidRDefault="00000000" w:rsidP="00D15C4E">
      <w:pPr>
        <w:pStyle w:val="a3"/>
        <w:spacing w:before="0" w:beforeAutospacing="0" w:after="0" w:afterAutospacing="0" w:line="276" w:lineRule="auto"/>
        <w:ind w:firstLineChars="200" w:firstLine="360"/>
        <w:jc w:val="both"/>
        <w:divId w:val="390731864"/>
        <w:rPr>
          <w:rFonts w:ascii="Times New Roman" w:hAnsi="Times New Roman" w:cs="Times New Roman"/>
          <w:sz w:val="18"/>
          <w:szCs w:val="18"/>
        </w:rPr>
      </w:pPr>
      <w:r w:rsidRPr="005A284F">
        <w:rPr>
          <w:rFonts w:ascii="Times New Roman" w:hAnsi="Times New Roman" w:cs="Times New Roman"/>
          <w:sz w:val="18"/>
          <w:szCs w:val="18"/>
        </w:rPr>
        <w:t>收入，是本集团在日常活动中形成的、会导致股东权益增加的、与股东投入资本无关的经济利益的总流入。本集团与客户之间的合同同时满足下列条件时，在客户取得相关商品（含劳务，下同）控制权时确认收入：合同各方已批准该合同并承诺将履行各自义务；合同明确了合同各方与所转让商品或提供劳务相关的权利和义务；合同有明确的与所转让商品相关的支付条款；合同具有商业实质，即履行该合同将改变本集团未来现金流量的风险、时间分布或金额；本集团因向客户转让商品而有权取得的对价很可能收回。其中，取得相关商品控制权，是指能够主导该商品的使用并从中获得几乎全部的经济利益。</w:t>
      </w:r>
    </w:p>
    <w:p w14:paraId="1D6727D5" w14:textId="77777777" w:rsidR="000309B5" w:rsidRPr="00D15C4E" w:rsidRDefault="00000000" w:rsidP="00D15C4E">
      <w:pPr>
        <w:pStyle w:val="a3"/>
        <w:spacing w:before="0" w:beforeAutospacing="0" w:after="0" w:afterAutospacing="0" w:line="276" w:lineRule="auto"/>
        <w:ind w:firstLineChars="200" w:firstLine="360"/>
        <w:jc w:val="both"/>
        <w:divId w:val="390731864"/>
        <w:rPr>
          <w:rFonts w:ascii="Times New Roman" w:hAnsi="Times New Roman" w:cs="Times New Roman"/>
          <w:sz w:val="18"/>
          <w:szCs w:val="18"/>
        </w:rPr>
      </w:pPr>
      <w:r w:rsidRPr="005A284F">
        <w:rPr>
          <w:rFonts w:ascii="Times New Roman" w:hAnsi="Times New Roman" w:cs="Times New Roman"/>
          <w:sz w:val="18"/>
          <w:szCs w:val="18"/>
        </w:rPr>
        <w:lastRenderedPageBreak/>
        <w:t>在合同开始日，本集团识别合同中存在的各单项履约义务，并将交易价格按照各单项履约义务所承诺商品的单独售价的相对比例分摊至各单项履约义务。在确定交易价格时考虑了可变对价、合同中存在的重大融资成分、非现金对价、应付客户对价等因素的影响。</w:t>
      </w:r>
    </w:p>
    <w:p w14:paraId="196FCAFB" w14:textId="77777777" w:rsidR="000309B5" w:rsidRPr="00D15C4E" w:rsidRDefault="00000000" w:rsidP="00D15C4E">
      <w:pPr>
        <w:pStyle w:val="a3"/>
        <w:spacing w:before="0" w:beforeAutospacing="0" w:after="0" w:afterAutospacing="0" w:line="276" w:lineRule="auto"/>
        <w:ind w:firstLineChars="200" w:firstLine="360"/>
        <w:jc w:val="both"/>
        <w:divId w:val="390731864"/>
        <w:rPr>
          <w:rFonts w:ascii="Times New Roman" w:hAnsi="Times New Roman" w:cs="Times New Roman"/>
          <w:sz w:val="18"/>
          <w:szCs w:val="18"/>
        </w:rPr>
      </w:pPr>
      <w:r w:rsidRPr="005A284F">
        <w:rPr>
          <w:rFonts w:ascii="Times New Roman" w:hAnsi="Times New Roman" w:cs="Times New Roman"/>
          <w:sz w:val="18"/>
          <w:szCs w:val="18"/>
        </w:rPr>
        <w:t>可变对价：</w:t>
      </w:r>
    </w:p>
    <w:p w14:paraId="70CAC64A" w14:textId="77777777" w:rsidR="000309B5" w:rsidRPr="00D15C4E" w:rsidRDefault="00000000" w:rsidP="00D15C4E">
      <w:pPr>
        <w:pStyle w:val="a3"/>
        <w:spacing w:before="0" w:beforeAutospacing="0" w:after="0" w:afterAutospacing="0" w:line="276" w:lineRule="auto"/>
        <w:ind w:firstLineChars="200" w:firstLine="360"/>
        <w:jc w:val="both"/>
        <w:divId w:val="390731864"/>
        <w:rPr>
          <w:rFonts w:ascii="Times New Roman" w:hAnsi="Times New Roman" w:cs="Times New Roman"/>
          <w:sz w:val="18"/>
          <w:szCs w:val="18"/>
        </w:rPr>
      </w:pPr>
      <w:r w:rsidRPr="005A284F">
        <w:rPr>
          <w:rFonts w:ascii="Times New Roman" w:hAnsi="Times New Roman" w:cs="Times New Roman"/>
          <w:sz w:val="18"/>
          <w:szCs w:val="18"/>
        </w:rPr>
        <w:t>本集团部分与客户之间的合同存在销售返利的安排，形成可变对价。本集团按照期望值或最有可能发生金额确定可变对价的最佳估计数，但包含可变对价的交易价格不超过在相关不确定性消除时累计已确认收入极可能不会发生重大转回的金额。</w:t>
      </w:r>
    </w:p>
    <w:p w14:paraId="2E25ED2F" w14:textId="77777777" w:rsidR="000309B5" w:rsidRPr="00D15C4E" w:rsidRDefault="00000000" w:rsidP="00D15C4E">
      <w:pPr>
        <w:pStyle w:val="a3"/>
        <w:spacing w:before="0" w:beforeAutospacing="0" w:after="0" w:afterAutospacing="0" w:line="276" w:lineRule="auto"/>
        <w:ind w:firstLineChars="200" w:firstLine="360"/>
        <w:jc w:val="both"/>
        <w:divId w:val="390731864"/>
        <w:rPr>
          <w:rFonts w:ascii="Times New Roman" w:hAnsi="Times New Roman" w:cs="Times New Roman"/>
          <w:sz w:val="18"/>
          <w:szCs w:val="18"/>
        </w:rPr>
      </w:pPr>
      <w:r w:rsidRPr="005A284F">
        <w:rPr>
          <w:rFonts w:ascii="Times New Roman" w:hAnsi="Times New Roman" w:cs="Times New Roman"/>
          <w:sz w:val="18"/>
          <w:szCs w:val="18"/>
        </w:rPr>
        <w:t>应付客户对价：</w:t>
      </w:r>
    </w:p>
    <w:p w14:paraId="0008F7EC" w14:textId="77777777" w:rsidR="000309B5" w:rsidRPr="00D15C4E" w:rsidRDefault="00000000" w:rsidP="00D15C4E">
      <w:pPr>
        <w:pStyle w:val="a3"/>
        <w:spacing w:before="0" w:beforeAutospacing="0" w:after="0" w:afterAutospacing="0" w:line="276" w:lineRule="auto"/>
        <w:ind w:firstLineChars="200" w:firstLine="360"/>
        <w:jc w:val="both"/>
        <w:divId w:val="390731864"/>
        <w:rPr>
          <w:rFonts w:ascii="Times New Roman" w:hAnsi="Times New Roman" w:cs="Times New Roman"/>
          <w:sz w:val="18"/>
          <w:szCs w:val="18"/>
        </w:rPr>
      </w:pPr>
      <w:r w:rsidRPr="005A284F">
        <w:rPr>
          <w:rFonts w:ascii="Times New Roman" w:hAnsi="Times New Roman" w:cs="Times New Roman"/>
          <w:sz w:val="18"/>
          <w:szCs w:val="18"/>
        </w:rPr>
        <w:t>对于应付客户对价，本集团将该应付客户对价冲减交易价格，并在确认相关收入与支付（或承诺支付）客户对价二者孰晚的时点冲减当期收入，除非该应付对价是为了向客户取得其他可明确区分商品或服务。</w:t>
      </w:r>
    </w:p>
    <w:p w14:paraId="731BD606" w14:textId="77777777" w:rsidR="000309B5" w:rsidRPr="00D15C4E" w:rsidRDefault="00000000" w:rsidP="00D15C4E">
      <w:pPr>
        <w:pStyle w:val="a3"/>
        <w:spacing w:before="0" w:beforeAutospacing="0" w:after="0" w:afterAutospacing="0" w:line="276" w:lineRule="auto"/>
        <w:ind w:firstLineChars="200" w:firstLine="360"/>
        <w:jc w:val="both"/>
        <w:divId w:val="390731864"/>
        <w:rPr>
          <w:rFonts w:ascii="Times New Roman" w:hAnsi="Times New Roman" w:cs="Times New Roman"/>
          <w:sz w:val="18"/>
          <w:szCs w:val="18"/>
        </w:rPr>
      </w:pPr>
      <w:r w:rsidRPr="005A284F">
        <w:rPr>
          <w:rFonts w:ascii="Times New Roman" w:hAnsi="Times New Roman" w:cs="Times New Roman"/>
          <w:sz w:val="18"/>
          <w:szCs w:val="18"/>
        </w:rPr>
        <w:t>对于合同中的每个单项履约义务，如果满足下列条件之一的，本集团在相关履约时段内按照履约进度将分摊至该单项履约义务的交易价格确认为收入：客户在本集团履约的同时即取得并消耗本集团履约所带来的经济利益；客户能够控制本集团履约过程中在建的商品；本集团履约过程中所产出的商品具有不可替代用途，且本集团在整个合同期间内有权就累计至今已完成的履约部分收取款项。履约进度根据所转让商品的性质采用投入法或产出法确定，当履约进度不能合理确定时，本集团已经发生的成本预计能够得到补偿的，按照已经发生的成本金额确认收入，直到履约进度能够合理确定为止。</w:t>
      </w:r>
    </w:p>
    <w:p w14:paraId="0DEE945A" w14:textId="77777777" w:rsidR="000309B5" w:rsidRPr="00D15C4E" w:rsidRDefault="00000000" w:rsidP="00D15C4E">
      <w:pPr>
        <w:pStyle w:val="a3"/>
        <w:spacing w:before="0" w:beforeAutospacing="0" w:after="0" w:afterAutospacing="0" w:line="276" w:lineRule="auto"/>
        <w:ind w:firstLineChars="200" w:firstLine="360"/>
        <w:jc w:val="both"/>
        <w:divId w:val="390731864"/>
        <w:rPr>
          <w:rFonts w:ascii="Times New Roman" w:hAnsi="Times New Roman" w:cs="Times New Roman"/>
          <w:sz w:val="18"/>
          <w:szCs w:val="18"/>
        </w:rPr>
      </w:pPr>
      <w:r w:rsidRPr="005A284F">
        <w:rPr>
          <w:rFonts w:ascii="Times New Roman" w:hAnsi="Times New Roman" w:cs="Times New Roman"/>
          <w:sz w:val="18"/>
          <w:szCs w:val="18"/>
        </w:rPr>
        <w:t>如果不满足上述条件之一，则本集团在客户取得相关商品控制权的时点按照分摊至该单项履约义务的交易价格确认收入。在判断客户是否已取得商品控制权时，本集团考虑下列迹象：企业就该商品享有现时收款权利，即客户就该商品负有现时付款义务；企业已将该商品的法定所有权转移给客户，即客户已拥有该商品的法定所有权；企业已将该商品实物转移给客户，即客户已实物占有该商品；企业已将该商品所有权上的主要风险和报酬转移给客户，即客户已取得该商品所有权上的主要风险和报酬；客户已接受该商品；其他表明客户已取得商品控制权的迹象。</w:t>
      </w:r>
    </w:p>
    <w:p w14:paraId="14BDFEAA" w14:textId="77777777" w:rsidR="000309B5" w:rsidRPr="00D15C4E" w:rsidRDefault="00000000" w:rsidP="00D15C4E">
      <w:pPr>
        <w:pStyle w:val="a3"/>
        <w:spacing w:before="0" w:beforeAutospacing="0" w:after="0" w:afterAutospacing="0" w:line="276" w:lineRule="auto"/>
        <w:ind w:firstLineChars="200" w:firstLine="360"/>
        <w:jc w:val="both"/>
        <w:divId w:val="390731864"/>
        <w:rPr>
          <w:rFonts w:ascii="Times New Roman" w:hAnsi="Times New Roman" w:cs="Times New Roman"/>
          <w:sz w:val="18"/>
          <w:szCs w:val="18"/>
        </w:rPr>
      </w:pPr>
      <w:r w:rsidRPr="005A284F">
        <w:rPr>
          <w:rFonts w:ascii="Times New Roman" w:hAnsi="Times New Roman" w:cs="Times New Roman"/>
          <w:sz w:val="18"/>
          <w:szCs w:val="18"/>
        </w:rPr>
        <w:t>本集团销售商品收入按客户类别可细分为自提货现销、加盟店、批发商、商超客户、食品加工企业等多种方式。销售收入的确认方式及结算方式因客户类别而不同，具体如下：</w:t>
      </w:r>
    </w:p>
    <w:p w14:paraId="57DF7B8D" w14:textId="77777777" w:rsidR="000309B5" w:rsidRPr="00D15C4E" w:rsidRDefault="00000000" w:rsidP="00D15C4E">
      <w:pPr>
        <w:pStyle w:val="a3"/>
        <w:spacing w:before="0" w:beforeAutospacing="0" w:after="0" w:afterAutospacing="0" w:line="276" w:lineRule="auto"/>
        <w:ind w:firstLineChars="200" w:firstLine="360"/>
        <w:jc w:val="both"/>
        <w:divId w:val="390731864"/>
        <w:rPr>
          <w:rFonts w:ascii="Times New Roman" w:hAnsi="Times New Roman" w:cs="Times New Roman"/>
          <w:sz w:val="18"/>
          <w:szCs w:val="18"/>
        </w:rPr>
      </w:pPr>
      <w:r w:rsidRPr="005A284F">
        <w:rPr>
          <w:rFonts w:ascii="Times New Roman" w:hAnsi="Times New Roman" w:cs="Times New Roman"/>
          <w:sz w:val="18"/>
          <w:szCs w:val="18"/>
        </w:rPr>
        <w:t>（</w:t>
      </w:r>
      <w:r w:rsidRPr="005A284F">
        <w:rPr>
          <w:rFonts w:ascii="Times New Roman" w:hAnsi="Times New Roman" w:cs="Times New Roman"/>
          <w:sz w:val="18"/>
          <w:szCs w:val="18"/>
        </w:rPr>
        <w:t>1</w:t>
      </w:r>
      <w:r w:rsidRPr="005A284F">
        <w:rPr>
          <w:rFonts w:ascii="Times New Roman" w:hAnsi="Times New Roman" w:cs="Times New Roman"/>
          <w:sz w:val="18"/>
          <w:szCs w:val="18"/>
        </w:rPr>
        <w:t>）自提货现销</w:t>
      </w:r>
    </w:p>
    <w:p w14:paraId="3393A81D" w14:textId="77777777" w:rsidR="000309B5" w:rsidRPr="00D15C4E" w:rsidRDefault="00000000" w:rsidP="00D15C4E">
      <w:pPr>
        <w:pStyle w:val="a3"/>
        <w:spacing w:before="0" w:beforeAutospacing="0" w:after="0" w:afterAutospacing="0" w:line="276" w:lineRule="auto"/>
        <w:ind w:firstLineChars="200" w:firstLine="360"/>
        <w:jc w:val="both"/>
        <w:divId w:val="390731864"/>
        <w:rPr>
          <w:rFonts w:ascii="Times New Roman" w:hAnsi="Times New Roman" w:cs="Times New Roman"/>
          <w:sz w:val="18"/>
          <w:szCs w:val="18"/>
        </w:rPr>
      </w:pPr>
      <w:r w:rsidRPr="005A284F">
        <w:rPr>
          <w:rFonts w:ascii="Times New Roman" w:hAnsi="Times New Roman" w:cs="Times New Roman"/>
          <w:sz w:val="18"/>
          <w:szCs w:val="18"/>
        </w:rPr>
        <w:t>自提货现销模式下，客户自行取货，现款提货。公司于收款发货后商品的控制权转移，确认销售收入，结算方式为现款现货结算或预收款结算。</w:t>
      </w:r>
    </w:p>
    <w:p w14:paraId="42A53CD9" w14:textId="77777777" w:rsidR="000309B5" w:rsidRPr="00D15C4E" w:rsidRDefault="00000000" w:rsidP="00D15C4E">
      <w:pPr>
        <w:pStyle w:val="a3"/>
        <w:spacing w:before="0" w:beforeAutospacing="0" w:after="0" w:afterAutospacing="0" w:line="276" w:lineRule="auto"/>
        <w:ind w:firstLineChars="200" w:firstLine="360"/>
        <w:jc w:val="both"/>
        <w:divId w:val="390731864"/>
        <w:rPr>
          <w:rFonts w:ascii="Times New Roman" w:hAnsi="Times New Roman" w:cs="Times New Roman"/>
          <w:sz w:val="18"/>
          <w:szCs w:val="18"/>
        </w:rPr>
      </w:pPr>
      <w:r w:rsidRPr="005A284F">
        <w:rPr>
          <w:rFonts w:ascii="Times New Roman" w:hAnsi="Times New Roman" w:cs="Times New Roman"/>
          <w:sz w:val="18"/>
          <w:szCs w:val="18"/>
        </w:rPr>
        <w:t>（</w:t>
      </w:r>
      <w:r w:rsidRPr="005A284F">
        <w:rPr>
          <w:rFonts w:ascii="Times New Roman" w:hAnsi="Times New Roman" w:cs="Times New Roman"/>
          <w:sz w:val="18"/>
          <w:szCs w:val="18"/>
        </w:rPr>
        <w:t>2</w:t>
      </w:r>
      <w:r w:rsidRPr="005A284F">
        <w:rPr>
          <w:rFonts w:ascii="Times New Roman" w:hAnsi="Times New Roman" w:cs="Times New Roman"/>
          <w:sz w:val="18"/>
          <w:szCs w:val="18"/>
        </w:rPr>
        <w:t>）加盟店销售</w:t>
      </w:r>
    </w:p>
    <w:p w14:paraId="581C2247" w14:textId="77777777" w:rsidR="000309B5" w:rsidRPr="00D15C4E" w:rsidRDefault="00000000" w:rsidP="00D15C4E">
      <w:pPr>
        <w:pStyle w:val="a3"/>
        <w:spacing w:before="0" w:beforeAutospacing="0" w:after="0" w:afterAutospacing="0" w:line="276" w:lineRule="auto"/>
        <w:ind w:firstLineChars="200" w:firstLine="360"/>
        <w:jc w:val="both"/>
        <w:divId w:val="390731864"/>
        <w:rPr>
          <w:rFonts w:ascii="Times New Roman" w:hAnsi="Times New Roman" w:cs="Times New Roman"/>
          <w:sz w:val="18"/>
          <w:szCs w:val="18"/>
        </w:rPr>
      </w:pPr>
      <w:r w:rsidRPr="005A284F">
        <w:rPr>
          <w:rFonts w:ascii="Times New Roman" w:hAnsi="Times New Roman" w:cs="Times New Roman"/>
          <w:sz w:val="18"/>
          <w:szCs w:val="18"/>
        </w:rPr>
        <w:t>加盟店销售模式下，公司根据区域加盟经销商的订单备货，至少提前一天全额预收货款，货物到达并经区域加盟经销商验收后，商品的控制权已发生转移，公司根据当日出库金额全额确认销售收入。</w:t>
      </w:r>
    </w:p>
    <w:p w14:paraId="4A5BE8A4" w14:textId="77777777" w:rsidR="000309B5" w:rsidRPr="00D15C4E" w:rsidRDefault="00000000" w:rsidP="00D15C4E">
      <w:pPr>
        <w:pStyle w:val="a3"/>
        <w:spacing w:before="0" w:beforeAutospacing="0" w:after="0" w:afterAutospacing="0" w:line="276" w:lineRule="auto"/>
        <w:ind w:firstLineChars="200" w:firstLine="360"/>
        <w:jc w:val="both"/>
        <w:divId w:val="390731864"/>
        <w:rPr>
          <w:rFonts w:ascii="Times New Roman" w:hAnsi="Times New Roman" w:cs="Times New Roman"/>
          <w:sz w:val="18"/>
          <w:szCs w:val="18"/>
        </w:rPr>
      </w:pPr>
      <w:r w:rsidRPr="005A284F">
        <w:rPr>
          <w:rFonts w:ascii="Times New Roman" w:hAnsi="Times New Roman" w:cs="Times New Roman"/>
          <w:sz w:val="18"/>
          <w:szCs w:val="18"/>
        </w:rPr>
        <w:t>（</w:t>
      </w:r>
      <w:r w:rsidRPr="005A284F">
        <w:rPr>
          <w:rFonts w:ascii="Times New Roman" w:hAnsi="Times New Roman" w:cs="Times New Roman"/>
          <w:sz w:val="18"/>
          <w:szCs w:val="18"/>
        </w:rPr>
        <w:t>3</w:t>
      </w:r>
      <w:r w:rsidRPr="005A284F">
        <w:rPr>
          <w:rFonts w:ascii="Times New Roman" w:hAnsi="Times New Roman" w:cs="Times New Roman"/>
          <w:sz w:val="18"/>
          <w:szCs w:val="18"/>
        </w:rPr>
        <w:t>）批发商销售</w:t>
      </w:r>
    </w:p>
    <w:p w14:paraId="42F8B62B" w14:textId="77777777" w:rsidR="000309B5" w:rsidRPr="00D15C4E" w:rsidRDefault="00000000" w:rsidP="00D15C4E">
      <w:pPr>
        <w:pStyle w:val="a3"/>
        <w:spacing w:before="0" w:beforeAutospacing="0" w:after="0" w:afterAutospacing="0" w:line="276" w:lineRule="auto"/>
        <w:ind w:firstLineChars="200" w:firstLine="360"/>
        <w:jc w:val="both"/>
        <w:divId w:val="390731864"/>
        <w:rPr>
          <w:rFonts w:ascii="Times New Roman" w:hAnsi="Times New Roman" w:cs="Times New Roman"/>
          <w:sz w:val="18"/>
          <w:szCs w:val="18"/>
        </w:rPr>
      </w:pPr>
      <w:r w:rsidRPr="005A284F">
        <w:rPr>
          <w:rFonts w:ascii="Times New Roman" w:hAnsi="Times New Roman" w:cs="Times New Roman"/>
          <w:sz w:val="18"/>
          <w:szCs w:val="18"/>
        </w:rPr>
        <w:t>批发商销售模式下，公司与批发商签订合同，公司销售部收集并汇总各批发商的订单，然后向车间下达备货指令进行备货，批发商一般在发货前一天全额预付货款。由公司冷藏车送到批发商指定地点，批发商收货并签字确认后，商品的控制权已发生转移，公司确认销售收入。</w:t>
      </w:r>
    </w:p>
    <w:p w14:paraId="5A715A40" w14:textId="77777777" w:rsidR="000309B5" w:rsidRPr="00D15C4E" w:rsidRDefault="00000000" w:rsidP="00D15C4E">
      <w:pPr>
        <w:pStyle w:val="a3"/>
        <w:spacing w:before="0" w:beforeAutospacing="0" w:after="0" w:afterAutospacing="0" w:line="276" w:lineRule="auto"/>
        <w:ind w:firstLineChars="200" w:firstLine="360"/>
        <w:jc w:val="both"/>
        <w:divId w:val="390731864"/>
        <w:rPr>
          <w:rFonts w:ascii="Times New Roman" w:hAnsi="Times New Roman" w:cs="Times New Roman"/>
          <w:sz w:val="18"/>
          <w:szCs w:val="18"/>
        </w:rPr>
      </w:pPr>
      <w:r w:rsidRPr="005A284F">
        <w:rPr>
          <w:rFonts w:ascii="Times New Roman" w:hAnsi="Times New Roman" w:cs="Times New Roman"/>
          <w:sz w:val="18"/>
          <w:szCs w:val="18"/>
        </w:rPr>
        <w:t>该销售模式的结算方式一般为全额预收款结算。在销售旺季或当个别销售量大的批发商遇到流动资金困难时，公司允许批发商本人按时间段提交个人赊销申请，根据审批权限经公司领导批准在规定时间和规定金额内予以赊销。</w:t>
      </w:r>
    </w:p>
    <w:p w14:paraId="49A01FCB" w14:textId="77777777" w:rsidR="000309B5" w:rsidRPr="00D15C4E" w:rsidRDefault="00000000" w:rsidP="00D15C4E">
      <w:pPr>
        <w:pStyle w:val="a3"/>
        <w:spacing w:before="0" w:beforeAutospacing="0" w:after="0" w:afterAutospacing="0" w:line="276" w:lineRule="auto"/>
        <w:ind w:firstLineChars="200" w:firstLine="360"/>
        <w:jc w:val="both"/>
        <w:divId w:val="390731864"/>
        <w:rPr>
          <w:rFonts w:ascii="Times New Roman" w:hAnsi="Times New Roman" w:cs="Times New Roman"/>
          <w:sz w:val="18"/>
          <w:szCs w:val="18"/>
        </w:rPr>
      </w:pPr>
      <w:r w:rsidRPr="005A284F">
        <w:rPr>
          <w:rFonts w:ascii="Times New Roman" w:hAnsi="Times New Roman" w:cs="Times New Roman"/>
          <w:sz w:val="18"/>
          <w:szCs w:val="18"/>
        </w:rPr>
        <w:t>（</w:t>
      </w:r>
      <w:r w:rsidRPr="005A284F">
        <w:rPr>
          <w:rFonts w:ascii="Times New Roman" w:hAnsi="Times New Roman" w:cs="Times New Roman"/>
          <w:sz w:val="18"/>
          <w:szCs w:val="18"/>
        </w:rPr>
        <w:t>4</w:t>
      </w:r>
      <w:r w:rsidRPr="005A284F">
        <w:rPr>
          <w:rFonts w:ascii="Times New Roman" w:hAnsi="Times New Roman" w:cs="Times New Roman"/>
          <w:sz w:val="18"/>
          <w:szCs w:val="18"/>
        </w:rPr>
        <w:t>）商场超市销售</w:t>
      </w:r>
    </w:p>
    <w:p w14:paraId="1EF080B8" w14:textId="77777777" w:rsidR="000309B5" w:rsidRPr="00D15C4E" w:rsidRDefault="00000000" w:rsidP="00D15C4E">
      <w:pPr>
        <w:pStyle w:val="a3"/>
        <w:spacing w:before="0" w:beforeAutospacing="0" w:after="0" w:afterAutospacing="0" w:line="276" w:lineRule="auto"/>
        <w:ind w:firstLineChars="200" w:firstLine="360"/>
        <w:jc w:val="both"/>
        <w:divId w:val="390731864"/>
        <w:rPr>
          <w:rFonts w:ascii="Times New Roman" w:hAnsi="Times New Roman" w:cs="Times New Roman"/>
          <w:sz w:val="18"/>
          <w:szCs w:val="18"/>
        </w:rPr>
      </w:pPr>
      <w:r w:rsidRPr="005A284F">
        <w:rPr>
          <w:rFonts w:ascii="Times New Roman" w:hAnsi="Times New Roman" w:cs="Times New Roman"/>
          <w:sz w:val="18"/>
          <w:szCs w:val="18"/>
        </w:rPr>
        <w:t>商场超市模式下，公司直接与商超签订销售合同。公司根据订单向商超发货，在对方收货并签字确认后，商品的控制权已发生转移，公司确认销售收入，按合同账期定期与商超结算。该销售模式的结算方式为按合同账期定期结算。</w:t>
      </w:r>
    </w:p>
    <w:p w14:paraId="0B86E1BF" w14:textId="77777777" w:rsidR="000309B5" w:rsidRPr="00D15C4E" w:rsidRDefault="00000000" w:rsidP="00D15C4E">
      <w:pPr>
        <w:pStyle w:val="a3"/>
        <w:spacing w:before="0" w:beforeAutospacing="0" w:after="0" w:afterAutospacing="0" w:line="276" w:lineRule="auto"/>
        <w:ind w:firstLineChars="200" w:firstLine="360"/>
        <w:jc w:val="both"/>
        <w:divId w:val="390731864"/>
        <w:rPr>
          <w:rFonts w:ascii="Times New Roman" w:hAnsi="Times New Roman" w:cs="Times New Roman"/>
          <w:sz w:val="18"/>
          <w:szCs w:val="18"/>
        </w:rPr>
      </w:pPr>
      <w:r w:rsidRPr="005A284F">
        <w:rPr>
          <w:rFonts w:ascii="Times New Roman" w:hAnsi="Times New Roman" w:cs="Times New Roman"/>
          <w:sz w:val="18"/>
          <w:szCs w:val="18"/>
        </w:rPr>
        <w:t>（</w:t>
      </w:r>
      <w:r w:rsidRPr="005A284F">
        <w:rPr>
          <w:rFonts w:ascii="Times New Roman" w:hAnsi="Times New Roman" w:cs="Times New Roman"/>
          <w:sz w:val="18"/>
          <w:szCs w:val="18"/>
        </w:rPr>
        <w:t>5</w:t>
      </w:r>
      <w:r w:rsidRPr="005A284F">
        <w:rPr>
          <w:rFonts w:ascii="Times New Roman" w:hAnsi="Times New Roman" w:cs="Times New Roman"/>
          <w:sz w:val="18"/>
          <w:szCs w:val="18"/>
        </w:rPr>
        <w:t>）食品加工企业</w:t>
      </w:r>
    </w:p>
    <w:p w14:paraId="508F1A20" w14:textId="77777777" w:rsidR="000309B5" w:rsidRPr="00D15C4E" w:rsidRDefault="00000000" w:rsidP="00D15C4E">
      <w:pPr>
        <w:pStyle w:val="a3"/>
        <w:spacing w:before="0" w:beforeAutospacing="0" w:after="0" w:afterAutospacing="0" w:line="276" w:lineRule="auto"/>
        <w:ind w:firstLineChars="200" w:firstLine="360"/>
        <w:jc w:val="both"/>
        <w:divId w:val="390731864"/>
        <w:rPr>
          <w:rFonts w:ascii="Times New Roman" w:hAnsi="Times New Roman" w:cs="Times New Roman"/>
          <w:sz w:val="18"/>
          <w:szCs w:val="18"/>
        </w:rPr>
      </w:pPr>
      <w:r w:rsidRPr="005A284F">
        <w:rPr>
          <w:rFonts w:ascii="Times New Roman" w:hAnsi="Times New Roman" w:cs="Times New Roman"/>
          <w:sz w:val="18"/>
          <w:szCs w:val="18"/>
        </w:rPr>
        <w:lastRenderedPageBreak/>
        <w:t>对信誉较好的食品加工企业，根据客户订单发货，在发货并取得对方的收货确认后，商品的控制权已发生转移，确认销售收入，按合同账期收款，结算方式为按合同约定账期结算。对信誉一般的食品加工企业结算方式为现款现货或预收货款结算。</w:t>
      </w:r>
    </w:p>
    <w:p w14:paraId="1CEA313E" w14:textId="77777777" w:rsidR="006C011D" w:rsidRPr="005A284F" w:rsidRDefault="00000000" w:rsidP="00D15C4E">
      <w:pPr>
        <w:pStyle w:val="a3"/>
        <w:spacing w:before="0" w:beforeAutospacing="0" w:after="0" w:afterAutospacing="0" w:line="276" w:lineRule="auto"/>
        <w:ind w:firstLineChars="200" w:firstLine="360"/>
        <w:jc w:val="both"/>
        <w:rPr>
          <w:rFonts w:ascii="Times New Roman" w:hAnsi="Times New Roman" w:cs="Times New Roman"/>
          <w:sz w:val="18"/>
          <w:szCs w:val="18"/>
        </w:rPr>
      </w:pPr>
      <w:r w:rsidRPr="005A284F">
        <w:rPr>
          <w:rFonts w:ascii="Times New Roman" w:hAnsi="Times New Roman" w:cs="Times New Roman"/>
          <w:sz w:val="18"/>
          <w:szCs w:val="18"/>
        </w:rPr>
        <w:t>同类业务采用不同经营模式涉及不同收入确认方式及计量方法的情况</w:t>
      </w:r>
    </w:p>
    <w:p w14:paraId="5F6FD56A" w14:textId="77777777" w:rsidR="000309B5" w:rsidRPr="005A284F" w:rsidRDefault="00000000" w:rsidP="00D15C4E">
      <w:pPr>
        <w:pStyle w:val="a3"/>
        <w:spacing w:before="0" w:beforeAutospacing="0" w:after="0" w:afterAutospacing="0" w:line="276" w:lineRule="auto"/>
        <w:ind w:firstLineChars="200" w:firstLine="360"/>
        <w:jc w:val="both"/>
        <w:divId w:val="694885159"/>
        <w:rPr>
          <w:rFonts w:ascii="Times New Roman" w:hAnsi="Times New Roman" w:cs="Times New Roman"/>
          <w:sz w:val="18"/>
          <w:szCs w:val="18"/>
        </w:rPr>
      </w:pPr>
      <w:r w:rsidRPr="005A284F">
        <w:rPr>
          <w:rFonts w:ascii="Times New Roman" w:hAnsi="Times New Roman" w:cs="Times New Roman"/>
          <w:sz w:val="18"/>
          <w:szCs w:val="18"/>
        </w:rPr>
        <w:t>无</w:t>
      </w:r>
    </w:p>
    <w:p w14:paraId="605B1EB2" w14:textId="77777777" w:rsidR="006C011D" w:rsidRPr="005A284F" w:rsidRDefault="00000000">
      <w:pPr>
        <w:pStyle w:val="3"/>
        <w:spacing w:line="280" w:lineRule="exact"/>
        <w:jc w:val="left"/>
        <w:rPr>
          <w:rFonts w:ascii="Times New Roman" w:hAnsi="Times New Roman" w:cs="Times New Roman"/>
          <w:b/>
          <w:bCs/>
        </w:rPr>
      </w:pPr>
      <w:bookmarkStart w:id="160" w:name="_Toc989049"/>
      <w:r w:rsidRPr="005A284F">
        <w:rPr>
          <w:rFonts w:ascii="Times New Roman" w:hAnsi="Times New Roman" w:cs="Times New Roman"/>
          <w:b/>
          <w:bCs/>
        </w:rPr>
        <w:t>38</w:t>
      </w:r>
      <w:r w:rsidRPr="005A284F">
        <w:rPr>
          <w:rFonts w:ascii="Times New Roman" w:hAnsi="Times New Roman" w:cs="Times New Roman"/>
          <w:b/>
          <w:bCs/>
        </w:rPr>
        <w:t>、合同成本</w:t>
      </w:r>
      <w:bookmarkEnd w:id="160"/>
    </w:p>
    <w:p w14:paraId="22B56EAE" w14:textId="77777777" w:rsidR="000309B5" w:rsidRPr="00D15C4E" w:rsidRDefault="00000000" w:rsidP="00D15C4E">
      <w:pPr>
        <w:pStyle w:val="a3"/>
        <w:spacing w:before="0" w:beforeAutospacing="0" w:after="0" w:afterAutospacing="0" w:line="276" w:lineRule="auto"/>
        <w:ind w:firstLineChars="200" w:firstLine="360"/>
        <w:jc w:val="both"/>
        <w:divId w:val="1192837858"/>
        <w:rPr>
          <w:rFonts w:ascii="Times New Roman" w:hAnsi="Times New Roman" w:cs="Times New Roman"/>
          <w:sz w:val="18"/>
          <w:szCs w:val="18"/>
        </w:rPr>
      </w:pPr>
      <w:r w:rsidRPr="005A284F">
        <w:rPr>
          <w:rFonts w:ascii="Times New Roman" w:hAnsi="Times New Roman" w:cs="Times New Roman"/>
          <w:sz w:val="18"/>
          <w:szCs w:val="18"/>
        </w:rPr>
        <w:t>本集团为取得合同发生的增量成本预期能够收回的，作为合同取得成本确认为一项资产。但是，如果该资产的摊销期限不超过一年，则在发生时计入当期损益。</w:t>
      </w:r>
    </w:p>
    <w:p w14:paraId="2563BEC9" w14:textId="77777777" w:rsidR="000309B5" w:rsidRPr="00D15C4E" w:rsidRDefault="00000000" w:rsidP="00D15C4E">
      <w:pPr>
        <w:pStyle w:val="a3"/>
        <w:spacing w:before="0" w:beforeAutospacing="0" w:after="0" w:afterAutospacing="0" w:line="276" w:lineRule="auto"/>
        <w:ind w:firstLineChars="200" w:firstLine="360"/>
        <w:jc w:val="both"/>
        <w:divId w:val="1192837858"/>
        <w:rPr>
          <w:rFonts w:ascii="Times New Roman" w:hAnsi="Times New Roman" w:cs="Times New Roman"/>
          <w:sz w:val="18"/>
          <w:szCs w:val="18"/>
        </w:rPr>
      </w:pPr>
      <w:r w:rsidRPr="005A284F">
        <w:rPr>
          <w:rFonts w:ascii="Times New Roman" w:hAnsi="Times New Roman" w:cs="Times New Roman"/>
          <w:sz w:val="18"/>
          <w:szCs w:val="18"/>
        </w:rPr>
        <w:t>为履行合同发生的成本不属于《企业会计准则第</w:t>
      </w:r>
      <w:r w:rsidRPr="005A284F">
        <w:rPr>
          <w:rFonts w:ascii="Times New Roman" w:hAnsi="Times New Roman" w:cs="Times New Roman"/>
          <w:sz w:val="18"/>
          <w:szCs w:val="18"/>
        </w:rPr>
        <w:t>14</w:t>
      </w:r>
      <w:r w:rsidRPr="005A284F">
        <w:rPr>
          <w:rFonts w:ascii="Times New Roman" w:hAnsi="Times New Roman" w:cs="Times New Roman"/>
          <w:sz w:val="18"/>
          <w:szCs w:val="18"/>
        </w:rPr>
        <w:t>号</w:t>
      </w:r>
      <w:r w:rsidRPr="005A284F">
        <w:rPr>
          <w:rFonts w:ascii="Times New Roman" w:hAnsi="Times New Roman" w:cs="Times New Roman"/>
          <w:sz w:val="18"/>
          <w:szCs w:val="18"/>
        </w:rPr>
        <w:t>——</w:t>
      </w:r>
      <w:r w:rsidRPr="005A284F">
        <w:rPr>
          <w:rFonts w:ascii="Times New Roman" w:hAnsi="Times New Roman" w:cs="Times New Roman"/>
          <w:sz w:val="18"/>
          <w:szCs w:val="18"/>
        </w:rPr>
        <w:t>收入（</w:t>
      </w:r>
      <w:r w:rsidRPr="005A284F">
        <w:rPr>
          <w:rFonts w:ascii="Times New Roman" w:hAnsi="Times New Roman" w:cs="Times New Roman"/>
          <w:sz w:val="18"/>
          <w:szCs w:val="18"/>
        </w:rPr>
        <w:t>2017</w:t>
      </w:r>
      <w:r w:rsidRPr="005A284F">
        <w:rPr>
          <w:rFonts w:ascii="Times New Roman" w:hAnsi="Times New Roman" w:cs="Times New Roman"/>
          <w:sz w:val="18"/>
          <w:szCs w:val="18"/>
        </w:rPr>
        <w:t>年修订）》之外的其他企业会计准则规范范围且同时满足下列条件的，作为合同履约成本确认为一项资产：</w:t>
      </w:r>
      <w:r w:rsidRPr="00D15C4E">
        <w:rPr>
          <w:rFonts w:ascii="Cambria Math" w:hAnsi="Cambria Math" w:cs="Cambria Math"/>
          <w:sz w:val="18"/>
          <w:szCs w:val="18"/>
        </w:rPr>
        <w:t>①</w:t>
      </w:r>
      <w:r w:rsidRPr="005A284F">
        <w:rPr>
          <w:rFonts w:ascii="Times New Roman" w:hAnsi="Times New Roman" w:cs="Times New Roman"/>
          <w:sz w:val="18"/>
          <w:szCs w:val="18"/>
        </w:rPr>
        <w:t>该成本与一份当前或预期取得的合同直接相关，包括直接人工、直接材料、制造费用（或类似费用）、明确由客户承担的成本以及仅因该合同而发生的其他成本；</w:t>
      </w:r>
      <w:r w:rsidRPr="00D15C4E">
        <w:rPr>
          <w:rFonts w:ascii="Cambria Math" w:hAnsi="Cambria Math" w:cs="Cambria Math"/>
          <w:sz w:val="18"/>
          <w:szCs w:val="18"/>
        </w:rPr>
        <w:t>②</w:t>
      </w:r>
      <w:r w:rsidRPr="005A284F">
        <w:rPr>
          <w:rFonts w:ascii="Times New Roman" w:hAnsi="Times New Roman" w:cs="Times New Roman"/>
          <w:sz w:val="18"/>
          <w:szCs w:val="18"/>
        </w:rPr>
        <w:t>该成本增加了本集团未来用于履行履约义务的资源；</w:t>
      </w:r>
      <w:r w:rsidRPr="00D15C4E">
        <w:rPr>
          <w:rFonts w:ascii="Cambria Math" w:hAnsi="Cambria Math" w:cs="Cambria Math"/>
          <w:sz w:val="18"/>
          <w:szCs w:val="18"/>
        </w:rPr>
        <w:t>③</w:t>
      </w:r>
      <w:r w:rsidRPr="005A284F">
        <w:rPr>
          <w:rFonts w:ascii="Times New Roman" w:hAnsi="Times New Roman" w:cs="Times New Roman"/>
          <w:sz w:val="18"/>
          <w:szCs w:val="18"/>
        </w:rPr>
        <w:t>该成本预期能够收回。</w:t>
      </w:r>
    </w:p>
    <w:p w14:paraId="7E9AF9FC" w14:textId="0AB57275" w:rsidR="000309B5" w:rsidRPr="00D15C4E" w:rsidRDefault="00000000" w:rsidP="00D15C4E">
      <w:pPr>
        <w:pStyle w:val="a3"/>
        <w:spacing w:before="0" w:beforeAutospacing="0" w:after="0" w:afterAutospacing="0" w:line="276" w:lineRule="auto"/>
        <w:ind w:firstLineChars="200" w:firstLine="360"/>
        <w:jc w:val="both"/>
        <w:divId w:val="1192837858"/>
        <w:rPr>
          <w:rFonts w:ascii="Times New Roman" w:hAnsi="Times New Roman" w:cs="Times New Roman"/>
          <w:sz w:val="18"/>
          <w:szCs w:val="18"/>
        </w:rPr>
      </w:pPr>
      <w:r w:rsidRPr="005A284F">
        <w:rPr>
          <w:rFonts w:ascii="Times New Roman" w:hAnsi="Times New Roman" w:cs="Times New Roman"/>
          <w:sz w:val="18"/>
          <w:szCs w:val="18"/>
        </w:rPr>
        <w:t>与合同成本有关的资产采用与该资产相关的商品收入确认相同的基础进行摊销，计入当期损益。</w:t>
      </w:r>
    </w:p>
    <w:p w14:paraId="1A753801" w14:textId="77777777" w:rsidR="006C011D" w:rsidRPr="005A284F" w:rsidRDefault="00000000">
      <w:pPr>
        <w:pStyle w:val="3"/>
        <w:spacing w:line="280" w:lineRule="exact"/>
        <w:jc w:val="left"/>
        <w:rPr>
          <w:rFonts w:ascii="Times New Roman" w:hAnsi="Times New Roman" w:cs="Times New Roman"/>
          <w:b/>
          <w:bCs/>
        </w:rPr>
      </w:pPr>
      <w:bookmarkStart w:id="161" w:name="_Toc989050"/>
      <w:r w:rsidRPr="005A284F">
        <w:rPr>
          <w:rFonts w:ascii="Times New Roman" w:hAnsi="Times New Roman" w:cs="Times New Roman"/>
          <w:b/>
          <w:bCs/>
        </w:rPr>
        <w:t>39</w:t>
      </w:r>
      <w:r w:rsidRPr="005A284F">
        <w:rPr>
          <w:rFonts w:ascii="Times New Roman" w:hAnsi="Times New Roman" w:cs="Times New Roman"/>
          <w:b/>
          <w:bCs/>
        </w:rPr>
        <w:t>、政府补助</w:t>
      </w:r>
      <w:bookmarkEnd w:id="161"/>
    </w:p>
    <w:p w14:paraId="1DF230CB" w14:textId="77777777" w:rsidR="000309B5" w:rsidRPr="00D15C4E" w:rsidRDefault="00000000" w:rsidP="00D15C4E">
      <w:pPr>
        <w:pStyle w:val="a3"/>
        <w:spacing w:before="0" w:beforeAutospacing="0" w:after="0" w:afterAutospacing="0" w:line="276" w:lineRule="auto"/>
        <w:ind w:firstLineChars="200" w:firstLine="360"/>
        <w:jc w:val="both"/>
        <w:divId w:val="2032756330"/>
        <w:rPr>
          <w:rFonts w:ascii="Times New Roman" w:hAnsi="Times New Roman" w:cs="Times New Roman"/>
          <w:sz w:val="18"/>
          <w:szCs w:val="18"/>
        </w:rPr>
      </w:pPr>
      <w:r w:rsidRPr="005A284F">
        <w:rPr>
          <w:rFonts w:ascii="Times New Roman" w:hAnsi="Times New Roman" w:cs="Times New Roman"/>
          <w:sz w:val="18"/>
          <w:szCs w:val="18"/>
        </w:rPr>
        <w:t>政府补助是指本集团从政府无偿取得货币性资产和非货币性资产，不包括政府以投资者身份并享有相应所有者权益而投入的资本。政府补助分为与资产相关的政府补助和与收益相关的政府补助。本集团将所取得的用于购建或以其他方式形成长期资产的政府补助界定为与资产相关的政府补助；其余政府补助界定为与收益相关的政府补助。若政府文件未明确规定补助对象，则采用以下方式将补助款划分为与收益相关的政府补助和与资产相关的政府补助：（</w:t>
      </w:r>
      <w:r w:rsidRPr="005A284F">
        <w:rPr>
          <w:rFonts w:ascii="Times New Roman" w:hAnsi="Times New Roman" w:cs="Times New Roman"/>
          <w:sz w:val="18"/>
          <w:szCs w:val="18"/>
        </w:rPr>
        <w:t>1</w:t>
      </w:r>
      <w:r w:rsidRPr="005A284F">
        <w:rPr>
          <w:rFonts w:ascii="Times New Roman" w:hAnsi="Times New Roman" w:cs="Times New Roman"/>
          <w:sz w:val="18"/>
          <w:szCs w:val="18"/>
        </w:rPr>
        <w:t>）政府文件明确了补助所针对的特定项目的，根据该特定项目的预算中将形成资产的支出金额和计入费用的支出金额的相对比例进行划分，对该划分比例需在每个资产负债表日进行复核，必要时进行变更；（</w:t>
      </w:r>
      <w:r w:rsidRPr="005A284F">
        <w:rPr>
          <w:rFonts w:ascii="Times New Roman" w:hAnsi="Times New Roman" w:cs="Times New Roman"/>
          <w:sz w:val="18"/>
          <w:szCs w:val="18"/>
        </w:rPr>
        <w:t>2</w:t>
      </w:r>
      <w:r w:rsidRPr="005A284F">
        <w:rPr>
          <w:rFonts w:ascii="Times New Roman" w:hAnsi="Times New Roman" w:cs="Times New Roman"/>
          <w:sz w:val="18"/>
          <w:szCs w:val="18"/>
        </w:rPr>
        <w:t>）政府文件中对用途仅作一般性表述，没有指明特定项目的，作为与收益相关的政府补助。政府补助为货币性资产的，按照收到或应收的金额计量。政府补助为非货币性资产的，按照公允价值计量；公允价值不能够可靠取得的，按照名义金额计量。按照名义金额计量的政府补助，直接计入当期损益。</w:t>
      </w:r>
    </w:p>
    <w:p w14:paraId="6F469896" w14:textId="77777777" w:rsidR="000309B5" w:rsidRPr="00D15C4E" w:rsidRDefault="00000000" w:rsidP="00D15C4E">
      <w:pPr>
        <w:pStyle w:val="a3"/>
        <w:spacing w:before="0" w:beforeAutospacing="0" w:after="0" w:afterAutospacing="0" w:line="276" w:lineRule="auto"/>
        <w:ind w:firstLineChars="200" w:firstLine="360"/>
        <w:jc w:val="both"/>
        <w:divId w:val="2032756330"/>
        <w:rPr>
          <w:rFonts w:ascii="Times New Roman" w:hAnsi="Times New Roman" w:cs="Times New Roman"/>
          <w:sz w:val="18"/>
          <w:szCs w:val="18"/>
        </w:rPr>
      </w:pPr>
      <w:r w:rsidRPr="005A284F">
        <w:rPr>
          <w:rFonts w:ascii="Times New Roman" w:hAnsi="Times New Roman" w:cs="Times New Roman"/>
          <w:sz w:val="18"/>
          <w:szCs w:val="18"/>
        </w:rPr>
        <w:t>本集团对于政府补助通常在实际收到时，按照实收金额予以确认和计量。但对于期末有确凿证据表明能够符合财政扶持政策规定的相关条件预计能够收到财政扶持资金，按照应收的金额计量。按照应收金额计量的政府补助应同时符合以下条件：（</w:t>
      </w:r>
      <w:r w:rsidRPr="005A284F">
        <w:rPr>
          <w:rFonts w:ascii="Times New Roman" w:hAnsi="Times New Roman" w:cs="Times New Roman"/>
          <w:sz w:val="18"/>
          <w:szCs w:val="18"/>
        </w:rPr>
        <w:t>1</w:t>
      </w:r>
      <w:r w:rsidRPr="005A284F">
        <w:rPr>
          <w:rFonts w:ascii="Times New Roman" w:hAnsi="Times New Roman" w:cs="Times New Roman"/>
          <w:sz w:val="18"/>
          <w:szCs w:val="18"/>
        </w:rPr>
        <w:t>）应收补助款的金额已经过有权政府部门发文确认，或者可根据正式发布的财政资金管理办法的有关规定自行合理测算，且预计其金额不存在重大不确定性；（</w:t>
      </w:r>
      <w:r w:rsidRPr="005A284F">
        <w:rPr>
          <w:rFonts w:ascii="Times New Roman" w:hAnsi="Times New Roman" w:cs="Times New Roman"/>
          <w:sz w:val="18"/>
          <w:szCs w:val="18"/>
        </w:rPr>
        <w:t>2</w:t>
      </w:r>
      <w:r w:rsidRPr="005A284F">
        <w:rPr>
          <w:rFonts w:ascii="Times New Roman" w:hAnsi="Times New Roman" w:cs="Times New Roman"/>
          <w:sz w:val="18"/>
          <w:szCs w:val="18"/>
        </w:rPr>
        <w:t>）所依据的是当地财政部门正式发布并按照《政府信息公开条例》的规定予以主动公开的财政扶持项目及其财政资金管理办法，且该管理办法应当是普惠性的（任何符合规定条件的企业均可申请），而不是专门针对特定企业制定的；（</w:t>
      </w:r>
      <w:r w:rsidRPr="005A284F">
        <w:rPr>
          <w:rFonts w:ascii="Times New Roman" w:hAnsi="Times New Roman" w:cs="Times New Roman"/>
          <w:sz w:val="18"/>
          <w:szCs w:val="18"/>
        </w:rPr>
        <w:t>3</w:t>
      </w:r>
      <w:r w:rsidRPr="005A284F">
        <w:rPr>
          <w:rFonts w:ascii="Times New Roman" w:hAnsi="Times New Roman" w:cs="Times New Roman"/>
          <w:sz w:val="18"/>
          <w:szCs w:val="18"/>
        </w:rPr>
        <w:t>）相关的补助款批文中已明确承诺了拨付期限，且该款项的拨付是有相应财政预算作为保障的，因而可以合理保证其可在规定期限内收到；（</w:t>
      </w:r>
      <w:r w:rsidRPr="005A284F">
        <w:rPr>
          <w:rFonts w:ascii="Times New Roman" w:hAnsi="Times New Roman" w:cs="Times New Roman"/>
          <w:sz w:val="18"/>
          <w:szCs w:val="18"/>
        </w:rPr>
        <w:t>4</w:t>
      </w:r>
      <w:r w:rsidRPr="005A284F">
        <w:rPr>
          <w:rFonts w:ascii="Times New Roman" w:hAnsi="Times New Roman" w:cs="Times New Roman"/>
          <w:sz w:val="18"/>
          <w:szCs w:val="18"/>
        </w:rPr>
        <w:t>）根据本集团和该补助事项的具体情况，应满足的其他相关条件（如有）。</w:t>
      </w:r>
    </w:p>
    <w:p w14:paraId="02589F38" w14:textId="77777777" w:rsidR="000309B5" w:rsidRPr="00D15C4E" w:rsidRDefault="00000000" w:rsidP="00D15C4E">
      <w:pPr>
        <w:pStyle w:val="a3"/>
        <w:spacing w:before="0" w:beforeAutospacing="0" w:after="0" w:afterAutospacing="0" w:line="276" w:lineRule="auto"/>
        <w:ind w:firstLineChars="200" w:firstLine="360"/>
        <w:jc w:val="both"/>
        <w:divId w:val="2032756330"/>
        <w:rPr>
          <w:rFonts w:ascii="Times New Roman" w:hAnsi="Times New Roman" w:cs="Times New Roman"/>
          <w:sz w:val="18"/>
          <w:szCs w:val="18"/>
        </w:rPr>
      </w:pPr>
      <w:r w:rsidRPr="005A284F">
        <w:rPr>
          <w:rFonts w:ascii="Times New Roman" w:hAnsi="Times New Roman" w:cs="Times New Roman"/>
          <w:sz w:val="18"/>
          <w:szCs w:val="18"/>
        </w:rPr>
        <w:t>与资产相关的政府补助，确认为递延收益，并在相关资产的使用寿命内按照合理、系统的方法分期计入当期损益。与收益相关的政府补助，用于补偿以后期间的相关成本费用或损失的，确认为递延收益，并在确认相关成本费用或损失的期间计入当期损益；用于补偿已经发生的相关成本费用或损失的，直接计入当期损益。</w:t>
      </w:r>
    </w:p>
    <w:p w14:paraId="1CE0CA0A" w14:textId="77777777" w:rsidR="000309B5" w:rsidRPr="00D15C4E" w:rsidRDefault="00000000" w:rsidP="00D15C4E">
      <w:pPr>
        <w:pStyle w:val="a3"/>
        <w:spacing w:before="0" w:beforeAutospacing="0" w:after="0" w:afterAutospacing="0" w:line="276" w:lineRule="auto"/>
        <w:ind w:firstLineChars="200" w:firstLine="360"/>
        <w:jc w:val="both"/>
        <w:divId w:val="2032756330"/>
        <w:rPr>
          <w:rFonts w:ascii="Times New Roman" w:hAnsi="Times New Roman" w:cs="Times New Roman"/>
          <w:sz w:val="18"/>
          <w:szCs w:val="18"/>
        </w:rPr>
      </w:pPr>
      <w:r w:rsidRPr="005A284F">
        <w:rPr>
          <w:rFonts w:ascii="Times New Roman" w:hAnsi="Times New Roman" w:cs="Times New Roman"/>
          <w:sz w:val="18"/>
          <w:szCs w:val="18"/>
        </w:rPr>
        <w:t>同时包含与资产相关部分和与收益相关部分的政府补助，区分不同部分分别进行会计处理；难以区分的，将其整体归类为与收益相关的政府补助。</w:t>
      </w:r>
    </w:p>
    <w:p w14:paraId="76B398EE" w14:textId="77777777" w:rsidR="000309B5" w:rsidRPr="00D15C4E" w:rsidRDefault="00000000" w:rsidP="00D15C4E">
      <w:pPr>
        <w:pStyle w:val="a3"/>
        <w:spacing w:before="0" w:beforeAutospacing="0" w:after="0" w:afterAutospacing="0" w:line="276" w:lineRule="auto"/>
        <w:ind w:firstLineChars="200" w:firstLine="360"/>
        <w:jc w:val="both"/>
        <w:divId w:val="2032756330"/>
        <w:rPr>
          <w:rFonts w:ascii="Times New Roman" w:hAnsi="Times New Roman" w:cs="Times New Roman"/>
          <w:sz w:val="18"/>
          <w:szCs w:val="18"/>
        </w:rPr>
      </w:pPr>
      <w:r w:rsidRPr="005A284F">
        <w:rPr>
          <w:rFonts w:ascii="Times New Roman" w:hAnsi="Times New Roman" w:cs="Times New Roman"/>
          <w:sz w:val="18"/>
          <w:szCs w:val="18"/>
        </w:rPr>
        <w:lastRenderedPageBreak/>
        <w:t>与本集团日常活动相关的政府补助，按照经济业务的实质，计入其他收益或冲减相关成本费用；与日常活动无关的政府补助，计入营业外收支。</w:t>
      </w:r>
    </w:p>
    <w:p w14:paraId="62FED540" w14:textId="77777777" w:rsidR="000309B5" w:rsidRPr="00D15C4E" w:rsidRDefault="00000000" w:rsidP="00D15C4E">
      <w:pPr>
        <w:pStyle w:val="a3"/>
        <w:spacing w:before="0" w:beforeAutospacing="0" w:after="0" w:afterAutospacing="0" w:line="276" w:lineRule="auto"/>
        <w:ind w:firstLineChars="200" w:firstLine="360"/>
        <w:jc w:val="both"/>
        <w:divId w:val="2032756330"/>
        <w:rPr>
          <w:rFonts w:ascii="Times New Roman" w:hAnsi="Times New Roman" w:cs="Times New Roman"/>
          <w:sz w:val="18"/>
          <w:szCs w:val="18"/>
        </w:rPr>
      </w:pPr>
      <w:r w:rsidRPr="005A284F">
        <w:rPr>
          <w:rFonts w:ascii="Times New Roman" w:hAnsi="Times New Roman" w:cs="Times New Roman"/>
          <w:sz w:val="18"/>
          <w:szCs w:val="18"/>
        </w:rPr>
        <w:t>已确认的政府补助需要退回时，存在相关递延收益余额的，冲减相关递延收益账面余额，超出部分计入当期损益；属于其他情况的，直接计入当期损益。</w:t>
      </w:r>
    </w:p>
    <w:p w14:paraId="6547DC94" w14:textId="77777777" w:rsidR="006C011D" w:rsidRPr="005A284F" w:rsidRDefault="00000000">
      <w:pPr>
        <w:pStyle w:val="3"/>
        <w:spacing w:line="280" w:lineRule="exact"/>
        <w:jc w:val="left"/>
        <w:rPr>
          <w:rFonts w:ascii="Times New Roman" w:hAnsi="Times New Roman" w:cs="Times New Roman"/>
          <w:b/>
          <w:bCs/>
        </w:rPr>
      </w:pPr>
      <w:bookmarkStart w:id="162" w:name="_Toc989051"/>
      <w:r w:rsidRPr="005A284F">
        <w:rPr>
          <w:rFonts w:ascii="Times New Roman" w:hAnsi="Times New Roman" w:cs="Times New Roman"/>
          <w:b/>
          <w:bCs/>
        </w:rPr>
        <w:t>40</w:t>
      </w:r>
      <w:r w:rsidRPr="005A284F">
        <w:rPr>
          <w:rFonts w:ascii="Times New Roman" w:hAnsi="Times New Roman" w:cs="Times New Roman"/>
          <w:b/>
          <w:bCs/>
        </w:rPr>
        <w:t>、递延所得税资产</w:t>
      </w:r>
      <w:r w:rsidRPr="005A284F">
        <w:rPr>
          <w:rFonts w:ascii="Times New Roman" w:hAnsi="Times New Roman" w:cs="Times New Roman"/>
          <w:b/>
          <w:bCs/>
        </w:rPr>
        <w:t>/</w:t>
      </w:r>
      <w:r w:rsidRPr="005A284F">
        <w:rPr>
          <w:rFonts w:ascii="Times New Roman" w:hAnsi="Times New Roman" w:cs="Times New Roman"/>
          <w:b/>
          <w:bCs/>
        </w:rPr>
        <w:t>递延所得税负债</w:t>
      </w:r>
      <w:bookmarkEnd w:id="162"/>
    </w:p>
    <w:p w14:paraId="10E5FBED" w14:textId="77777777" w:rsidR="000309B5" w:rsidRPr="00D15C4E" w:rsidRDefault="00000000" w:rsidP="00D15C4E">
      <w:pPr>
        <w:pStyle w:val="a3"/>
        <w:spacing w:before="0" w:beforeAutospacing="0" w:after="0" w:afterAutospacing="0" w:line="276" w:lineRule="auto"/>
        <w:ind w:firstLineChars="200" w:firstLine="360"/>
        <w:jc w:val="both"/>
        <w:divId w:val="688797966"/>
        <w:rPr>
          <w:rFonts w:ascii="Times New Roman" w:hAnsi="Times New Roman" w:cs="Times New Roman"/>
          <w:sz w:val="18"/>
          <w:szCs w:val="18"/>
        </w:rPr>
      </w:pPr>
      <w:r w:rsidRPr="005A284F">
        <w:rPr>
          <w:rFonts w:ascii="Times New Roman" w:hAnsi="Times New Roman" w:cs="Times New Roman"/>
          <w:sz w:val="18"/>
          <w:szCs w:val="18"/>
        </w:rPr>
        <w:t>当期所得税</w:t>
      </w:r>
    </w:p>
    <w:p w14:paraId="61FE64A0" w14:textId="77777777" w:rsidR="000309B5" w:rsidRPr="00D15C4E" w:rsidRDefault="00000000" w:rsidP="00D15C4E">
      <w:pPr>
        <w:pStyle w:val="a3"/>
        <w:spacing w:before="0" w:beforeAutospacing="0" w:after="0" w:afterAutospacing="0" w:line="276" w:lineRule="auto"/>
        <w:ind w:firstLineChars="200" w:firstLine="360"/>
        <w:jc w:val="both"/>
        <w:divId w:val="688797966"/>
        <w:rPr>
          <w:rFonts w:ascii="Times New Roman" w:hAnsi="Times New Roman" w:cs="Times New Roman"/>
          <w:sz w:val="18"/>
          <w:szCs w:val="18"/>
        </w:rPr>
      </w:pPr>
      <w:r w:rsidRPr="005A284F">
        <w:rPr>
          <w:rFonts w:ascii="Times New Roman" w:hAnsi="Times New Roman" w:cs="Times New Roman"/>
          <w:sz w:val="18"/>
          <w:szCs w:val="18"/>
        </w:rPr>
        <w:t>资产负债表日，对于当期和以前期间形成的当期所得税负债（或资产），以按照税法规定计算的预期应交纳（或返还）的所得税金额计量。计算当期所得税费用所依据的应纳税所得额系根据有关税法规定对本报告期税前会计利润作相应调整后计算得出。</w:t>
      </w:r>
    </w:p>
    <w:p w14:paraId="77672A6F" w14:textId="77777777" w:rsidR="000309B5" w:rsidRPr="00D15C4E" w:rsidRDefault="00000000" w:rsidP="00D15C4E">
      <w:pPr>
        <w:pStyle w:val="a3"/>
        <w:spacing w:before="0" w:beforeAutospacing="0" w:after="0" w:afterAutospacing="0" w:line="276" w:lineRule="auto"/>
        <w:ind w:firstLineChars="200" w:firstLine="360"/>
        <w:jc w:val="both"/>
        <w:divId w:val="688797966"/>
        <w:rPr>
          <w:rFonts w:ascii="Times New Roman" w:hAnsi="Times New Roman" w:cs="Times New Roman"/>
          <w:sz w:val="18"/>
          <w:szCs w:val="18"/>
        </w:rPr>
      </w:pPr>
      <w:r w:rsidRPr="005A284F">
        <w:rPr>
          <w:rFonts w:ascii="Times New Roman" w:hAnsi="Times New Roman" w:cs="Times New Roman"/>
          <w:sz w:val="18"/>
          <w:szCs w:val="18"/>
        </w:rPr>
        <w:t>递延所得税资产及递延所得税负债</w:t>
      </w:r>
    </w:p>
    <w:p w14:paraId="4BD3DC22" w14:textId="77777777" w:rsidR="000309B5" w:rsidRPr="00D15C4E" w:rsidRDefault="00000000" w:rsidP="00D15C4E">
      <w:pPr>
        <w:pStyle w:val="a3"/>
        <w:spacing w:before="0" w:beforeAutospacing="0" w:after="0" w:afterAutospacing="0" w:line="276" w:lineRule="auto"/>
        <w:ind w:firstLineChars="200" w:firstLine="360"/>
        <w:jc w:val="both"/>
        <w:divId w:val="688797966"/>
        <w:rPr>
          <w:rFonts w:ascii="Times New Roman" w:hAnsi="Times New Roman" w:cs="Times New Roman"/>
          <w:sz w:val="18"/>
          <w:szCs w:val="18"/>
        </w:rPr>
      </w:pPr>
      <w:r w:rsidRPr="005A284F">
        <w:rPr>
          <w:rFonts w:ascii="Times New Roman" w:hAnsi="Times New Roman" w:cs="Times New Roman"/>
          <w:sz w:val="18"/>
          <w:szCs w:val="18"/>
        </w:rPr>
        <w:t>递延所得税资产和递延所得税负债根据资产和负债的计税基础与其账面价值的差额</w:t>
      </w:r>
      <w:r w:rsidRPr="005A284F">
        <w:rPr>
          <w:rFonts w:ascii="Times New Roman" w:hAnsi="Times New Roman" w:cs="Times New Roman"/>
          <w:sz w:val="18"/>
          <w:szCs w:val="18"/>
        </w:rPr>
        <w:t>(</w:t>
      </w:r>
      <w:r w:rsidRPr="005A284F">
        <w:rPr>
          <w:rFonts w:ascii="Times New Roman" w:hAnsi="Times New Roman" w:cs="Times New Roman"/>
          <w:sz w:val="18"/>
          <w:szCs w:val="18"/>
        </w:rPr>
        <w:t>包括应纳税暂时性差异和可抵扣暂时性差异</w:t>
      </w:r>
      <w:r w:rsidRPr="005A284F">
        <w:rPr>
          <w:rFonts w:ascii="Times New Roman" w:hAnsi="Times New Roman" w:cs="Times New Roman"/>
          <w:sz w:val="18"/>
          <w:szCs w:val="18"/>
        </w:rPr>
        <w:t>)</w:t>
      </w:r>
      <w:r w:rsidRPr="005A284F">
        <w:rPr>
          <w:rFonts w:ascii="Times New Roman" w:hAnsi="Times New Roman" w:cs="Times New Roman"/>
          <w:sz w:val="18"/>
          <w:szCs w:val="18"/>
        </w:rPr>
        <w:t>计算确认。对于按照税法规定能够于以后年度抵减应纳税所得额的可抵扣亏损，视同可抵扣暂时性差异。对于商誉的初始确认产生的暂时性差异，不确认相应的递延所得税负债。</w:t>
      </w:r>
    </w:p>
    <w:p w14:paraId="19B0EF47" w14:textId="77777777" w:rsidR="000309B5" w:rsidRPr="00D15C4E" w:rsidRDefault="00000000" w:rsidP="00D15C4E">
      <w:pPr>
        <w:pStyle w:val="a3"/>
        <w:spacing w:before="0" w:beforeAutospacing="0" w:after="0" w:afterAutospacing="0" w:line="276" w:lineRule="auto"/>
        <w:ind w:firstLineChars="200" w:firstLine="360"/>
        <w:jc w:val="both"/>
        <w:divId w:val="688797966"/>
        <w:rPr>
          <w:rFonts w:ascii="Times New Roman" w:hAnsi="Times New Roman" w:cs="Times New Roman"/>
          <w:sz w:val="18"/>
          <w:szCs w:val="18"/>
        </w:rPr>
      </w:pPr>
      <w:r w:rsidRPr="005A284F">
        <w:rPr>
          <w:rFonts w:ascii="Times New Roman" w:hAnsi="Times New Roman" w:cs="Times New Roman"/>
          <w:sz w:val="18"/>
          <w:szCs w:val="18"/>
        </w:rPr>
        <w:t>除单项交易（包括承租人在租赁期开始日初始确认租赁负债并计入使用权资产的租赁交易，以及因固定资产等存在弃置义务而确认预计负债并计入相关资产成本的交易等）之外，对于其他既不影响会计利润也不影响应纳税所得额</w:t>
      </w:r>
      <w:r w:rsidRPr="005A284F">
        <w:rPr>
          <w:rFonts w:ascii="Times New Roman" w:hAnsi="Times New Roman" w:cs="Times New Roman"/>
          <w:sz w:val="18"/>
          <w:szCs w:val="18"/>
        </w:rPr>
        <w:t>(</w:t>
      </w:r>
      <w:r w:rsidRPr="005A284F">
        <w:rPr>
          <w:rFonts w:ascii="Times New Roman" w:hAnsi="Times New Roman" w:cs="Times New Roman"/>
          <w:sz w:val="18"/>
          <w:szCs w:val="18"/>
        </w:rPr>
        <w:t>或可抵扣亏损</w:t>
      </w:r>
      <w:r w:rsidRPr="005A284F">
        <w:rPr>
          <w:rFonts w:ascii="Times New Roman" w:hAnsi="Times New Roman" w:cs="Times New Roman"/>
          <w:sz w:val="18"/>
          <w:szCs w:val="18"/>
        </w:rPr>
        <w:t>)</w:t>
      </w:r>
      <w:r w:rsidRPr="005A284F">
        <w:rPr>
          <w:rFonts w:ascii="Times New Roman" w:hAnsi="Times New Roman" w:cs="Times New Roman"/>
          <w:sz w:val="18"/>
          <w:szCs w:val="18"/>
        </w:rPr>
        <w:t>的非企业合并的交易中产生的资产或负债的初始确认形成的暂时性差异，不确认相应的递延所得税资产和递延所得税负债。对于前述单项交易因资产和负债的初始确认所产生的应纳税暂时性差异和可抵扣暂时性差异，在交易发生时分别确认相应的递延所得税负债和递延所得税资产。</w:t>
      </w:r>
    </w:p>
    <w:p w14:paraId="33D831FD" w14:textId="77777777" w:rsidR="000309B5" w:rsidRPr="00D15C4E" w:rsidRDefault="00000000" w:rsidP="00D15C4E">
      <w:pPr>
        <w:pStyle w:val="a3"/>
        <w:spacing w:before="0" w:beforeAutospacing="0" w:after="0" w:afterAutospacing="0" w:line="276" w:lineRule="auto"/>
        <w:ind w:firstLineChars="200" w:firstLine="360"/>
        <w:jc w:val="both"/>
        <w:divId w:val="688797966"/>
        <w:rPr>
          <w:rFonts w:ascii="Times New Roman" w:hAnsi="Times New Roman" w:cs="Times New Roman"/>
          <w:sz w:val="18"/>
          <w:szCs w:val="18"/>
        </w:rPr>
      </w:pPr>
      <w:r w:rsidRPr="005A284F">
        <w:rPr>
          <w:rFonts w:ascii="Times New Roman" w:hAnsi="Times New Roman" w:cs="Times New Roman"/>
          <w:sz w:val="18"/>
          <w:szCs w:val="18"/>
        </w:rPr>
        <w:t>于资产负债表日，递延所得税资产和递延所得税负债，按照预期收回该资产或清偿该负债期间的适用税率计量。递延所得税资产的确认以本公司很可能取得用来抵扣可抵扣暂时性差异、可抵扣亏损和税款抵减的应纳税所得额为限。对子公司、联营企业及合营企业投资相关的暂时性差异产生的递延所得税资产和递延所得税负债，予以确认。但本公司能够控制暂时性差异转回的时间且该暂时性差异在可预见的未来很可能不会转回的，不予确认。</w:t>
      </w:r>
    </w:p>
    <w:p w14:paraId="08027D6C" w14:textId="77777777" w:rsidR="000309B5" w:rsidRPr="00D15C4E" w:rsidRDefault="00000000" w:rsidP="00D15C4E">
      <w:pPr>
        <w:pStyle w:val="a3"/>
        <w:spacing w:before="0" w:beforeAutospacing="0" w:after="0" w:afterAutospacing="0" w:line="276" w:lineRule="auto"/>
        <w:ind w:firstLineChars="200" w:firstLine="360"/>
        <w:jc w:val="both"/>
        <w:divId w:val="688797966"/>
        <w:rPr>
          <w:rFonts w:ascii="Times New Roman" w:hAnsi="Times New Roman" w:cs="Times New Roman"/>
          <w:sz w:val="18"/>
          <w:szCs w:val="18"/>
        </w:rPr>
      </w:pPr>
      <w:r w:rsidRPr="005A284F">
        <w:rPr>
          <w:rFonts w:ascii="Times New Roman" w:hAnsi="Times New Roman" w:cs="Times New Roman"/>
          <w:sz w:val="18"/>
          <w:szCs w:val="18"/>
        </w:rPr>
        <w:t>对于能够结转以后年度的可抵扣亏损和税款抵减，以很可能获得用来抵扣可抵扣亏损和税款抵减的未来应纳税所得额为限，确认相应的递延所得税资产。</w:t>
      </w:r>
    </w:p>
    <w:p w14:paraId="629248C9" w14:textId="77777777" w:rsidR="000309B5" w:rsidRPr="00D15C4E" w:rsidRDefault="00000000" w:rsidP="00D15C4E">
      <w:pPr>
        <w:pStyle w:val="a3"/>
        <w:spacing w:before="0" w:beforeAutospacing="0" w:after="0" w:afterAutospacing="0" w:line="276" w:lineRule="auto"/>
        <w:ind w:firstLineChars="200" w:firstLine="360"/>
        <w:jc w:val="both"/>
        <w:divId w:val="688797966"/>
        <w:rPr>
          <w:rFonts w:ascii="Times New Roman" w:hAnsi="Times New Roman" w:cs="Times New Roman"/>
          <w:sz w:val="18"/>
          <w:szCs w:val="18"/>
        </w:rPr>
      </w:pPr>
      <w:r w:rsidRPr="005A284F">
        <w:rPr>
          <w:rFonts w:ascii="Times New Roman" w:hAnsi="Times New Roman" w:cs="Times New Roman"/>
          <w:sz w:val="18"/>
          <w:szCs w:val="18"/>
        </w:rPr>
        <w:t>于资产负债表日，对递延所得税资产的账面价值进行复核，如果未来很可能无法获得足够的应纳税所得额用以抵扣递延所得税资产的利益，则减记递延所得税资产的账面价值。在很可能获得足够的应纳税所得额时，减记的金额予以转回。</w:t>
      </w:r>
    </w:p>
    <w:p w14:paraId="20FF3BD6" w14:textId="77777777" w:rsidR="000309B5" w:rsidRPr="00D15C4E" w:rsidRDefault="00000000" w:rsidP="00D15C4E">
      <w:pPr>
        <w:pStyle w:val="a3"/>
        <w:spacing w:before="0" w:beforeAutospacing="0" w:after="0" w:afterAutospacing="0" w:line="276" w:lineRule="auto"/>
        <w:ind w:firstLineChars="200" w:firstLine="360"/>
        <w:jc w:val="both"/>
        <w:divId w:val="688797966"/>
        <w:rPr>
          <w:rFonts w:ascii="Times New Roman" w:hAnsi="Times New Roman" w:cs="Times New Roman"/>
          <w:sz w:val="18"/>
          <w:szCs w:val="18"/>
        </w:rPr>
      </w:pPr>
      <w:r w:rsidRPr="005A284F">
        <w:rPr>
          <w:rFonts w:ascii="Times New Roman" w:hAnsi="Times New Roman" w:cs="Times New Roman"/>
          <w:sz w:val="18"/>
          <w:szCs w:val="18"/>
        </w:rPr>
        <w:t>所得税费用</w:t>
      </w:r>
    </w:p>
    <w:p w14:paraId="7AA73B08" w14:textId="77777777" w:rsidR="000309B5" w:rsidRPr="00D15C4E" w:rsidRDefault="00000000" w:rsidP="00D15C4E">
      <w:pPr>
        <w:pStyle w:val="a3"/>
        <w:spacing w:before="0" w:beforeAutospacing="0" w:after="0" w:afterAutospacing="0" w:line="276" w:lineRule="auto"/>
        <w:ind w:firstLineChars="200" w:firstLine="360"/>
        <w:jc w:val="both"/>
        <w:divId w:val="688797966"/>
        <w:rPr>
          <w:rFonts w:ascii="Times New Roman" w:hAnsi="Times New Roman" w:cs="Times New Roman"/>
          <w:sz w:val="18"/>
          <w:szCs w:val="18"/>
        </w:rPr>
      </w:pPr>
      <w:r w:rsidRPr="005A284F">
        <w:rPr>
          <w:rFonts w:ascii="Times New Roman" w:hAnsi="Times New Roman" w:cs="Times New Roman"/>
          <w:sz w:val="18"/>
          <w:szCs w:val="18"/>
        </w:rPr>
        <w:t>所得税费用包括当期所得税和递延所得税。</w:t>
      </w:r>
    </w:p>
    <w:p w14:paraId="7C90AE3E" w14:textId="77777777" w:rsidR="000309B5" w:rsidRPr="00D15C4E" w:rsidRDefault="00000000" w:rsidP="00D15C4E">
      <w:pPr>
        <w:pStyle w:val="a3"/>
        <w:spacing w:before="0" w:beforeAutospacing="0" w:after="0" w:afterAutospacing="0" w:line="276" w:lineRule="auto"/>
        <w:ind w:firstLineChars="200" w:firstLine="360"/>
        <w:jc w:val="both"/>
        <w:divId w:val="688797966"/>
        <w:rPr>
          <w:rFonts w:ascii="Times New Roman" w:hAnsi="Times New Roman" w:cs="Times New Roman"/>
          <w:sz w:val="18"/>
          <w:szCs w:val="18"/>
        </w:rPr>
      </w:pPr>
      <w:r w:rsidRPr="005A284F">
        <w:rPr>
          <w:rFonts w:ascii="Times New Roman" w:hAnsi="Times New Roman" w:cs="Times New Roman"/>
          <w:sz w:val="18"/>
          <w:szCs w:val="18"/>
        </w:rPr>
        <w:t>除确认为其他综合收益或直接计入股东权益的交易和事项相关的当期所得税和递延所得税计入其他综合收益或股东权益，以及企业合并产生的递延所得税调整商誉的账面价值外，其余当期所得税和递延所得税费用或收益计入当期损益。</w:t>
      </w:r>
    </w:p>
    <w:p w14:paraId="557988F8" w14:textId="77777777" w:rsidR="000309B5" w:rsidRPr="00D15C4E" w:rsidRDefault="00000000" w:rsidP="00D15C4E">
      <w:pPr>
        <w:pStyle w:val="a3"/>
        <w:spacing w:before="0" w:beforeAutospacing="0" w:after="0" w:afterAutospacing="0" w:line="276" w:lineRule="auto"/>
        <w:ind w:firstLineChars="200" w:firstLine="360"/>
        <w:jc w:val="both"/>
        <w:divId w:val="688797966"/>
        <w:rPr>
          <w:rFonts w:ascii="Times New Roman" w:hAnsi="Times New Roman" w:cs="Times New Roman"/>
          <w:sz w:val="18"/>
          <w:szCs w:val="18"/>
        </w:rPr>
      </w:pPr>
      <w:r w:rsidRPr="005A284F">
        <w:rPr>
          <w:rFonts w:ascii="Times New Roman" w:hAnsi="Times New Roman" w:cs="Times New Roman"/>
          <w:sz w:val="18"/>
          <w:szCs w:val="18"/>
        </w:rPr>
        <w:t>所得税的抵销</w:t>
      </w:r>
    </w:p>
    <w:p w14:paraId="32886318" w14:textId="77777777" w:rsidR="000309B5" w:rsidRPr="00D15C4E" w:rsidRDefault="00000000" w:rsidP="00D15C4E">
      <w:pPr>
        <w:pStyle w:val="a3"/>
        <w:spacing w:before="0" w:beforeAutospacing="0" w:after="0" w:afterAutospacing="0" w:line="276" w:lineRule="auto"/>
        <w:ind w:firstLineChars="200" w:firstLine="360"/>
        <w:jc w:val="both"/>
        <w:divId w:val="688797966"/>
        <w:rPr>
          <w:rFonts w:ascii="Times New Roman" w:hAnsi="Times New Roman" w:cs="Times New Roman"/>
          <w:sz w:val="18"/>
          <w:szCs w:val="18"/>
        </w:rPr>
      </w:pPr>
      <w:r w:rsidRPr="005A284F">
        <w:rPr>
          <w:rFonts w:ascii="Times New Roman" w:hAnsi="Times New Roman" w:cs="Times New Roman"/>
          <w:sz w:val="18"/>
          <w:szCs w:val="18"/>
        </w:rPr>
        <w:t>当拥有以净额结算的法定权利，且意图以净额结算或取得资产、清偿负债同时进行时，本集团当期所得税资产及当期所得税负债以抵销后的净额列报。</w:t>
      </w:r>
    </w:p>
    <w:p w14:paraId="354E50C2" w14:textId="77777777" w:rsidR="000309B5" w:rsidRPr="00D15C4E" w:rsidRDefault="00000000" w:rsidP="00D15C4E">
      <w:pPr>
        <w:pStyle w:val="a3"/>
        <w:spacing w:before="0" w:beforeAutospacing="0" w:after="0" w:afterAutospacing="0" w:line="276" w:lineRule="auto"/>
        <w:ind w:firstLineChars="200" w:firstLine="360"/>
        <w:jc w:val="both"/>
        <w:divId w:val="688797966"/>
        <w:rPr>
          <w:rFonts w:ascii="Times New Roman" w:hAnsi="Times New Roman" w:cs="Times New Roman"/>
          <w:sz w:val="18"/>
          <w:szCs w:val="18"/>
        </w:rPr>
      </w:pPr>
      <w:r w:rsidRPr="005A284F">
        <w:rPr>
          <w:rFonts w:ascii="Times New Roman" w:hAnsi="Times New Roman" w:cs="Times New Roman"/>
          <w:sz w:val="18"/>
          <w:szCs w:val="18"/>
        </w:rPr>
        <w:t>当拥有以净额结算当期所得税资产及当期所得税负债的法定权利，且递延所得税资产及递延所得税负债是与同一税收征管部门对同一纳税主体征收的所得税相关或者是对不同的纳税主体相关，但在未来每一具有重要性的递延所得税资产及负债转回的期间内，涉及的纳税主体意图以净额结算当期所得税资产和负债或是同时取得资产、清偿负债时，本集团递延所得税资产及递延所得税负债以抵销后的净额列报。</w:t>
      </w:r>
    </w:p>
    <w:p w14:paraId="187CEF6E" w14:textId="77777777" w:rsidR="006C011D" w:rsidRPr="005A284F" w:rsidRDefault="00000000">
      <w:pPr>
        <w:pStyle w:val="3"/>
        <w:spacing w:line="280" w:lineRule="exact"/>
        <w:jc w:val="left"/>
        <w:rPr>
          <w:rFonts w:ascii="Times New Roman" w:hAnsi="Times New Roman" w:cs="Times New Roman"/>
          <w:b/>
          <w:bCs/>
        </w:rPr>
      </w:pPr>
      <w:bookmarkStart w:id="163" w:name="_Toc989052"/>
      <w:r w:rsidRPr="005A284F">
        <w:rPr>
          <w:rFonts w:ascii="Times New Roman" w:hAnsi="Times New Roman" w:cs="Times New Roman"/>
          <w:b/>
          <w:bCs/>
        </w:rPr>
        <w:lastRenderedPageBreak/>
        <w:t>41</w:t>
      </w:r>
      <w:r w:rsidRPr="005A284F">
        <w:rPr>
          <w:rFonts w:ascii="Times New Roman" w:hAnsi="Times New Roman" w:cs="Times New Roman"/>
          <w:b/>
          <w:bCs/>
        </w:rPr>
        <w:t>、租赁</w:t>
      </w:r>
      <w:bookmarkEnd w:id="163"/>
    </w:p>
    <w:p w14:paraId="0BFA1758" w14:textId="69149D8E"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164" w:name="_Toc989053"/>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1</w:t>
      </w:r>
      <w:r w:rsidRPr="005A284F">
        <w:rPr>
          <w:rFonts w:ascii="Times New Roman" w:eastAsia="宋体" w:hAnsi="Times New Roman" w:cs="Times New Roman"/>
          <w:b/>
          <w:bCs/>
          <w:sz w:val="21"/>
          <w:szCs w:val="21"/>
        </w:rPr>
        <w:t>）作为承租方租赁的会计处理方法</w:t>
      </w:r>
      <w:bookmarkEnd w:id="164"/>
    </w:p>
    <w:p w14:paraId="145E5048"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初始确认</w:t>
      </w:r>
    </w:p>
    <w:p w14:paraId="013A8E4F"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在本公司作为承租人对租赁确认使用权资产和租赁负债。</w:t>
      </w:r>
    </w:p>
    <w:p w14:paraId="3E72305C"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租赁变更</w:t>
      </w:r>
    </w:p>
    <w:p w14:paraId="3DB61416"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租赁变更，是指原合同条款之外的租赁范围、租赁对价、租赁期限的变更，包括增加或终止一项或多项租赁资产的使用权，延长或缩短合同规定的租赁期等。租赁变更生效日，是指双方就租赁变更达成一致的日期。</w:t>
      </w:r>
    </w:p>
    <w:p w14:paraId="0D2D6D0E"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租赁发生变更且同时符合下列条件的，本公司将该租赁变更作为一项单独租赁进行会计处理：</w:t>
      </w:r>
    </w:p>
    <w:p w14:paraId="22BD7C7E"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1</w:t>
      </w:r>
      <w:r w:rsidRPr="005A284F">
        <w:rPr>
          <w:rFonts w:ascii="Times New Roman" w:hAnsi="Times New Roman" w:cs="Times New Roman"/>
          <w:sz w:val="18"/>
          <w:szCs w:val="18"/>
        </w:rPr>
        <w:t>）该租赁变更通过增加一项或多项租赁资产的使用权而扩大了租赁范围；</w:t>
      </w:r>
    </w:p>
    <w:p w14:paraId="5A5DAF69"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2</w:t>
      </w:r>
      <w:r w:rsidRPr="005A284F">
        <w:rPr>
          <w:rFonts w:ascii="Times New Roman" w:hAnsi="Times New Roman" w:cs="Times New Roman"/>
          <w:sz w:val="18"/>
          <w:szCs w:val="18"/>
        </w:rPr>
        <w:t>）增加的对价与租赁范围扩大部分的单独价格按该合同情况调整后的金额相当。</w:t>
      </w:r>
    </w:p>
    <w:p w14:paraId="571F2D7A"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租赁变更未作为一项单独租赁进行会计处理的，在租赁变更生效日，本公司按照租赁准则有关租赁分拆的规定对变更后合同的对价进行分摊，重新确定变更后的租赁期；并采用修订后的折现率对变更后的租赁付款额进行折现，以重新计量租赁负债。在计算变更后租赁付款额的现值时，本公司采用剩余租赁期间的租赁内含利率作为折现率；无法确定剩余租赁期间的租赁内含利率的，本公司采用租赁变更生效日的承租人增量借款利率作为折现率。就上述租赁负债调整的影响，本公司区分以下情形进行会计处理：</w:t>
      </w:r>
    </w:p>
    <w:p w14:paraId="62209575"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1</w:t>
      </w:r>
      <w:r w:rsidRPr="005A284F">
        <w:rPr>
          <w:rFonts w:ascii="Times New Roman" w:hAnsi="Times New Roman" w:cs="Times New Roman"/>
          <w:sz w:val="18"/>
          <w:szCs w:val="18"/>
        </w:rPr>
        <w:t>）租赁变更导致租赁范围缩小或租赁期缩短的，承租人应当调减使用权资产的账面价值，并将部分终止或完全终止租赁的相关利得或损失计入当期损益。</w:t>
      </w:r>
    </w:p>
    <w:p w14:paraId="1712982D"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2</w:t>
      </w:r>
      <w:r w:rsidRPr="005A284F">
        <w:rPr>
          <w:rFonts w:ascii="Times New Roman" w:hAnsi="Times New Roman" w:cs="Times New Roman"/>
          <w:sz w:val="18"/>
          <w:szCs w:val="18"/>
        </w:rPr>
        <w:t>）其他租赁变更导致租赁负债重新计量的，承租人相应调整使用权资产的账面价值。</w:t>
      </w:r>
    </w:p>
    <w:p w14:paraId="3F64B4B0"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短期租赁和低价值资产租赁</w:t>
      </w:r>
    </w:p>
    <w:p w14:paraId="1574A293"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对于租赁期不超过</w:t>
      </w:r>
      <w:r w:rsidRPr="005A284F">
        <w:rPr>
          <w:rFonts w:ascii="Times New Roman" w:hAnsi="Times New Roman" w:cs="Times New Roman"/>
          <w:sz w:val="18"/>
          <w:szCs w:val="18"/>
        </w:rPr>
        <w:t>12</w:t>
      </w:r>
      <w:r w:rsidRPr="005A284F">
        <w:rPr>
          <w:rFonts w:ascii="Times New Roman" w:hAnsi="Times New Roman" w:cs="Times New Roman"/>
          <w:sz w:val="18"/>
          <w:szCs w:val="18"/>
        </w:rPr>
        <w:t>个月的短期租赁和单项租赁资产为全新资产时价值较低的低价值资产租赁，本公司选择不确认使用权资产和租赁负债。本公司将短期租赁和低价值资产租赁的租赁付款额，在租赁期内各个期间按照直线法或其他系统合理的方法计入相关资产成本或当期损益。</w:t>
      </w:r>
    </w:p>
    <w:p w14:paraId="368DA4B0"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使用权资产</w:t>
      </w:r>
    </w:p>
    <w:p w14:paraId="72F3D21F"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使用权资产，是指本公司作为承租人可在租赁期内使用租赁资产的权利。</w:t>
      </w:r>
    </w:p>
    <w:p w14:paraId="0ED0D578"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在租赁期开始日，本公司按照成本对使用权资产进行初始计量。该成本包括下列四项：</w:t>
      </w:r>
    </w:p>
    <w:p w14:paraId="7C9A06C6"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1</w:t>
      </w:r>
      <w:r w:rsidRPr="005A284F">
        <w:rPr>
          <w:rFonts w:ascii="Times New Roman" w:hAnsi="Times New Roman" w:cs="Times New Roman"/>
          <w:sz w:val="18"/>
          <w:szCs w:val="18"/>
        </w:rPr>
        <w:t>）租赁负债的初始计量金额；</w:t>
      </w:r>
    </w:p>
    <w:p w14:paraId="3C02E43F"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2</w:t>
      </w:r>
      <w:r w:rsidRPr="005A284F">
        <w:rPr>
          <w:rFonts w:ascii="Times New Roman" w:hAnsi="Times New Roman" w:cs="Times New Roman"/>
          <w:sz w:val="18"/>
          <w:szCs w:val="18"/>
        </w:rPr>
        <w:t>）在租赁期开始日或之前支付的租赁付款额，存在租赁激励的，扣除已享受的租赁激励相关金额；</w:t>
      </w:r>
    </w:p>
    <w:p w14:paraId="55FB2AB7"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3</w:t>
      </w:r>
      <w:r w:rsidRPr="005A284F">
        <w:rPr>
          <w:rFonts w:ascii="Times New Roman" w:hAnsi="Times New Roman" w:cs="Times New Roman"/>
          <w:sz w:val="18"/>
          <w:szCs w:val="18"/>
        </w:rPr>
        <w:t>）承租人发生的初始直接费用；</w:t>
      </w:r>
    </w:p>
    <w:p w14:paraId="1FA2828D"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4</w:t>
      </w:r>
      <w:r w:rsidRPr="005A284F">
        <w:rPr>
          <w:rFonts w:ascii="Times New Roman" w:hAnsi="Times New Roman" w:cs="Times New Roman"/>
          <w:sz w:val="18"/>
          <w:szCs w:val="18"/>
        </w:rPr>
        <w:t>）承租人为拆卸及移除租赁资产、复原租赁资产所在场地或将租赁资产恢复至租赁条款约定状态预计将发生的成本，属于为生产存货而发生的除外。</w:t>
      </w:r>
    </w:p>
    <w:p w14:paraId="38772D6B"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在租赁期开始日后，本公司采用成本模式对使用权资产进行后续计量，即以成本减累计折旧及累计减值损失计量使用权资产。</w:t>
      </w:r>
    </w:p>
    <w:p w14:paraId="4F1645AD"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本公司按照租赁准则有关规定重新计量租赁负债的，相应调整使用权资产的账面价值。</w:t>
      </w:r>
    </w:p>
    <w:p w14:paraId="247BD597"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自租赁期开始日起，本公司对使用权资产计提折旧。使用权资产通常自租赁期开始的当月计提折旧。计提的折旧金额根据使用权资产的用途，计入相关资产的成本或者当期损益。</w:t>
      </w:r>
    </w:p>
    <w:p w14:paraId="3DBDD03B"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本公司在确定使用权资产的折旧方法时，根据与使用权资产有关的经济利益的预期实现方式做出决定，以直线法对使用权资产计提折旧。</w:t>
      </w:r>
    </w:p>
    <w:p w14:paraId="35EA4120"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lastRenderedPageBreak/>
        <w:t>本公司在确定使用权资产的折旧年限时，遵循以下原则：能够合理确定租赁期届满时取得租赁资产所有权的，在租赁资产剩余使用寿命内计提折旧；无法合理确定租赁期届满时能够取得租赁资产所有权的，在租赁期与租赁资产剩余使用寿命两者孰短的期间内计提折旧。</w:t>
      </w:r>
    </w:p>
    <w:p w14:paraId="76D12C5B"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如果使用权资产发生减值，本公司按照扣除减值损失之后的使用权资产的账面价值，进行后续折旧。</w:t>
      </w:r>
    </w:p>
    <w:p w14:paraId="519FA70D"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租赁负债</w:t>
      </w:r>
    </w:p>
    <w:p w14:paraId="74D891A2"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本公司按照租赁期开始日尚未支付的租赁付款额的现值对租赁负债进行初始计量。</w:t>
      </w:r>
    </w:p>
    <w:p w14:paraId="3357F3FB"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租赁付款额，是指本公司向出租人支付的与在租赁期内使用租赁资产的权利相关的款项，包括：</w:t>
      </w:r>
    </w:p>
    <w:p w14:paraId="5037AF09"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1</w:t>
      </w:r>
      <w:r w:rsidRPr="005A284F">
        <w:rPr>
          <w:rFonts w:ascii="Times New Roman" w:hAnsi="Times New Roman" w:cs="Times New Roman"/>
          <w:sz w:val="18"/>
          <w:szCs w:val="18"/>
        </w:rPr>
        <w:t>）固定付款额及实质固定付款额，存在租赁激励的，扣除租赁激励相关金额；</w:t>
      </w:r>
    </w:p>
    <w:p w14:paraId="0342D7B9"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2</w:t>
      </w:r>
      <w:r w:rsidRPr="005A284F">
        <w:rPr>
          <w:rFonts w:ascii="Times New Roman" w:hAnsi="Times New Roman" w:cs="Times New Roman"/>
          <w:sz w:val="18"/>
          <w:szCs w:val="18"/>
        </w:rPr>
        <w:t>）取决于指数或比率的可变租赁付款额，该款额在初始计量时根据租赁期开始日的指数或比率确定；</w:t>
      </w:r>
    </w:p>
    <w:p w14:paraId="365A7374"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3</w:t>
      </w:r>
      <w:r w:rsidRPr="005A284F">
        <w:rPr>
          <w:rFonts w:ascii="Times New Roman" w:hAnsi="Times New Roman" w:cs="Times New Roman"/>
          <w:sz w:val="18"/>
          <w:szCs w:val="18"/>
        </w:rPr>
        <w:t>）本公司合理确定将行使购买选择权时，购买选择权的行权价格；</w:t>
      </w:r>
    </w:p>
    <w:p w14:paraId="470BF92B"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4</w:t>
      </w:r>
      <w:r w:rsidRPr="005A284F">
        <w:rPr>
          <w:rFonts w:ascii="Times New Roman" w:hAnsi="Times New Roman" w:cs="Times New Roman"/>
          <w:sz w:val="18"/>
          <w:szCs w:val="18"/>
        </w:rPr>
        <w:t>）租赁期反映出本公司将行使终止租赁选择权时，行使终止租赁选择权需支付的款项；</w:t>
      </w:r>
    </w:p>
    <w:p w14:paraId="3162B0CD"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5</w:t>
      </w:r>
      <w:r w:rsidRPr="005A284F">
        <w:rPr>
          <w:rFonts w:ascii="Times New Roman" w:hAnsi="Times New Roman" w:cs="Times New Roman"/>
          <w:sz w:val="18"/>
          <w:szCs w:val="18"/>
        </w:rPr>
        <w:t>）根据本公司提供的担保余值预计应支付的款项。</w:t>
      </w:r>
    </w:p>
    <w:p w14:paraId="32257B92"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在计算租赁付款额的现值时，本公司采用租赁内含利率作为折现率，该利率是指使出租人的租赁收款额的现值与未担保余值的现值之和等于租赁资产公允价值与出租人的初始直接费用之和的利率。本公司因无法确定租赁内含利率的，采用增量借款利率作为折现率。该增量借款利率，是指本公司在类似经济环境下为获得与使用权资产价值接近的资产，在类似期间以类似抵押条件借入资金须支付的利率。该利率与下列事项相关：</w:t>
      </w:r>
    </w:p>
    <w:p w14:paraId="6302545F"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1</w:t>
      </w:r>
      <w:r w:rsidRPr="005A284F">
        <w:rPr>
          <w:rFonts w:ascii="Times New Roman" w:hAnsi="Times New Roman" w:cs="Times New Roman"/>
          <w:sz w:val="18"/>
          <w:szCs w:val="18"/>
        </w:rPr>
        <w:t>）本公司自身情况，即集团的偿债能力和信用状况；</w:t>
      </w:r>
    </w:p>
    <w:p w14:paraId="6B6BB386"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2</w:t>
      </w:r>
      <w:r w:rsidRPr="005A284F">
        <w:rPr>
          <w:rFonts w:ascii="Times New Roman" w:hAnsi="Times New Roman" w:cs="Times New Roman"/>
          <w:sz w:val="18"/>
          <w:szCs w:val="18"/>
        </w:rPr>
        <w:t>）</w:t>
      </w:r>
      <w:r w:rsidRPr="005A284F">
        <w:rPr>
          <w:rFonts w:ascii="Times New Roman" w:hAnsi="Times New Roman" w:cs="Times New Roman"/>
          <w:sz w:val="18"/>
          <w:szCs w:val="18"/>
        </w:rPr>
        <w:t>“</w:t>
      </w:r>
      <w:r w:rsidRPr="005A284F">
        <w:rPr>
          <w:rFonts w:ascii="Times New Roman" w:hAnsi="Times New Roman" w:cs="Times New Roman"/>
          <w:sz w:val="18"/>
          <w:szCs w:val="18"/>
        </w:rPr>
        <w:t>借款</w:t>
      </w:r>
      <w:r w:rsidRPr="005A284F">
        <w:rPr>
          <w:rFonts w:ascii="Times New Roman" w:hAnsi="Times New Roman" w:cs="Times New Roman"/>
          <w:sz w:val="18"/>
          <w:szCs w:val="18"/>
        </w:rPr>
        <w:t>”</w:t>
      </w:r>
      <w:r w:rsidRPr="005A284F">
        <w:rPr>
          <w:rFonts w:ascii="Times New Roman" w:hAnsi="Times New Roman" w:cs="Times New Roman"/>
          <w:sz w:val="18"/>
          <w:szCs w:val="18"/>
        </w:rPr>
        <w:t>的期限，即租赁期；</w:t>
      </w:r>
    </w:p>
    <w:p w14:paraId="1DD314EB"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3</w:t>
      </w:r>
      <w:r w:rsidRPr="005A284F">
        <w:rPr>
          <w:rFonts w:ascii="Times New Roman" w:hAnsi="Times New Roman" w:cs="Times New Roman"/>
          <w:sz w:val="18"/>
          <w:szCs w:val="18"/>
        </w:rPr>
        <w:t>）</w:t>
      </w:r>
      <w:r w:rsidRPr="005A284F">
        <w:rPr>
          <w:rFonts w:ascii="Times New Roman" w:hAnsi="Times New Roman" w:cs="Times New Roman"/>
          <w:sz w:val="18"/>
          <w:szCs w:val="18"/>
        </w:rPr>
        <w:t>“</w:t>
      </w:r>
      <w:r w:rsidRPr="005A284F">
        <w:rPr>
          <w:rFonts w:ascii="Times New Roman" w:hAnsi="Times New Roman" w:cs="Times New Roman"/>
          <w:sz w:val="18"/>
          <w:szCs w:val="18"/>
        </w:rPr>
        <w:t>借入</w:t>
      </w:r>
      <w:r w:rsidRPr="005A284F">
        <w:rPr>
          <w:rFonts w:ascii="Times New Roman" w:hAnsi="Times New Roman" w:cs="Times New Roman"/>
          <w:sz w:val="18"/>
          <w:szCs w:val="18"/>
        </w:rPr>
        <w:t>”</w:t>
      </w:r>
      <w:r w:rsidRPr="005A284F">
        <w:rPr>
          <w:rFonts w:ascii="Times New Roman" w:hAnsi="Times New Roman" w:cs="Times New Roman"/>
          <w:sz w:val="18"/>
          <w:szCs w:val="18"/>
        </w:rPr>
        <w:t>资金的金额，即租赁负债的金额；</w:t>
      </w:r>
    </w:p>
    <w:p w14:paraId="45D62AF3"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4</w:t>
      </w:r>
      <w:r w:rsidRPr="005A284F">
        <w:rPr>
          <w:rFonts w:ascii="Times New Roman" w:hAnsi="Times New Roman" w:cs="Times New Roman"/>
          <w:sz w:val="18"/>
          <w:szCs w:val="18"/>
        </w:rPr>
        <w:t>）</w:t>
      </w:r>
      <w:r w:rsidRPr="005A284F">
        <w:rPr>
          <w:rFonts w:ascii="Times New Roman" w:hAnsi="Times New Roman" w:cs="Times New Roman"/>
          <w:sz w:val="18"/>
          <w:szCs w:val="18"/>
        </w:rPr>
        <w:t>“</w:t>
      </w:r>
      <w:r w:rsidRPr="005A284F">
        <w:rPr>
          <w:rFonts w:ascii="Times New Roman" w:hAnsi="Times New Roman" w:cs="Times New Roman"/>
          <w:sz w:val="18"/>
          <w:szCs w:val="18"/>
        </w:rPr>
        <w:t>抵押条件</w:t>
      </w:r>
      <w:r w:rsidRPr="005A284F">
        <w:rPr>
          <w:rFonts w:ascii="Times New Roman" w:hAnsi="Times New Roman" w:cs="Times New Roman"/>
          <w:sz w:val="18"/>
          <w:szCs w:val="18"/>
        </w:rPr>
        <w:t>”</w:t>
      </w:r>
      <w:r w:rsidRPr="005A284F">
        <w:rPr>
          <w:rFonts w:ascii="Times New Roman" w:hAnsi="Times New Roman" w:cs="Times New Roman"/>
          <w:sz w:val="18"/>
          <w:szCs w:val="18"/>
        </w:rPr>
        <w:t>，即标的资产的性质和质量；</w:t>
      </w:r>
    </w:p>
    <w:p w14:paraId="443A933B"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5</w:t>
      </w:r>
      <w:r w:rsidRPr="005A284F">
        <w:rPr>
          <w:rFonts w:ascii="Times New Roman" w:hAnsi="Times New Roman" w:cs="Times New Roman"/>
          <w:sz w:val="18"/>
          <w:szCs w:val="18"/>
        </w:rPr>
        <w:t>）经济环境，包括承租人所处的司法管辖区、计价货币、合同签订时间等。</w:t>
      </w:r>
    </w:p>
    <w:p w14:paraId="162F07F1"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本公司以银行贷款利率为基础，考虑上述因素进行调整而得出该增量借款利率。</w:t>
      </w:r>
    </w:p>
    <w:p w14:paraId="2550634C"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在租赁期开始日后，本公司按以下原则对租赁负债进行后续计量：</w:t>
      </w:r>
    </w:p>
    <w:p w14:paraId="17FE1DAC"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1</w:t>
      </w:r>
      <w:r w:rsidRPr="005A284F">
        <w:rPr>
          <w:rFonts w:ascii="Times New Roman" w:hAnsi="Times New Roman" w:cs="Times New Roman"/>
          <w:sz w:val="18"/>
          <w:szCs w:val="18"/>
        </w:rPr>
        <w:t>）确认租赁负债的利息时，增加租赁负债的账面金额；</w:t>
      </w:r>
    </w:p>
    <w:p w14:paraId="0AC518C5"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2</w:t>
      </w:r>
      <w:r w:rsidRPr="005A284F">
        <w:rPr>
          <w:rFonts w:ascii="Times New Roman" w:hAnsi="Times New Roman" w:cs="Times New Roman"/>
          <w:sz w:val="18"/>
          <w:szCs w:val="18"/>
        </w:rPr>
        <w:t>）支付租赁付款额时，减少租赁负债的账面金额；</w:t>
      </w:r>
    </w:p>
    <w:p w14:paraId="4653E368"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3</w:t>
      </w:r>
      <w:r w:rsidRPr="005A284F">
        <w:rPr>
          <w:rFonts w:ascii="Times New Roman" w:hAnsi="Times New Roman" w:cs="Times New Roman"/>
          <w:sz w:val="18"/>
          <w:szCs w:val="18"/>
        </w:rPr>
        <w:t>）因重估或租赁变更等原因导致租赁付款额发生变动时，重新计量租赁负债的账面价值。</w:t>
      </w:r>
    </w:p>
    <w:p w14:paraId="1B47DC35"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按照固定的周期性利率计算租赁负债在租赁期内各期间的利息费用，并计入当期损益，但应当资本化的除外。周期性利率是指本公司对租赁负债进行初始计量时所采用的折现率，或者因租赁付款额发生变动或因租赁变更而需按照修订后的折现率对租赁负债进行重新计量时，本公司所采用的修订后的折现率。</w:t>
      </w:r>
    </w:p>
    <w:p w14:paraId="2ED7A569"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在租赁期开始日后，发生下列情形时，本公司按照变动后租赁付款额和修订后的折现率计算的现值重新计量租赁负债，并相应调整使用权资产的账面价值。使用权资产的账面价值已调减至零，但租赁负债仍需进一步调减的，本公司将剩余金额计入当期损益。</w:t>
      </w:r>
    </w:p>
    <w:p w14:paraId="21F183EA"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1</w:t>
      </w:r>
      <w:r w:rsidRPr="005A284F">
        <w:rPr>
          <w:rFonts w:ascii="Times New Roman" w:hAnsi="Times New Roman" w:cs="Times New Roman"/>
          <w:sz w:val="18"/>
          <w:szCs w:val="18"/>
        </w:rPr>
        <w:t>）实质固定付款额发生变动；</w:t>
      </w:r>
    </w:p>
    <w:p w14:paraId="495E6885"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2</w:t>
      </w:r>
      <w:r w:rsidRPr="005A284F">
        <w:rPr>
          <w:rFonts w:ascii="Times New Roman" w:hAnsi="Times New Roman" w:cs="Times New Roman"/>
          <w:sz w:val="18"/>
          <w:szCs w:val="18"/>
        </w:rPr>
        <w:t>）担保余值预计的应付金额发生变动；</w:t>
      </w:r>
    </w:p>
    <w:p w14:paraId="45DC9F37"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3</w:t>
      </w:r>
      <w:r w:rsidRPr="005A284F">
        <w:rPr>
          <w:rFonts w:ascii="Times New Roman" w:hAnsi="Times New Roman" w:cs="Times New Roman"/>
          <w:sz w:val="18"/>
          <w:szCs w:val="18"/>
        </w:rPr>
        <w:t>）用于确定租赁付款额的指数或比率发生变动；</w:t>
      </w:r>
    </w:p>
    <w:p w14:paraId="3BD4E636" w14:textId="77777777"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4</w:t>
      </w:r>
      <w:r w:rsidRPr="005A284F">
        <w:rPr>
          <w:rFonts w:ascii="Times New Roman" w:hAnsi="Times New Roman" w:cs="Times New Roman"/>
          <w:sz w:val="18"/>
          <w:szCs w:val="18"/>
        </w:rPr>
        <w:t>）购买选择权的评估结果发生变化；</w:t>
      </w:r>
    </w:p>
    <w:p w14:paraId="7190684D" w14:textId="24CD0A65" w:rsidR="000309B5" w:rsidRPr="00D15C4E" w:rsidRDefault="00000000" w:rsidP="00D15C4E">
      <w:pPr>
        <w:pStyle w:val="a3"/>
        <w:spacing w:before="0" w:beforeAutospacing="0" w:after="0" w:afterAutospacing="0" w:line="276" w:lineRule="auto"/>
        <w:ind w:firstLineChars="200" w:firstLine="360"/>
        <w:jc w:val="both"/>
        <w:divId w:val="849179685"/>
        <w:rPr>
          <w:rFonts w:ascii="Times New Roman" w:hAnsi="Times New Roman" w:cs="Times New Roman"/>
          <w:sz w:val="18"/>
          <w:szCs w:val="18"/>
        </w:rPr>
      </w:pPr>
      <w:r w:rsidRPr="005A284F">
        <w:rPr>
          <w:rFonts w:ascii="Times New Roman" w:hAnsi="Times New Roman" w:cs="Times New Roman"/>
          <w:sz w:val="18"/>
          <w:szCs w:val="18"/>
        </w:rPr>
        <w:t>5</w:t>
      </w:r>
      <w:r w:rsidRPr="005A284F">
        <w:rPr>
          <w:rFonts w:ascii="Times New Roman" w:hAnsi="Times New Roman" w:cs="Times New Roman"/>
          <w:sz w:val="18"/>
          <w:szCs w:val="18"/>
        </w:rPr>
        <w:t>）续租选择权或终止租赁选择权的评估结果或实际行使情况发生变化。</w:t>
      </w:r>
    </w:p>
    <w:p w14:paraId="4BFE4523" w14:textId="3C8EE899"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165" w:name="_Toc989054"/>
      <w:r w:rsidRPr="005A284F">
        <w:rPr>
          <w:rFonts w:ascii="Times New Roman" w:eastAsia="宋体" w:hAnsi="Times New Roman" w:cs="Times New Roman"/>
          <w:b/>
          <w:bCs/>
          <w:sz w:val="21"/>
          <w:szCs w:val="21"/>
        </w:rPr>
        <w:lastRenderedPageBreak/>
        <w:t>（</w:t>
      </w:r>
      <w:r w:rsidRPr="005A284F">
        <w:rPr>
          <w:rFonts w:ascii="Times New Roman" w:eastAsia="宋体" w:hAnsi="Times New Roman" w:cs="Times New Roman"/>
          <w:b/>
          <w:bCs/>
          <w:sz w:val="21"/>
          <w:szCs w:val="21"/>
        </w:rPr>
        <w:t>2</w:t>
      </w:r>
      <w:r w:rsidRPr="005A284F">
        <w:rPr>
          <w:rFonts w:ascii="Times New Roman" w:eastAsia="宋体" w:hAnsi="Times New Roman" w:cs="Times New Roman"/>
          <w:b/>
          <w:bCs/>
          <w:sz w:val="21"/>
          <w:szCs w:val="21"/>
        </w:rPr>
        <w:t>）作为出租方租赁的会计处理方法</w:t>
      </w:r>
      <w:bookmarkEnd w:id="165"/>
    </w:p>
    <w:p w14:paraId="74AF3098" w14:textId="77777777" w:rsidR="000309B5" w:rsidRPr="005A284F" w:rsidRDefault="00000000">
      <w:pPr>
        <w:pStyle w:val="a3"/>
        <w:spacing w:before="0" w:beforeAutospacing="0" w:after="0" w:afterAutospacing="0" w:line="273" w:lineRule="auto"/>
        <w:ind w:firstLine="357"/>
        <w:jc w:val="both"/>
        <w:divId w:val="231239593"/>
        <w:rPr>
          <w:rFonts w:ascii="Times New Roman" w:hAnsi="Times New Roman" w:cs="Times New Roman"/>
        </w:rPr>
      </w:pPr>
      <w:r w:rsidRPr="005A284F">
        <w:rPr>
          <w:rFonts w:ascii="Times New Roman" w:hAnsi="Times New Roman" w:cs="Times New Roman"/>
          <w:sz w:val="18"/>
          <w:szCs w:val="18"/>
        </w:rPr>
        <w:t>在租赁开始日，本公司将租赁分为融资租赁和经营租赁。</w:t>
      </w:r>
    </w:p>
    <w:p w14:paraId="7FE83219" w14:textId="77777777" w:rsidR="000309B5" w:rsidRPr="005A284F" w:rsidRDefault="00000000">
      <w:pPr>
        <w:pStyle w:val="a3"/>
        <w:spacing w:before="0" w:beforeAutospacing="0" w:after="0" w:afterAutospacing="0" w:line="273" w:lineRule="auto"/>
        <w:ind w:firstLine="357"/>
        <w:jc w:val="both"/>
        <w:divId w:val="231239593"/>
        <w:rPr>
          <w:rFonts w:ascii="Times New Roman" w:hAnsi="Times New Roman" w:cs="Times New Roman"/>
        </w:rPr>
      </w:pPr>
      <w:r w:rsidRPr="005A284F">
        <w:rPr>
          <w:rFonts w:ascii="Times New Roman" w:hAnsi="Times New Roman" w:cs="Times New Roman"/>
          <w:sz w:val="18"/>
          <w:szCs w:val="18"/>
        </w:rPr>
        <w:t>如果一项租赁实质上转移了与租赁资产所有权有关的几乎全部风险和报酬，出租人将该项租赁分类为融资租赁，除融资租赁以外的其他租赁分类为经营租赁。</w:t>
      </w:r>
    </w:p>
    <w:p w14:paraId="09D6E518" w14:textId="77777777" w:rsidR="000309B5" w:rsidRPr="005A284F" w:rsidRDefault="00000000">
      <w:pPr>
        <w:pStyle w:val="a3"/>
        <w:spacing w:before="0" w:beforeAutospacing="0" w:after="0" w:afterAutospacing="0" w:line="273" w:lineRule="auto"/>
        <w:ind w:firstLine="357"/>
        <w:jc w:val="both"/>
        <w:divId w:val="231239593"/>
        <w:rPr>
          <w:rFonts w:ascii="Times New Roman" w:hAnsi="Times New Roman" w:cs="Times New Roman"/>
        </w:rPr>
      </w:pPr>
      <w:r w:rsidRPr="005A284F">
        <w:rPr>
          <w:rFonts w:ascii="Times New Roman" w:hAnsi="Times New Roman" w:cs="Times New Roman"/>
          <w:sz w:val="18"/>
          <w:szCs w:val="18"/>
        </w:rPr>
        <w:t>经营租赁的会计处理</w:t>
      </w:r>
    </w:p>
    <w:p w14:paraId="141F6E83" w14:textId="77777777" w:rsidR="000309B5" w:rsidRPr="005A284F" w:rsidRDefault="00000000">
      <w:pPr>
        <w:pStyle w:val="a3"/>
        <w:spacing w:before="0" w:beforeAutospacing="0" w:after="0" w:afterAutospacing="0" w:line="273" w:lineRule="auto"/>
        <w:ind w:firstLine="357"/>
        <w:jc w:val="both"/>
        <w:divId w:val="231239593"/>
        <w:rPr>
          <w:rFonts w:ascii="Times New Roman" w:hAnsi="Times New Roman" w:cs="Times New Roman"/>
        </w:rPr>
      </w:pPr>
      <w:r w:rsidRPr="005A284F">
        <w:rPr>
          <w:rFonts w:ascii="Times New Roman" w:hAnsi="Times New Roman" w:cs="Times New Roman"/>
          <w:sz w:val="18"/>
          <w:szCs w:val="18"/>
        </w:rPr>
        <w:t>在租赁期内各个期间，本公司采用直线法或其他系统合理的方法将经营租赁的租赁收款额确认为租金收入。</w:t>
      </w:r>
    </w:p>
    <w:p w14:paraId="14DF5230" w14:textId="77777777" w:rsidR="000309B5" w:rsidRPr="005A284F" w:rsidRDefault="00000000">
      <w:pPr>
        <w:pStyle w:val="a3"/>
        <w:spacing w:before="0" w:beforeAutospacing="0" w:after="0" w:afterAutospacing="0" w:line="273" w:lineRule="auto"/>
        <w:ind w:firstLine="357"/>
        <w:jc w:val="both"/>
        <w:divId w:val="231239593"/>
        <w:rPr>
          <w:rFonts w:ascii="Times New Roman" w:hAnsi="Times New Roman" w:cs="Times New Roman"/>
        </w:rPr>
      </w:pPr>
      <w:r w:rsidRPr="005A284F">
        <w:rPr>
          <w:rFonts w:ascii="Times New Roman" w:hAnsi="Times New Roman" w:cs="Times New Roman"/>
          <w:sz w:val="18"/>
          <w:szCs w:val="18"/>
        </w:rPr>
        <w:t>提供免租期的，本公司将租金总额在不扣除免租期的整个租赁期内，按直线法进行分配，免租期内应当确认租金收入。本公司承担了承租人某些费用的，将该费用自租金收入总额中扣除，按扣除后的租金收入余额在租赁期内进行分配。</w:t>
      </w:r>
    </w:p>
    <w:p w14:paraId="5660B090" w14:textId="77777777" w:rsidR="000309B5" w:rsidRPr="005A284F" w:rsidRDefault="00000000">
      <w:pPr>
        <w:pStyle w:val="a3"/>
        <w:spacing w:before="0" w:beforeAutospacing="0" w:after="0" w:afterAutospacing="0" w:line="273" w:lineRule="auto"/>
        <w:ind w:firstLine="357"/>
        <w:jc w:val="both"/>
        <w:divId w:val="231239593"/>
        <w:rPr>
          <w:rFonts w:ascii="Times New Roman" w:hAnsi="Times New Roman" w:cs="Times New Roman"/>
        </w:rPr>
      </w:pPr>
      <w:r w:rsidRPr="005A284F">
        <w:rPr>
          <w:rFonts w:ascii="Times New Roman" w:hAnsi="Times New Roman" w:cs="Times New Roman"/>
          <w:sz w:val="18"/>
          <w:szCs w:val="18"/>
        </w:rPr>
        <w:t>本公司发生的与经营租赁有关的初始直接费用应当资本化至租赁标的资产的成本，在租赁期内按照与租金收入相同的确认基础分期计入当期损益。</w:t>
      </w:r>
    </w:p>
    <w:p w14:paraId="566255D5" w14:textId="77777777" w:rsidR="000309B5" w:rsidRPr="005A284F" w:rsidRDefault="00000000">
      <w:pPr>
        <w:pStyle w:val="a3"/>
        <w:spacing w:before="0" w:beforeAutospacing="0" w:after="0" w:afterAutospacing="0" w:line="273" w:lineRule="auto"/>
        <w:ind w:firstLine="357"/>
        <w:jc w:val="both"/>
        <w:divId w:val="231239593"/>
        <w:rPr>
          <w:rFonts w:ascii="Times New Roman" w:hAnsi="Times New Roman" w:cs="Times New Roman"/>
        </w:rPr>
      </w:pPr>
      <w:r w:rsidRPr="005A284F">
        <w:rPr>
          <w:rFonts w:ascii="Times New Roman" w:hAnsi="Times New Roman" w:cs="Times New Roman"/>
          <w:sz w:val="18"/>
          <w:szCs w:val="18"/>
        </w:rPr>
        <w:t>对于经营租赁资产中的固定资产，本公司采用类似资产的折旧政策计提折旧；对于其他经营租赁资产，采用系统合理的方法进行摊销。</w:t>
      </w:r>
    </w:p>
    <w:p w14:paraId="1583BE33" w14:textId="77777777" w:rsidR="000309B5" w:rsidRPr="005A284F" w:rsidRDefault="00000000">
      <w:pPr>
        <w:pStyle w:val="a3"/>
        <w:spacing w:before="0" w:beforeAutospacing="0" w:after="0" w:afterAutospacing="0" w:line="273" w:lineRule="auto"/>
        <w:ind w:firstLine="357"/>
        <w:jc w:val="both"/>
        <w:divId w:val="231239593"/>
        <w:rPr>
          <w:rFonts w:ascii="Times New Roman" w:hAnsi="Times New Roman" w:cs="Times New Roman"/>
        </w:rPr>
      </w:pPr>
      <w:r w:rsidRPr="005A284F">
        <w:rPr>
          <w:rFonts w:ascii="Times New Roman" w:hAnsi="Times New Roman" w:cs="Times New Roman"/>
          <w:sz w:val="18"/>
          <w:szCs w:val="18"/>
        </w:rPr>
        <w:t>本公司取得的与经营租赁有关的未计入租赁收款额的可变租赁付款额，在实际发生时计入当期损益。经营租赁发生变更的，本公司自变更生效日开始，将其作为一项新的租赁进行会计处理，与变更前租赁有关的预收或应收租赁收款额视为新租赁的收款额。</w:t>
      </w:r>
    </w:p>
    <w:p w14:paraId="7A245AA1" w14:textId="77777777" w:rsidR="000309B5" w:rsidRPr="005A284F" w:rsidRDefault="00000000">
      <w:pPr>
        <w:pStyle w:val="a3"/>
        <w:spacing w:before="0" w:beforeAutospacing="0" w:after="0" w:afterAutospacing="0" w:line="273" w:lineRule="auto"/>
        <w:ind w:firstLine="357"/>
        <w:jc w:val="both"/>
        <w:divId w:val="231239593"/>
        <w:rPr>
          <w:rFonts w:ascii="Times New Roman" w:hAnsi="Times New Roman" w:cs="Times New Roman"/>
        </w:rPr>
      </w:pPr>
      <w:r w:rsidRPr="005A284F">
        <w:rPr>
          <w:rFonts w:ascii="Times New Roman" w:hAnsi="Times New Roman" w:cs="Times New Roman"/>
          <w:sz w:val="18"/>
          <w:szCs w:val="18"/>
        </w:rPr>
        <w:t>融资租赁会计处理</w:t>
      </w:r>
    </w:p>
    <w:p w14:paraId="5FB5C3DA" w14:textId="77777777" w:rsidR="000309B5" w:rsidRPr="005A284F" w:rsidRDefault="00000000">
      <w:pPr>
        <w:pStyle w:val="a3"/>
        <w:spacing w:before="0" w:beforeAutospacing="0" w:after="0" w:afterAutospacing="0" w:line="273" w:lineRule="auto"/>
        <w:ind w:firstLine="357"/>
        <w:jc w:val="both"/>
        <w:divId w:val="231239593"/>
        <w:rPr>
          <w:rFonts w:ascii="Times New Roman" w:hAnsi="Times New Roman" w:cs="Times New Roman"/>
        </w:rPr>
      </w:pPr>
      <w:r w:rsidRPr="005A284F">
        <w:rPr>
          <w:rFonts w:ascii="Times New Roman" w:hAnsi="Times New Roman" w:cs="Times New Roman"/>
          <w:sz w:val="18"/>
          <w:szCs w:val="18"/>
        </w:rPr>
        <w:t>在租赁开始日，本公司对融资租赁确认应收融资租赁款，并终止确认融资租赁资产。本公司对应收融资租赁款进行初始计量时，将租赁投资净额作为应收融资租赁款的入账价值。租赁投资净额为未担保余值和租赁期开始日尚未收到的租赁收款额按照租赁内含利率折现的现值之和。</w:t>
      </w:r>
    </w:p>
    <w:p w14:paraId="5B277BA7" w14:textId="77777777" w:rsidR="000309B5" w:rsidRPr="005A284F" w:rsidRDefault="00000000">
      <w:pPr>
        <w:pStyle w:val="a3"/>
        <w:spacing w:before="0" w:beforeAutospacing="0" w:after="0" w:afterAutospacing="0" w:line="273" w:lineRule="auto"/>
        <w:ind w:firstLine="357"/>
        <w:jc w:val="both"/>
        <w:divId w:val="231239593"/>
        <w:rPr>
          <w:rFonts w:ascii="Times New Roman" w:hAnsi="Times New Roman" w:cs="Times New Roman"/>
        </w:rPr>
      </w:pPr>
      <w:r w:rsidRPr="005A284F">
        <w:rPr>
          <w:rFonts w:ascii="Times New Roman" w:hAnsi="Times New Roman" w:cs="Times New Roman"/>
          <w:sz w:val="18"/>
          <w:szCs w:val="18"/>
        </w:rPr>
        <w:t>本公司按照固定的周期性利率计算并确认租赁期内各个期间的利息收入。本公司取得的未纳入租赁投资净额计量的可变租赁付款额在实际发生时计入当期损益。</w:t>
      </w:r>
    </w:p>
    <w:p w14:paraId="14BFA05E" w14:textId="77777777" w:rsidR="000309B5" w:rsidRPr="005A284F" w:rsidRDefault="00000000">
      <w:pPr>
        <w:pStyle w:val="a3"/>
        <w:spacing w:before="0" w:beforeAutospacing="0" w:after="0" w:afterAutospacing="0" w:line="273" w:lineRule="auto"/>
        <w:ind w:firstLine="357"/>
        <w:jc w:val="both"/>
        <w:divId w:val="231239593"/>
        <w:rPr>
          <w:rFonts w:ascii="Times New Roman" w:hAnsi="Times New Roman" w:cs="Times New Roman"/>
        </w:rPr>
      </w:pPr>
      <w:r w:rsidRPr="005A284F">
        <w:rPr>
          <w:rFonts w:ascii="Times New Roman" w:hAnsi="Times New Roman" w:cs="Times New Roman"/>
          <w:sz w:val="18"/>
          <w:szCs w:val="18"/>
        </w:rPr>
        <w:t>转租赁</w:t>
      </w:r>
    </w:p>
    <w:p w14:paraId="167802CE" w14:textId="77777777" w:rsidR="000309B5" w:rsidRPr="005A284F" w:rsidRDefault="00000000">
      <w:pPr>
        <w:pStyle w:val="a3"/>
        <w:spacing w:before="0" w:beforeAutospacing="0" w:after="0" w:afterAutospacing="0" w:line="273" w:lineRule="auto"/>
        <w:ind w:firstLine="357"/>
        <w:jc w:val="both"/>
        <w:divId w:val="231239593"/>
        <w:rPr>
          <w:rFonts w:ascii="Times New Roman" w:hAnsi="Times New Roman" w:cs="Times New Roman"/>
        </w:rPr>
      </w:pPr>
      <w:r w:rsidRPr="005A284F">
        <w:rPr>
          <w:rFonts w:ascii="Times New Roman" w:hAnsi="Times New Roman" w:cs="Times New Roman"/>
          <w:sz w:val="18"/>
          <w:szCs w:val="18"/>
        </w:rPr>
        <w:t>本公司作为转租出租人，将原租赁及转租赁合同作为两个合同单独核算。本公司基于原租赁产生的使用权资产，而不是租赁资产，对转租赁进行分类。</w:t>
      </w:r>
    </w:p>
    <w:p w14:paraId="15104559" w14:textId="77777777" w:rsidR="000309B5" w:rsidRPr="005A284F" w:rsidRDefault="00000000">
      <w:pPr>
        <w:pStyle w:val="a3"/>
        <w:spacing w:before="0" w:beforeAutospacing="0" w:after="0" w:afterAutospacing="0" w:line="273" w:lineRule="auto"/>
        <w:ind w:firstLine="357"/>
        <w:jc w:val="both"/>
        <w:divId w:val="231239593"/>
        <w:rPr>
          <w:rFonts w:ascii="Times New Roman" w:hAnsi="Times New Roman" w:cs="Times New Roman"/>
        </w:rPr>
      </w:pPr>
      <w:r w:rsidRPr="005A284F">
        <w:rPr>
          <w:rFonts w:ascii="Times New Roman" w:hAnsi="Times New Roman" w:cs="Times New Roman"/>
          <w:sz w:val="18"/>
          <w:szCs w:val="18"/>
        </w:rPr>
        <w:t>售后租回</w:t>
      </w:r>
    </w:p>
    <w:p w14:paraId="2C4116C3" w14:textId="77777777" w:rsidR="000309B5" w:rsidRPr="005A284F" w:rsidRDefault="00000000">
      <w:pPr>
        <w:pStyle w:val="a3"/>
        <w:spacing w:before="0" w:beforeAutospacing="0" w:after="0" w:afterAutospacing="0" w:line="273" w:lineRule="auto"/>
        <w:ind w:firstLine="357"/>
        <w:jc w:val="both"/>
        <w:divId w:val="231239593"/>
        <w:rPr>
          <w:rFonts w:ascii="Times New Roman" w:hAnsi="Times New Roman" w:cs="Times New Roman"/>
        </w:rPr>
      </w:pPr>
      <w:r w:rsidRPr="005A284F">
        <w:rPr>
          <w:rFonts w:ascii="Times New Roman" w:hAnsi="Times New Roman" w:cs="Times New Roman"/>
          <w:sz w:val="18"/>
          <w:szCs w:val="18"/>
        </w:rPr>
        <w:t>本公司按照</w:t>
      </w:r>
      <w:r w:rsidRPr="005A284F">
        <w:rPr>
          <w:rFonts w:ascii="Times New Roman" w:hAnsi="Times New Roman" w:cs="Times New Roman"/>
          <w:sz w:val="18"/>
          <w:szCs w:val="18"/>
        </w:rPr>
        <w:t>“</w:t>
      </w:r>
      <w:r w:rsidRPr="005A284F">
        <w:rPr>
          <w:rFonts w:ascii="Times New Roman" w:hAnsi="Times New Roman" w:cs="Times New Roman"/>
          <w:sz w:val="18"/>
          <w:szCs w:val="18"/>
        </w:rPr>
        <w:t>收入</w:t>
      </w:r>
      <w:r w:rsidRPr="005A284F">
        <w:rPr>
          <w:rFonts w:ascii="Times New Roman" w:hAnsi="Times New Roman" w:cs="Times New Roman"/>
          <w:sz w:val="18"/>
          <w:szCs w:val="18"/>
        </w:rPr>
        <w:t>”</w:t>
      </w:r>
      <w:r w:rsidRPr="005A284F">
        <w:rPr>
          <w:rFonts w:ascii="Times New Roman" w:hAnsi="Times New Roman" w:cs="Times New Roman"/>
          <w:sz w:val="18"/>
          <w:szCs w:val="18"/>
        </w:rPr>
        <w:t>附注所述原则评估确定售后租回交易中的资产转让是否属于销售。</w:t>
      </w:r>
    </w:p>
    <w:p w14:paraId="58130FDA" w14:textId="77777777" w:rsidR="000309B5" w:rsidRPr="005A284F" w:rsidRDefault="00000000">
      <w:pPr>
        <w:pStyle w:val="a3"/>
        <w:spacing w:before="0" w:beforeAutospacing="0" w:after="0" w:afterAutospacing="0" w:line="273" w:lineRule="auto"/>
        <w:ind w:firstLine="357"/>
        <w:jc w:val="both"/>
        <w:divId w:val="231239593"/>
        <w:rPr>
          <w:rFonts w:ascii="Times New Roman" w:hAnsi="Times New Roman" w:cs="Times New Roman"/>
        </w:rPr>
      </w:pPr>
      <w:r w:rsidRPr="005A284F">
        <w:rPr>
          <w:rFonts w:ascii="Times New Roman" w:hAnsi="Times New Roman" w:cs="Times New Roman"/>
          <w:sz w:val="18"/>
          <w:szCs w:val="18"/>
        </w:rPr>
        <w:t>售后租回交易中的资产转让属于销售的，本公司作为承租人按原资产账面价值中与租回获得的使用权有关的部分，计量售后租回所形成的使用权资产，并仅就转让至出租人的权利确认相关利得或损失；售后租回交易中的资产转让不属于销售的，本公司作为承租人继续确认被转让资产，同时确认一项与转让收入等额的金融负债。金融负债的会计处理详见</w:t>
      </w:r>
      <w:r w:rsidRPr="005A284F">
        <w:rPr>
          <w:rFonts w:ascii="Times New Roman" w:hAnsi="Times New Roman" w:cs="Times New Roman"/>
          <w:sz w:val="18"/>
          <w:szCs w:val="18"/>
        </w:rPr>
        <w:t>“</w:t>
      </w:r>
      <w:r w:rsidRPr="005A284F">
        <w:rPr>
          <w:rFonts w:ascii="Times New Roman" w:hAnsi="Times New Roman" w:cs="Times New Roman"/>
          <w:sz w:val="18"/>
          <w:szCs w:val="18"/>
        </w:rPr>
        <w:t>附注五、</w:t>
      </w:r>
      <w:r w:rsidRPr="005A284F">
        <w:rPr>
          <w:rFonts w:ascii="Times New Roman" w:hAnsi="Times New Roman" w:cs="Times New Roman"/>
          <w:sz w:val="18"/>
          <w:szCs w:val="18"/>
        </w:rPr>
        <w:t>11</w:t>
      </w:r>
      <w:r w:rsidRPr="005A284F">
        <w:rPr>
          <w:rFonts w:ascii="Times New Roman" w:hAnsi="Times New Roman" w:cs="Times New Roman"/>
          <w:sz w:val="18"/>
          <w:szCs w:val="18"/>
        </w:rPr>
        <w:t>金融工具</w:t>
      </w:r>
      <w:r w:rsidRPr="005A284F">
        <w:rPr>
          <w:rFonts w:ascii="Times New Roman" w:hAnsi="Times New Roman" w:cs="Times New Roman"/>
          <w:sz w:val="18"/>
          <w:szCs w:val="18"/>
        </w:rPr>
        <w:t>”</w:t>
      </w:r>
      <w:r w:rsidRPr="005A284F">
        <w:rPr>
          <w:rFonts w:ascii="Times New Roman" w:hAnsi="Times New Roman" w:cs="Times New Roman"/>
          <w:sz w:val="18"/>
          <w:szCs w:val="18"/>
        </w:rPr>
        <w:t>。</w:t>
      </w:r>
    </w:p>
    <w:p w14:paraId="6E54164E" w14:textId="77777777" w:rsidR="000309B5" w:rsidRPr="005A284F" w:rsidRDefault="00000000">
      <w:pPr>
        <w:pStyle w:val="a3"/>
        <w:spacing w:before="0" w:beforeAutospacing="0" w:after="0" w:afterAutospacing="0" w:line="273" w:lineRule="auto"/>
        <w:ind w:firstLine="357"/>
        <w:jc w:val="both"/>
        <w:divId w:val="231239593"/>
        <w:rPr>
          <w:rFonts w:ascii="Times New Roman" w:hAnsi="Times New Roman" w:cs="Times New Roman"/>
        </w:rPr>
      </w:pPr>
      <w:r w:rsidRPr="005A284F">
        <w:rPr>
          <w:rFonts w:ascii="Times New Roman" w:hAnsi="Times New Roman" w:cs="Times New Roman"/>
          <w:sz w:val="18"/>
          <w:szCs w:val="18"/>
        </w:rPr>
        <w:t>售后租回交易中的资产转让属于销售的，本公司作为出租人对资产购买进行会计处理，并根据前述</w:t>
      </w:r>
      <w:r w:rsidRPr="005A284F">
        <w:rPr>
          <w:rFonts w:ascii="Times New Roman" w:hAnsi="Times New Roman" w:cs="Times New Roman"/>
          <w:sz w:val="18"/>
          <w:szCs w:val="18"/>
        </w:rPr>
        <w:t>“</w:t>
      </w:r>
      <w:r w:rsidRPr="005A284F">
        <w:rPr>
          <w:rFonts w:ascii="Times New Roman" w:hAnsi="Times New Roman" w:cs="Times New Roman"/>
          <w:sz w:val="18"/>
          <w:szCs w:val="18"/>
        </w:rPr>
        <w:t>本公司作为出租人</w:t>
      </w:r>
      <w:r w:rsidRPr="005A284F">
        <w:rPr>
          <w:rFonts w:ascii="Times New Roman" w:hAnsi="Times New Roman" w:cs="Times New Roman"/>
          <w:sz w:val="18"/>
          <w:szCs w:val="18"/>
        </w:rPr>
        <w:t>”</w:t>
      </w:r>
      <w:r w:rsidRPr="005A284F">
        <w:rPr>
          <w:rFonts w:ascii="Times New Roman" w:hAnsi="Times New Roman" w:cs="Times New Roman"/>
          <w:sz w:val="18"/>
          <w:szCs w:val="18"/>
        </w:rPr>
        <w:t>的政策对资产出租进行会计处理；售后租回交易中的资产转让不属于销售的，本公司作为出租人不确认被转让资产，但确认一项与转让收入等额的金融资产。金融资产的会计处理详见</w:t>
      </w:r>
      <w:r w:rsidRPr="005A284F">
        <w:rPr>
          <w:rFonts w:ascii="Times New Roman" w:hAnsi="Times New Roman" w:cs="Times New Roman"/>
          <w:sz w:val="18"/>
          <w:szCs w:val="18"/>
        </w:rPr>
        <w:t>“</w:t>
      </w:r>
      <w:r w:rsidRPr="005A284F">
        <w:rPr>
          <w:rFonts w:ascii="Times New Roman" w:hAnsi="Times New Roman" w:cs="Times New Roman"/>
          <w:sz w:val="18"/>
          <w:szCs w:val="18"/>
        </w:rPr>
        <w:t>附注五、</w:t>
      </w:r>
      <w:r w:rsidRPr="005A284F">
        <w:rPr>
          <w:rFonts w:ascii="Times New Roman" w:hAnsi="Times New Roman" w:cs="Times New Roman"/>
          <w:sz w:val="18"/>
          <w:szCs w:val="18"/>
        </w:rPr>
        <w:t>11</w:t>
      </w:r>
      <w:r w:rsidRPr="005A284F">
        <w:rPr>
          <w:rFonts w:ascii="Times New Roman" w:hAnsi="Times New Roman" w:cs="Times New Roman"/>
          <w:sz w:val="18"/>
          <w:szCs w:val="18"/>
        </w:rPr>
        <w:t>金融工具</w:t>
      </w:r>
      <w:r w:rsidRPr="005A284F">
        <w:rPr>
          <w:rFonts w:ascii="Times New Roman" w:hAnsi="Times New Roman" w:cs="Times New Roman"/>
          <w:sz w:val="18"/>
          <w:szCs w:val="18"/>
        </w:rPr>
        <w:t>”</w:t>
      </w:r>
      <w:r w:rsidRPr="005A284F">
        <w:rPr>
          <w:rFonts w:ascii="Times New Roman" w:hAnsi="Times New Roman" w:cs="Times New Roman"/>
          <w:sz w:val="18"/>
          <w:szCs w:val="18"/>
        </w:rPr>
        <w:t>附注。</w:t>
      </w:r>
    </w:p>
    <w:p w14:paraId="2AE88EB2" w14:textId="77777777" w:rsidR="006C011D" w:rsidRPr="005A284F" w:rsidRDefault="00000000">
      <w:pPr>
        <w:pStyle w:val="3"/>
        <w:spacing w:line="280" w:lineRule="exact"/>
        <w:jc w:val="left"/>
        <w:rPr>
          <w:rFonts w:ascii="Times New Roman" w:hAnsi="Times New Roman" w:cs="Times New Roman"/>
          <w:b/>
          <w:bCs/>
        </w:rPr>
      </w:pPr>
      <w:bookmarkStart w:id="166" w:name="_Toc989055"/>
      <w:r w:rsidRPr="005A284F">
        <w:rPr>
          <w:rFonts w:ascii="Times New Roman" w:hAnsi="Times New Roman" w:cs="Times New Roman"/>
          <w:b/>
          <w:bCs/>
        </w:rPr>
        <w:t>42</w:t>
      </w:r>
      <w:r w:rsidRPr="005A284F">
        <w:rPr>
          <w:rFonts w:ascii="Times New Roman" w:hAnsi="Times New Roman" w:cs="Times New Roman"/>
          <w:b/>
          <w:bCs/>
        </w:rPr>
        <w:t>、其他重要的会计政策和会计估计</w:t>
      </w:r>
      <w:bookmarkEnd w:id="166"/>
    </w:p>
    <w:p w14:paraId="36B70CEB" w14:textId="77777777" w:rsidR="000309B5" w:rsidRPr="005A284F" w:rsidRDefault="00000000">
      <w:pPr>
        <w:pStyle w:val="a3"/>
        <w:spacing w:before="0" w:beforeAutospacing="0" w:after="0" w:afterAutospacing="0" w:line="273" w:lineRule="auto"/>
        <w:ind w:firstLine="357"/>
        <w:jc w:val="both"/>
        <w:divId w:val="791439901"/>
        <w:rPr>
          <w:rFonts w:ascii="Times New Roman" w:hAnsi="Times New Roman" w:cs="Times New Roman"/>
        </w:rPr>
      </w:pPr>
      <w:r w:rsidRPr="005A284F">
        <w:rPr>
          <w:rFonts w:ascii="Times New Roman" w:hAnsi="Times New Roman" w:cs="Times New Roman"/>
          <w:sz w:val="18"/>
          <w:szCs w:val="18"/>
        </w:rPr>
        <w:t>终止经营</w:t>
      </w:r>
    </w:p>
    <w:p w14:paraId="27776D70" w14:textId="77777777" w:rsidR="000309B5" w:rsidRPr="005A284F" w:rsidRDefault="00000000">
      <w:pPr>
        <w:pStyle w:val="a3"/>
        <w:spacing w:before="0" w:beforeAutospacing="0" w:after="0" w:afterAutospacing="0" w:line="273" w:lineRule="auto"/>
        <w:ind w:firstLine="357"/>
        <w:jc w:val="both"/>
        <w:divId w:val="791439901"/>
        <w:rPr>
          <w:rFonts w:ascii="Times New Roman" w:hAnsi="Times New Roman" w:cs="Times New Roman"/>
        </w:rPr>
      </w:pPr>
      <w:r w:rsidRPr="005A284F">
        <w:rPr>
          <w:rFonts w:ascii="Times New Roman" w:hAnsi="Times New Roman" w:cs="Times New Roman"/>
          <w:sz w:val="18"/>
          <w:szCs w:val="18"/>
        </w:rPr>
        <w:lastRenderedPageBreak/>
        <w:t>终止经营，是指满足下列条件之一的、能够单独区分且已被本集团处置或划分为持有待售类别的组成部分：</w:t>
      </w:r>
      <w:r w:rsidRPr="005A284F">
        <w:rPr>
          <w:rFonts w:ascii="Cambria Math" w:hAnsi="Cambria Math" w:cs="Cambria Math"/>
          <w:sz w:val="18"/>
          <w:szCs w:val="18"/>
        </w:rPr>
        <w:t>①</w:t>
      </w:r>
      <w:r w:rsidRPr="005A284F">
        <w:rPr>
          <w:rFonts w:ascii="Times New Roman" w:hAnsi="Times New Roman" w:cs="Times New Roman"/>
          <w:sz w:val="18"/>
          <w:szCs w:val="18"/>
        </w:rPr>
        <w:t>该组成部分代表一项独立的主要业务或一个单独的主要经营地区；</w:t>
      </w:r>
      <w:r w:rsidRPr="005A284F">
        <w:rPr>
          <w:rFonts w:ascii="Cambria Math" w:hAnsi="Cambria Math" w:cs="Cambria Math"/>
          <w:sz w:val="18"/>
          <w:szCs w:val="18"/>
        </w:rPr>
        <w:t>②</w:t>
      </w:r>
      <w:r w:rsidRPr="005A284F">
        <w:rPr>
          <w:rFonts w:ascii="Times New Roman" w:hAnsi="Times New Roman" w:cs="Times New Roman"/>
          <w:sz w:val="18"/>
          <w:szCs w:val="18"/>
        </w:rPr>
        <w:t>该组成部分是拟对一项独立的主要业务或一个单独的主要经营地区进行处置的一项相关联计划的一部分；</w:t>
      </w:r>
      <w:r w:rsidRPr="005A284F">
        <w:rPr>
          <w:rFonts w:ascii="Cambria Math" w:hAnsi="Cambria Math" w:cs="Cambria Math"/>
          <w:sz w:val="18"/>
          <w:szCs w:val="18"/>
        </w:rPr>
        <w:t>③</w:t>
      </w:r>
      <w:r w:rsidRPr="005A284F">
        <w:rPr>
          <w:rFonts w:ascii="Times New Roman" w:hAnsi="Times New Roman" w:cs="Times New Roman"/>
          <w:sz w:val="18"/>
          <w:szCs w:val="18"/>
        </w:rPr>
        <w:t>该组成部分是专为了转售而取得的子公司。</w:t>
      </w:r>
    </w:p>
    <w:p w14:paraId="2BAE21E7" w14:textId="77777777" w:rsidR="000309B5" w:rsidRPr="005A284F" w:rsidRDefault="00000000">
      <w:pPr>
        <w:pStyle w:val="a3"/>
        <w:spacing w:before="0" w:beforeAutospacing="0" w:after="0" w:afterAutospacing="0" w:line="273" w:lineRule="auto"/>
        <w:ind w:firstLine="357"/>
        <w:jc w:val="both"/>
        <w:divId w:val="791439901"/>
        <w:rPr>
          <w:rFonts w:ascii="Times New Roman" w:hAnsi="Times New Roman" w:cs="Times New Roman"/>
        </w:rPr>
      </w:pPr>
      <w:r w:rsidRPr="005A284F">
        <w:rPr>
          <w:rFonts w:ascii="Times New Roman" w:hAnsi="Times New Roman" w:cs="Times New Roman"/>
          <w:sz w:val="18"/>
          <w:szCs w:val="18"/>
        </w:rPr>
        <w:t>终止经营的会计处理方法参见本附注五、</w:t>
      </w:r>
      <w:r w:rsidRPr="005A284F">
        <w:rPr>
          <w:rFonts w:ascii="Times New Roman" w:hAnsi="Times New Roman" w:cs="Times New Roman"/>
          <w:sz w:val="18"/>
          <w:szCs w:val="18"/>
        </w:rPr>
        <w:t>18“</w:t>
      </w:r>
      <w:r w:rsidRPr="005A284F">
        <w:rPr>
          <w:rFonts w:ascii="Times New Roman" w:hAnsi="Times New Roman" w:cs="Times New Roman"/>
          <w:sz w:val="18"/>
          <w:szCs w:val="18"/>
        </w:rPr>
        <w:t>持有待售资产</w:t>
      </w:r>
      <w:r w:rsidRPr="005A284F">
        <w:rPr>
          <w:rFonts w:ascii="Times New Roman" w:hAnsi="Times New Roman" w:cs="Times New Roman"/>
          <w:sz w:val="18"/>
          <w:szCs w:val="18"/>
        </w:rPr>
        <w:t>”</w:t>
      </w:r>
      <w:r w:rsidRPr="005A284F">
        <w:rPr>
          <w:rFonts w:ascii="Times New Roman" w:hAnsi="Times New Roman" w:cs="Times New Roman"/>
          <w:sz w:val="18"/>
          <w:szCs w:val="18"/>
        </w:rPr>
        <w:t>相关描述。</w:t>
      </w:r>
    </w:p>
    <w:p w14:paraId="525767F2" w14:textId="77777777" w:rsidR="000309B5" w:rsidRPr="005A284F" w:rsidRDefault="00000000">
      <w:pPr>
        <w:pStyle w:val="a3"/>
        <w:spacing w:before="0" w:beforeAutospacing="0" w:after="0" w:afterAutospacing="0" w:line="273" w:lineRule="auto"/>
        <w:ind w:firstLine="357"/>
        <w:jc w:val="both"/>
        <w:divId w:val="791439901"/>
        <w:rPr>
          <w:rFonts w:ascii="Times New Roman" w:hAnsi="Times New Roman" w:cs="Times New Roman"/>
        </w:rPr>
      </w:pPr>
      <w:r w:rsidRPr="005A284F">
        <w:rPr>
          <w:rFonts w:ascii="Times New Roman" w:hAnsi="Times New Roman" w:cs="Times New Roman"/>
          <w:sz w:val="18"/>
          <w:szCs w:val="18"/>
        </w:rPr>
        <w:t>回购股份</w:t>
      </w:r>
    </w:p>
    <w:p w14:paraId="7E3B7E42" w14:textId="77777777" w:rsidR="000309B5" w:rsidRPr="005A284F" w:rsidRDefault="00000000">
      <w:pPr>
        <w:pStyle w:val="a3"/>
        <w:spacing w:before="0" w:beforeAutospacing="0" w:after="0" w:afterAutospacing="0" w:line="273" w:lineRule="auto"/>
        <w:ind w:firstLine="357"/>
        <w:jc w:val="both"/>
        <w:divId w:val="791439901"/>
        <w:rPr>
          <w:rFonts w:ascii="Times New Roman" w:hAnsi="Times New Roman" w:cs="Times New Roman"/>
        </w:rPr>
      </w:pPr>
      <w:r w:rsidRPr="005A284F">
        <w:rPr>
          <w:rFonts w:ascii="Times New Roman" w:hAnsi="Times New Roman" w:cs="Times New Roman"/>
          <w:sz w:val="18"/>
          <w:szCs w:val="18"/>
        </w:rPr>
        <w:t>股份回购中支付的对价和交易费用减少股东权益，回购、转让或注销本公司股份时，不确认利得或损失。</w:t>
      </w:r>
    </w:p>
    <w:p w14:paraId="4B67B7E4" w14:textId="77777777" w:rsidR="000309B5" w:rsidRPr="005A284F" w:rsidRDefault="00000000">
      <w:pPr>
        <w:pStyle w:val="a3"/>
        <w:spacing w:before="0" w:beforeAutospacing="0" w:after="0" w:afterAutospacing="0" w:line="273" w:lineRule="auto"/>
        <w:ind w:firstLine="357"/>
        <w:jc w:val="both"/>
        <w:divId w:val="791439901"/>
        <w:rPr>
          <w:rFonts w:ascii="Times New Roman" w:hAnsi="Times New Roman" w:cs="Times New Roman"/>
        </w:rPr>
      </w:pPr>
      <w:r w:rsidRPr="005A284F">
        <w:rPr>
          <w:rFonts w:ascii="Times New Roman" w:hAnsi="Times New Roman" w:cs="Times New Roman"/>
          <w:sz w:val="18"/>
          <w:szCs w:val="18"/>
        </w:rPr>
        <w:t>转让库存股，按实际收到的金额与库存股账面金额的差额，计入资本公积，资本公积不足冲减的，冲减盈余公积和未分配利润。注销库存股，按股票面值和注销股数减少股本，按注销库存股的账面余额与面值的差额，冲减资本公积，资本公积不足冲减的，冲减盈余公积和未分配利润。</w:t>
      </w:r>
    </w:p>
    <w:p w14:paraId="650680DD" w14:textId="77777777" w:rsidR="000309B5" w:rsidRPr="005A284F" w:rsidRDefault="00000000">
      <w:pPr>
        <w:pStyle w:val="a3"/>
        <w:spacing w:before="0" w:beforeAutospacing="0" w:after="0" w:afterAutospacing="0" w:line="273" w:lineRule="auto"/>
        <w:ind w:firstLine="357"/>
        <w:jc w:val="both"/>
        <w:divId w:val="791439901"/>
        <w:rPr>
          <w:rFonts w:ascii="Times New Roman" w:hAnsi="Times New Roman" w:cs="Times New Roman"/>
        </w:rPr>
      </w:pPr>
      <w:r w:rsidRPr="005A284F">
        <w:rPr>
          <w:rFonts w:ascii="Times New Roman" w:hAnsi="Times New Roman" w:cs="Times New Roman"/>
          <w:sz w:val="18"/>
          <w:szCs w:val="18"/>
        </w:rPr>
        <w:t>分部报告</w:t>
      </w:r>
    </w:p>
    <w:p w14:paraId="458A92B9" w14:textId="77777777" w:rsidR="000309B5" w:rsidRPr="005A284F" w:rsidRDefault="00000000">
      <w:pPr>
        <w:pStyle w:val="a3"/>
        <w:spacing w:before="0" w:beforeAutospacing="0" w:after="0" w:afterAutospacing="0" w:line="273" w:lineRule="auto"/>
        <w:ind w:firstLine="357"/>
        <w:jc w:val="both"/>
        <w:divId w:val="791439901"/>
        <w:rPr>
          <w:rFonts w:ascii="Times New Roman" w:hAnsi="Times New Roman" w:cs="Times New Roman"/>
        </w:rPr>
      </w:pPr>
      <w:r w:rsidRPr="005A284F">
        <w:rPr>
          <w:rFonts w:ascii="Times New Roman" w:hAnsi="Times New Roman" w:cs="Times New Roman"/>
          <w:sz w:val="18"/>
          <w:szCs w:val="18"/>
        </w:rPr>
        <w:t>本集团以内部组织结构、管理要求、内部报告制度为依据确定经营分部，以经营分部为基础确定报告分部并披露分部信息。</w:t>
      </w:r>
    </w:p>
    <w:p w14:paraId="702BA762" w14:textId="77777777" w:rsidR="000309B5" w:rsidRPr="005A284F" w:rsidRDefault="00000000">
      <w:pPr>
        <w:pStyle w:val="a3"/>
        <w:spacing w:before="0" w:beforeAutospacing="0" w:after="0" w:afterAutospacing="0" w:line="273" w:lineRule="auto"/>
        <w:ind w:firstLine="357"/>
        <w:jc w:val="both"/>
        <w:divId w:val="791439901"/>
        <w:rPr>
          <w:rFonts w:ascii="Times New Roman" w:hAnsi="Times New Roman" w:cs="Times New Roman"/>
        </w:rPr>
      </w:pPr>
      <w:r w:rsidRPr="005A284F">
        <w:rPr>
          <w:rFonts w:ascii="Times New Roman" w:hAnsi="Times New Roman" w:cs="Times New Roman"/>
          <w:sz w:val="18"/>
          <w:szCs w:val="18"/>
        </w:rPr>
        <w:t>经营分部是指本集团内同时满足下列条件的组成部分：</w:t>
      </w:r>
      <w:r w:rsidRPr="005A284F">
        <w:rPr>
          <w:rFonts w:ascii="Cambria Math" w:hAnsi="Cambria Math" w:cs="Cambria Math"/>
          <w:sz w:val="18"/>
          <w:szCs w:val="18"/>
        </w:rPr>
        <w:t>①</w:t>
      </w:r>
      <w:r w:rsidRPr="005A284F">
        <w:rPr>
          <w:rFonts w:ascii="Times New Roman" w:hAnsi="Times New Roman" w:cs="Times New Roman"/>
          <w:sz w:val="18"/>
          <w:szCs w:val="18"/>
        </w:rPr>
        <w:t>该组成部分能够在日常活动中产生收入、发生费用；</w:t>
      </w:r>
      <w:r w:rsidRPr="005A284F">
        <w:rPr>
          <w:rFonts w:ascii="Cambria Math" w:hAnsi="Cambria Math" w:cs="Cambria Math"/>
          <w:sz w:val="18"/>
          <w:szCs w:val="18"/>
        </w:rPr>
        <w:t>②</w:t>
      </w:r>
      <w:r w:rsidRPr="005A284F">
        <w:rPr>
          <w:rFonts w:ascii="Times New Roman" w:hAnsi="Times New Roman" w:cs="Times New Roman"/>
          <w:sz w:val="18"/>
          <w:szCs w:val="18"/>
        </w:rPr>
        <w:t>本集团管理层能够定期评价该组成部分的经营成果，以决定向其配置资源、评价其业绩；</w:t>
      </w:r>
      <w:r w:rsidRPr="005A284F">
        <w:rPr>
          <w:rFonts w:ascii="Cambria Math" w:hAnsi="Cambria Math" w:cs="Cambria Math"/>
          <w:sz w:val="18"/>
          <w:szCs w:val="18"/>
        </w:rPr>
        <w:t>③</w:t>
      </w:r>
      <w:r w:rsidRPr="005A284F">
        <w:rPr>
          <w:rFonts w:ascii="Times New Roman" w:hAnsi="Times New Roman" w:cs="Times New Roman"/>
          <w:sz w:val="18"/>
          <w:szCs w:val="18"/>
        </w:rPr>
        <w:t>本集团能够取得该组成部分的财务状况、经营成果和现金流量等有关会计信息。两个或多个经营分部具有相似的经济特征，并且满足一定条件的，则可合并为一个经营分部。</w:t>
      </w:r>
    </w:p>
    <w:p w14:paraId="55C1552F" w14:textId="77777777" w:rsidR="006C011D" w:rsidRPr="005A284F" w:rsidRDefault="00000000">
      <w:pPr>
        <w:pStyle w:val="3"/>
        <w:spacing w:line="280" w:lineRule="exact"/>
        <w:jc w:val="left"/>
        <w:rPr>
          <w:rFonts w:ascii="Times New Roman" w:hAnsi="Times New Roman" w:cs="Times New Roman"/>
          <w:b/>
          <w:bCs/>
        </w:rPr>
      </w:pPr>
      <w:bookmarkStart w:id="167" w:name="_Toc989056"/>
      <w:r w:rsidRPr="005A284F">
        <w:rPr>
          <w:rFonts w:ascii="Times New Roman" w:hAnsi="Times New Roman" w:cs="Times New Roman"/>
          <w:b/>
          <w:bCs/>
        </w:rPr>
        <w:t>43</w:t>
      </w:r>
      <w:r w:rsidRPr="005A284F">
        <w:rPr>
          <w:rFonts w:ascii="Times New Roman" w:hAnsi="Times New Roman" w:cs="Times New Roman"/>
          <w:b/>
          <w:bCs/>
        </w:rPr>
        <w:t>、重要会计政策和会计估计变更</w:t>
      </w:r>
      <w:bookmarkEnd w:id="167"/>
    </w:p>
    <w:p w14:paraId="74EDCC34" w14:textId="6206F161" w:rsidR="006C011D" w:rsidRPr="005A284F" w:rsidRDefault="00000000">
      <w:pPr>
        <w:keepNext/>
        <w:keepLines/>
        <w:spacing w:before="300" w:after="300" w:line="280" w:lineRule="exact"/>
        <w:outlineLvl w:val="3"/>
        <w:rPr>
          <w:rFonts w:ascii="Times New Roman" w:eastAsia="宋体" w:hAnsi="Times New Roman" w:cs="Times New Roman"/>
          <w:b/>
          <w:bCs/>
          <w:sz w:val="18"/>
          <w:szCs w:val="18"/>
        </w:rPr>
      </w:pPr>
      <w:bookmarkStart w:id="168" w:name="_Toc989057"/>
      <w:r w:rsidRPr="005A284F">
        <w:rPr>
          <w:rFonts w:ascii="Times New Roman" w:eastAsia="宋体" w:hAnsi="Times New Roman" w:cs="Times New Roman"/>
          <w:b/>
          <w:bCs/>
          <w:sz w:val="18"/>
          <w:szCs w:val="18"/>
        </w:rPr>
        <w:t>（</w:t>
      </w:r>
      <w:r w:rsidRPr="005A284F">
        <w:rPr>
          <w:rFonts w:ascii="Times New Roman" w:eastAsia="宋体" w:hAnsi="Times New Roman" w:cs="Times New Roman"/>
          <w:b/>
          <w:bCs/>
          <w:sz w:val="18"/>
          <w:szCs w:val="18"/>
        </w:rPr>
        <w:t>1</w:t>
      </w:r>
      <w:r w:rsidRPr="005A284F">
        <w:rPr>
          <w:rFonts w:ascii="Times New Roman" w:eastAsia="宋体" w:hAnsi="Times New Roman" w:cs="Times New Roman"/>
          <w:b/>
          <w:bCs/>
          <w:sz w:val="18"/>
          <w:szCs w:val="18"/>
        </w:rPr>
        <w:t>）重要会计政策变更</w:t>
      </w:r>
      <w:bookmarkEnd w:id="168"/>
    </w:p>
    <w:p w14:paraId="61BFE8D1" w14:textId="77777777" w:rsidR="006C011D" w:rsidRPr="00D15C4E" w:rsidRDefault="00000000">
      <w:pPr>
        <w:spacing w:before="40" w:after="40" w:line="240" w:lineRule="exact"/>
        <w:rPr>
          <w:rFonts w:ascii="宋体" w:eastAsia="宋体" w:hAnsi="宋体" w:cs="Times New Roman" w:hint="eastAsia"/>
          <w:sz w:val="18"/>
          <w:szCs w:val="18"/>
        </w:rPr>
      </w:pPr>
      <w:r w:rsidRPr="00D15C4E">
        <w:rPr>
          <w:rFonts w:ascii="宋体" w:eastAsia="宋体" w:hAnsi="宋体" w:cs="Times New Roman"/>
          <w:sz w:val="18"/>
          <w:szCs w:val="18"/>
        </w:rPr>
        <w:t xml:space="preserve">□适用 </w:t>
      </w:r>
      <w:r w:rsidRPr="00D15C4E">
        <w:rPr>
          <w:rFonts w:ascii="宋体" w:eastAsia="宋体" w:hAnsi="宋体" w:cs="Times New Roman"/>
          <w:sz w:val="18"/>
          <w:szCs w:val="18"/>
        </w:rPr>
        <w:sym w:font="Wingdings 2" w:char="F052"/>
      </w:r>
      <w:r w:rsidRPr="00D15C4E">
        <w:rPr>
          <w:rFonts w:ascii="宋体" w:eastAsia="宋体" w:hAnsi="宋体" w:cs="Times New Roman"/>
          <w:sz w:val="18"/>
          <w:szCs w:val="18"/>
        </w:rPr>
        <w:t>不适用</w:t>
      </w:r>
    </w:p>
    <w:p w14:paraId="1A537292" w14:textId="3F66F313" w:rsidR="006C011D" w:rsidRPr="005A284F" w:rsidRDefault="00000000">
      <w:pPr>
        <w:keepNext/>
        <w:keepLines/>
        <w:spacing w:before="300" w:after="300" w:line="280" w:lineRule="exact"/>
        <w:outlineLvl w:val="3"/>
        <w:rPr>
          <w:rFonts w:ascii="Times New Roman" w:eastAsia="宋体" w:hAnsi="Times New Roman" w:cs="Times New Roman"/>
          <w:b/>
          <w:bCs/>
          <w:sz w:val="18"/>
          <w:szCs w:val="18"/>
        </w:rPr>
      </w:pPr>
      <w:bookmarkStart w:id="169" w:name="_Toc989058"/>
      <w:r w:rsidRPr="005A284F">
        <w:rPr>
          <w:rFonts w:ascii="Times New Roman" w:eastAsia="宋体" w:hAnsi="Times New Roman" w:cs="Times New Roman"/>
          <w:b/>
          <w:bCs/>
          <w:sz w:val="18"/>
          <w:szCs w:val="18"/>
        </w:rPr>
        <w:t>（</w:t>
      </w:r>
      <w:r w:rsidRPr="005A284F">
        <w:rPr>
          <w:rFonts w:ascii="Times New Roman" w:eastAsia="宋体" w:hAnsi="Times New Roman" w:cs="Times New Roman"/>
          <w:b/>
          <w:bCs/>
          <w:sz w:val="18"/>
          <w:szCs w:val="18"/>
        </w:rPr>
        <w:t>2</w:t>
      </w:r>
      <w:r w:rsidRPr="005A284F">
        <w:rPr>
          <w:rFonts w:ascii="Times New Roman" w:eastAsia="宋体" w:hAnsi="Times New Roman" w:cs="Times New Roman"/>
          <w:b/>
          <w:bCs/>
          <w:sz w:val="18"/>
          <w:szCs w:val="18"/>
        </w:rPr>
        <w:t>）重要会计估计变更</w:t>
      </w:r>
      <w:bookmarkEnd w:id="169"/>
    </w:p>
    <w:p w14:paraId="0E5EF9F3" w14:textId="77777777" w:rsidR="006C011D" w:rsidRPr="00D15C4E" w:rsidRDefault="00000000">
      <w:pPr>
        <w:spacing w:before="40" w:after="40" w:line="240" w:lineRule="exact"/>
        <w:rPr>
          <w:rFonts w:ascii="宋体" w:eastAsia="宋体" w:hAnsi="宋体" w:cs="Times New Roman" w:hint="eastAsia"/>
          <w:sz w:val="18"/>
          <w:szCs w:val="18"/>
        </w:rPr>
      </w:pPr>
      <w:r w:rsidRPr="00D15C4E">
        <w:rPr>
          <w:rFonts w:ascii="宋体" w:eastAsia="宋体" w:hAnsi="宋体" w:cs="Times New Roman"/>
          <w:sz w:val="18"/>
          <w:szCs w:val="18"/>
        </w:rPr>
        <w:t xml:space="preserve">□适用 </w:t>
      </w:r>
      <w:r w:rsidRPr="00D15C4E">
        <w:rPr>
          <w:rFonts w:ascii="宋体" w:eastAsia="宋体" w:hAnsi="宋体" w:cs="Times New Roman"/>
          <w:sz w:val="18"/>
          <w:szCs w:val="18"/>
        </w:rPr>
        <w:sym w:font="Wingdings 2" w:char="F052"/>
      </w:r>
      <w:r w:rsidRPr="00D15C4E">
        <w:rPr>
          <w:rFonts w:ascii="宋体" w:eastAsia="宋体" w:hAnsi="宋体" w:cs="Times New Roman"/>
          <w:sz w:val="18"/>
          <w:szCs w:val="18"/>
        </w:rPr>
        <w:t>不适用</w:t>
      </w:r>
    </w:p>
    <w:p w14:paraId="6CA78783" w14:textId="6B87FBC3" w:rsidR="006C011D" w:rsidRPr="005A284F" w:rsidRDefault="00000000">
      <w:pPr>
        <w:keepNext/>
        <w:keepLines/>
        <w:spacing w:before="300" w:after="300" w:line="280" w:lineRule="exact"/>
        <w:outlineLvl w:val="3"/>
        <w:rPr>
          <w:rFonts w:ascii="Times New Roman" w:eastAsia="宋体" w:hAnsi="Times New Roman" w:cs="Times New Roman"/>
          <w:b/>
          <w:bCs/>
          <w:sz w:val="18"/>
          <w:szCs w:val="18"/>
        </w:rPr>
      </w:pPr>
      <w:bookmarkStart w:id="170" w:name="_Toc989059"/>
      <w:r w:rsidRPr="005A284F">
        <w:rPr>
          <w:rFonts w:ascii="Times New Roman" w:eastAsia="宋体" w:hAnsi="Times New Roman" w:cs="Times New Roman"/>
          <w:b/>
          <w:bCs/>
          <w:sz w:val="18"/>
          <w:szCs w:val="18"/>
        </w:rPr>
        <w:t>（</w:t>
      </w:r>
      <w:r w:rsidRPr="005A284F">
        <w:rPr>
          <w:rFonts w:ascii="Times New Roman" w:eastAsia="宋体" w:hAnsi="Times New Roman" w:cs="Times New Roman"/>
          <w:b/>
          <w:bCs/>
          <w:sz w:val="18"/>
          <w:szCs w:val="18"/>
        </w:rPr>
        <w:t>3</w:t>
      </w:r>
      <w:r w:rsidRPr="005A284F">
        <w:rPr>
          <w:rFonts w:ascii="Times New Roman" w:eastAsia="宋体" w:hAnsi="Times New Roman" w:cs="Times New Roman"/>
          <w:b/>
          <w:bCs/>
          <w:sz w:val="18"/>
          <w:szCs w:val="18"/>
        </w:rPr>
        <w:t>）</w:t>
      </w:r>
      <w:r w:rsidRPr="005A284F">
        <w:rPr>
          <w:rFonts w:ascii="Times New Roman" w:eastAsia="宋体" w:hAnsi="Times New Roman" w:cs="Times New Roman"/>
          <w:b/>
          <w:bCs/>
          <w:sz w:val="18"/>
          <w:szCs w:val="18"/>
        </w:rPr>
        <w:t>2025</w:t>
      </w:r>
      <w:r w:rsidRPr="005A284F">
        <w:rPr>
          <w:rFonts w:ascii="Times New Roman" w:eastAsia="宋体" w:hAnsi="Times New Roman" w:cs="Times New Roman"/>
          <w:b/>
          <w:bCs/>
          <w:sz w:val="18"/>
          <w:szCs w:val="18"/>
        </w:rPr>
        <w:t>年起首次执行新会计准则调整首次执行当年年初财务报表相关项目情况</w:t>
      </w:r>
      <w:bookmarkEnd w:id="170"/>
    </w:p>
    <w:p w14:paraId="72069B2E" w14:textId="77777777" w:rsidR="006C011D" w:rsidRPr="00D15C4E" w:rsidRDefault="00000000">
      <w:pPr>
        <w:spacing w:before="40" w:after="40" w:line="240" w:lineRule="exact"/>
        <w:rPr>
          <w:rFonts w:ascii="宋体" w:eastAsia="宋体" w:hAnsi="宋体" w:cs="Times New Roman" w:hint="eastAsia"/>
          <w:sz w:val="18"/>
          <w:szCs w:val="18"/>
        </w:rPr>
      </w:pPr>
      <w:r w:rsidRPr="00D15C4E">
        <w:rPr>
          <w:rFonts w:ascii="宋体" w:eastAsia="宋体" w:hAnsi="宋体" w:cs="Times New Roman"/>
          <w:sz w:val="18"/>
          <w:szCs w:val="18"/>
        </w:rPr>
        <w:t xml:space="preserve">□适用 </w:t>
      </w:r>
      <w:r w:rsidRPr="00D15C4E">
        <w:rPr>
          <w:rFonts w:ascii="宋体" w:eastAsia="宋体" w:hAnsi="宋体" w:cs="Times New Roman"/>
          <w:sz w:val="18"/>
          <w:szCs w:val="18"/>
        </w:rPr>
        <w:sym w:font="Wingdings 2" w:char="F052"/>
      </w:r>
      <w:r w:rsidRPr="00D15C4E">
        <w:rPr>
          <w:rFonts w:ascii="宋体" w:eastAsia="宋体" w:hAnsi="宋体" w:cs="Times New Roman"/>
          <w:sz w:val="18"/>
          <w:szCs w:val="18"/>
        </w:rPr>
        <w:t>不适用</w:t>
      </w:r>
    </w:p>
    <w:p w14:paraId="027C37D0" w14:textId="77777777" w:rsidR="006C011D" w:rsidRPr="005A284F" w:rsidRDefault="00000000">
      <w:pPr>
        <w:pStyle w:val="3"/>
        <w:spacing w:line="280" w:lineRule="exact"/>
        <w:jc w:val="left"/>
        <w:rPr>
          <w:rFonts w:ascii="Times New Roman" w:hAnsi="Times New Roman" w:cs="Times New Roman"/>
          <w:b/>
          <w:bCs/>
        </w:rPr>
      </w:pPr>
      <w:bookmarkStart w:id="171" w:name="_Toc989060"/>
      <w:r w:rsidRPr="005A284F">
        <w:rPr>
          <w:rFonts w:ascii="Times New Roman" w:hAnsi="Times New Roman" w:cs="Times New Roman"/>
          <w:b/>
          <w:bCs/>
        </w:rPr>
        <w:t>44</w:t>
      </w:r>
      <w:r w:rsidRPr="005A284F">
        <w:rPr>
          <w:rFonts w:ascii="Times New Roman" w:hAnsi="Times New Roman" w:cs="Times New Roman"/>
          <w:b/>
          <w:bCs/>
        </w:rPr>
        <w:t>、其他</w:t>
      </w:r>
      <w:bookmarkEnd w:id="171"/>
    </w:p>
    <w:p w14:paraId="7275E307" w14:textId="77777777" w:rsidR="000309B5" w:rsidRPr="005A284F" w:rsidRDefault="00000000" w:rsidP="00D15C4E">
      <w:pPr>
        <w:pStyle w:val="a3"/>
        <w:spacing w:before="0" w:beforeAutospacing="0" w:after="0" w:afterAutospacing="0" w:line="276" w:lineRule="auto"/>
        <w:ind w:firstLine="357"/>
        <w:jc w:val="both"/>
        <w:divId w:val="1561556651"/>
        <w:rPr>
          <w:rFonts w:ascii="Times New Roman" w:hAnsi="Times New Roman" w:cs="Times New Roman"/>
        </w:rPr>
      </w:pPr>
      <w:r w:rsidRPr="005A284F">
        <w:rPr>
          <w:rFonts w:ascii="Times New Roman" w:hAnsi="Times New Roman" w:cs="Times New Roman"/>
          <w:sz w:val="18"/>
          <w:szCs w:val="18"/>
        </w:rPr>
        <w:t>本集团在运用会计政策过程中，由于经营活动存在的不确定性，需要对无法准确计量的报表项目的账面价值进行判断、估计和假设。这些判断、估计和假设是基于本集团管理层过去的历史经验，并在考虑其他相关因素的基础上做出的。这些判断、估计和假设会影响收入、费用、资产和负债的报告金额以及资产负债表日或有负债的披露。然而，这些估计的不确定性所导致的实际结果可能与本集团管理层当前的估计存在差异，进而造成对未来受影响的资产或负债的账面金额进行重大调整。</w:t>
      </w:r>
    </w:p>
    <w:p w14:paraId="2F9373CA" w14:textId="77777777" w:rsidR="000309B5" w:rsidRPr="005A284F" w:rsidRDefault="00000000" w:rsidP="00D15C4E">
      <w:pPr>
        <w:pStyle w:val="a3"/>
        <w:spacing w:before="0" w:beforeAutospacing="0" w:after="0" w:afterAutospacing="0" w:line="276" w:lineRule="auto"/>
        <w:ind w:firstLine="357"/>
        <w:jc w:val="both"/>
        <w:divId w:val="1561556651"/>
        <w:rPr>
          <w:rFonts w:ascii="Times New Roman" w:hAnsi="Times New Roman" w:cs="Times New Roman"/>
        </w:rPr>
      </w:pPr>
      <w:r w:rsidRPr="005A284F">
        <w:rPr>
          <w:rFonts w:ascii="Times New Roman" w:hAnsi="Times New Roman" w:cs="Times New Roman"/>
          <w:sz w:val="18"/>
          <w:szCs w:val="18"/>
        </w:rPr>
        <w:t>本集团对前述判断、估计和假设在持续经营的基础上进行定期复核，会计估计的变更仅影响变更当期的，其影响数在变更当期予以确认；既影响变更当期又影响未来期间的，其影响数在变更当期和未来期间予以确认。</w:t>
      </w:r>
    </w:p>
    <w:p w14:paraId="46CDDAAF" w14:textId="77777777" w:rsidR="000309B5" w:rsidRPr="005A284F" w:rsidRDefault="00000000" w:rsidP="00D15C4E">
      <w:pPr>
        <w:pStyle w:val="a3"/>
        <w:spacing w:before="0" w:beforeAutospacing="0" w:after="0" w:afterAutospacing="0" w:line="276" w:lineRule="auto"/>
        <w:ind w:firstLine="357"/>
        <w:jc w:val="both"/>
        <w:divId w:val="1561556651"/>
        <w:rPr>
          <w:rFonts w:ascii="Times New Roman" w:hAnsi="Times New Roman" w:cs="Times New Roman"/>
        </w:rPr>
      </w:pPr>
      <w:r w:rsidRPr="005A284F">
        <w:rPr>
          <w:rFonts w:ascii="Times New Roman" w:hAnsi="Times New Roman" w:cs="Times New Roman"/>
          <w:sz w:val="18"/>
          <w:szCs w:val="18"/>
        </w:rPr>
        <w:t>于资产负债表日，本集团需对财务报表项目金额进行判断、估计和假设的重要领域如下：</w:t>
      </w:r>
    </w:p>
    <w:p w14:paraId="624B3E4B" w14:textId="77777777" w:rsidR="000309B5" w:rsidRPr="005A284F" w:rsidRDefault="00000000" w:rsidP="00D15C4E">
      <w:pPr>
        <w:pStyle w:val="a3"/>
        <w:spacing w:before="0" w:beforeAutospacing="0" w:after="0" w:afterAutospacing="0" w:line="276" w:lineRule="auto"/>
        <w:ind w:firstLine="357"/>
        <w:jc w:val="both"/>
        <w:divId w:val="1561556651"/>
        <w:rPr>
          <w:rFonts w:ascii="Times New Roman" w:hAnsi="Times New Roman" w:cs="Times New Roman"/>
        </w:rPr>
      </w:pPr>
      <w:r w:rsidRPr="005A284F">
        <w:rPr>
          <w:rFonts w:ascii="Times New Roman" w:hAnsi="Times New Roman" w:cs="Times New Roman"/>
          <w:sz w:val="18"/>
          <w:szCs w:val="18"/>
        </w:rPr>
        <w:t>收入确认</w:t>
      </w:r>
    </w:p>
    <w:p w14:paraId="7BA1B176" w14:textId="77777777" w:rsidR="000309B5" w:rsidRPr="005A284F" w:rsidRDefault="00000000" w:rsidP="00D15C4E">
      <w:pPr>
        <w:pStyle w:val="a3"/>
        <w:spacing w:before="0" w:beforeAutospacing="0" w:after="0" w:afterAutospacing="0" w:line="276" w:lineRule="auto"/>
        <w:ind w:firstLine="357"/>
        <w:jc w:val="both"/>
        <w:divId w:val="1561556651"/>
        <w:rPr>
          <w:rFonts w:ascii="Times New Roman" w:hAnsi="Times New Roman" w:cs="Times New Roman"/>
        </w:rPr>
      </w:pPr>
      <w:r w:rsidRPr="005A284F">
        <w:rPr>
          <w:rFonts w:ascii="Times New Roman" w:hAnsi="Times New Roman" w:cs="Times New Roman"/>
          <w:sz w:val="18"/>
          <w:szCs w:val="18"/>
        </w:rPr>
        <w:lastRenderedPageBreak/>
        <w:t>如本附注五、</w:t>
      </w:r>
      <w:r w:rsidRPr="005A284F">
        <w:rPr>
          <w:rFonts w:ascii="Times New Roman" w:hAnsi="Times New Roman" w:cs="Times New Roman"/>
          <w:sz w:val="18"/>
          <w:szCs w:val="18"/>
        </w:rPr>
        <w:t>37“</w:t>
      </w:r>
      <w:r w:rsidRPr="005A284F">
        <w:rPr>
          <w:rFonts w:ascii="Times New Roman" w:hAnsi="Times New Roman" w:cs="Times New Roman"/>
          <w:sz w:val="18"/>
          <w:szCs w:val="18"/>
        </w:rPr>
        <w:t>收入</w:t>
      </w:r>
      <w:r w:rsidRPr="005A284F">
        <w:rPr>
          <w:rFonts w:ascii="Times New Roman" w:hAnsi="Times New Roman" w:cs="Times New Roman"/>
          <w:sz w:val="18"/>
          <w:szCs w:val="18"/>
        </w:rPr>
        <w:t>”</w:t>
      </w:r>
      <w:r w:rsidRPr="005A284F">
        <w:rPr>
          <w:rFonts w:ascii="Times New Roman" w:hAnsi="Times New Roman" w:cs="Times New Roman"/>
          <w:sz w:val="18"/>
          <w:szCs w:val="18"/>
        </w:rPr>
        <w:t>所述，本集团在收入确认方面涉及到如下重大的会计判断和估计：识别客户合同；估计因向客户转让商品而有权取得的对价的可收回性；识别合同中的履约义务；估计合同中存在的可变对价以及在相关不确定性消除时累计已确认收入极可能不会发生重大转回的金额；合同中是否存在重大融资成分；估计合同中单项履约义务的单独售价；确定履约义务是在某一时段内履行还是在某一时点履行；履约进度的确定，等等。</w:t>
      </w:r>
    </w:p>
    <w:p w14:paraId="0522037E" w14:textId="77777777" w:rsidR="000309B5" w:rsidRPr="005A284F" w:rsidRDefault="00000000" w:rsidP="00D15C4E">
      <w:pPr>
        <w:pStyle w:val="a3"/>
        <w:spacing w:before="0" w:beforeAutospacing="0" w:after="0" w:afterAutospacing="0" w:line="276" w:lineRule="auto"/>
        <w:ind w:firstLine="357"/>
        <w:jc w:val="both"/>
        <w:divId w:val="1561556651"/>
        <w:rPr>
          <w:rFonts w:ascii="Times New Roman" w:hAnsi="Times New Roman" w:cs="Times New Roman"/>
        </w:rPr>
      </w:pPr>
      <w:r w:rsidRPr="005A284F">
        <w:rPr>
          <w:rFonts w:ascii="Times New Roman" w:hAnsi="Times New Roman" w:cs="Times New Roman"/>
          <w:sz w:val="18"/>
          <w:szCs w:val="18"/>
        </w:rPr>
        <w:t>本集团主要依靠过去的经验和工作作出判断，这些重大判断和估计变更都可能对变更当期或以后期间的营业收入、营业成本，以及期间损益产生影响，且可能构成重大影响。</w:t>
      </w:r>
    </w:p>
    <w:p w14:paraId="04ECA390" w14:textId="77777777" w:rsidR="000309B5" w:rsidRPr="005A284F" w:rsidRDefault="00000000" w:rsidP="00D15C4E">
      <w:pPr>
        <w:pStyle w:val="a3"/>
        <w:spacing w:before="0" w:beforeAutospacing="0" w:after="0" w:afterAutospacing="0" w:line="276" w:lineRule="auto"/>
        <w:ind w:firstLine="357"/>
        <w:jc w:val="both"/>
        <w:divId w:val="1561556651"/>
        <w:rPr>
          <w:rFonts w:ascii="Times New Roman" w:hAnsi="Times New Roman" w:cs="Times New Roman"/>
        </w:rPr>
      </w:pPr>
      <w:r w:rsidRPr="005A284F">
        <w:rPr>
          <w:rFonts w:ascii="Times New Roman" w:hAnsi="Times New Roman" w:cs="Times New Roman"/>
          <w:sz w:val="18"/>
          <w:szCs w:val="18"/>
        </w:rPr>
        <w:t>租赁</w:t>
      </w:r>
    </w:p>
    <w:p w14:paraId="054B73ED" w14:textId="77777777" w:rsidR="000309B5" w:rsidRPr="005A284F" w:rsidRDefault="00000000" w:rsidP="00D15C4E">
      <w:pPr>
        <w:pStyle w:val="a3"/>
        <w:spacing w:before="0" w:beforeAutospacing="0" w:after="0" w:afterAutospacing="0" w:line="276" w:lineRule="auto"/>
        <w:ind w:firstLine="357"/>
        <w:jc w:val="both"/>
        <w:divId w:val="1561556651"/>
        <w:rPr>
          <w:rFonts w:ascii="Times New Roman" w:hAnsi="Times New Roman" w:cs="Times New Roman"/>
        </w:rPr>
      </w:pPr>
      <w:r w:rsidRPr="005A284F">
        <w:rPr>
          <w:rFonts w:ascii="Cambria Math" w:hAnsi="Cambria Math" w:cs="Cambria Math"/>
          <w:sz w:val="18"/>
          <w:szCs w:val="18"/>
        </w:rPr>
        <w:t>①</w:t>
      </w:r>
      <w:r w:rsidRPr="005A284F">
        <w:rPr>
          <w:rFonts w:ascii="Times New Roman" w:hAnsi="Times New Roman" w:cs="Times New Roman"/>
          <w:sz w:val="18"/>
          <w:szCs w:val="18"/>
        </w:rPr>
        <w:t>租赁的识别</w:t>
      </w:r>
    </w:p>
    <w:p w14:paraId="3AAB0FCF" w14:textId="77777777" w:rsidR="000309B5" w:rsidRPr="005A284F" w:rsidRDefault="00000000" w:rsidP="00D15C4E">
      <w:pPr>
        <w:pStyle w:val="a3"/>
        <w:spacing w:before="0" w:beforeAutospacing="0" w:after="0" w:afterAutospacing="0" w:line="276" w:lineRule="auto"/>
        <w:ind w:firstLine="357"/>
        <w:jc w:val="both"/>
        <w:divId w:val="1561556651"/>
        <w:rPr>
          <w:rFonts w:ascii="Times New Roman" w:hAnsi="Times New Roman" w:cs="Times New Roman"/>
        </w:rPr>
      </w:pPr>
      <w:r w:rsidRPr="005A284F">
        <w:rPr>
          <w:rFonts w:ascii="Times New Roman" w:hAnsi="Times New Roman" w:cs="Times New Roman"/>
          <w:sz w:val="18"/>
          <w:szCs w:val="18"/>
        </w:rPr>
        <w:t>本集团在识别一项合同是否为租赁或包含租赁时，需要评估是否存在一项已识别资产，且客户控制了该资产在一定期间内的使用权。在评估时，需要考虑资产的性质、实质性替换权、以及客户是否有权获得因在该期间使用该资产所产生的几乎全部经济利益，并能够主导该资产的使用。</w:t>
      </w:r>
    </w:p>
    <w:p w14:paraId="4F8A4154" w14:textId="77777777" w:rsidR="000309B5" w:rsidRPr="005A284F" w:rsidRDefault="00000000" w:rsidP="00D15C4E">
      <w:pPr>
        <w:pStyle w:val="a3"/>
        <w:spacing w:before="0" w:beforeAutospacing="0" w:after="0" w:afterAutospacing="0" w:line="276" w:lineRule="auto"/>
        <w:ind w:firstLine="357"/>
        <w:jc w:val="both"/>
        <w:divId w:val="1561556651"/>
        <w:rPr>
          <w:rFonts w:ascii="Times New Roman" w:hAnsi="Times New Roman" w:cs="Times New Roman"/>
        </w:rPr>
      </w:pPr>
      <w:r w:rsidRPr="005A284F">
        <w:rPr>
          <w:rFonts w:ascii="Cambria Math" w:hAnsi="Cambria Math" w:cs="Cambria Math"/>
          <w:sz w:val="18"/>
          <w:szCs w:val="18"/>
        </w:rPr>
        <w:t>②</w:t>
      </w:r>
      <w:r w:rsidRPr="005A284F">
        <w:rPr>
          <w:rFonts w:ascii="Times New Roman" w:hAnsi="Times New Roman" w:cs="Times New Roman"/>
          <w:sz w:val="18"/>
          <w:szCs w:val="18"/>
        </w:rPr>
        <w:t>租赁的分类</w:t>
      </w:r>
    </w:p>
    <w:p w14:paraId="05F91826" w14:textId="77777777" w:rsidR="000309B5" w:rsidRPr="005A284F" w:rsidRDefault="00000000" w:rsidP="00D15C4E">
      <w:pPr>
        <w:pStyle w:val="a3"/>
        <w:spacing w:before="0" w:beforeAutospacing="0" w:after="0" w:afterAutospacing="0" w:line="276" w:lineRule="auto"/>
        <w:ind w:firstLine="357"/>
        <w:jc w:val="both"/>
        <w:divId w:val="1561556651"/>
        <w:rPr>
          <w:rFonts w:ascii="Times New Roman" w:hAnsi="Times New Roman" w:cs="Times New Roman"/>
        </w:rPr>
      </w:pPr>
      <w:r w:rsidRPr="005A284F">
        <w:rPr>
          <w:rFonts w:ascii="Times New Roman" w:hAnsi="Times New Roman" w:cs="Times New Roman"/>
          <w:sz w:val="18"/>
          <w:szCs w:val="18"/>
        </w:rPr>
        <w:t>本集团作为出租人时，将租赁分类为经营租赁和融资租赁。在进行分类时，管理层需要对是否已将与租出资产所有权有关的全部风险和报酬实质上转移给承租人作出分析和判断。</w:t>
      </w:r>
    </w:p>
    <w:p w14:paraId="40201B1C" w14:textId="77777777" w:rsidR="000309B5" w:rsidRPr="005A284F" w:rsidRDefault="00000000" w:rsidP="00D15C4E">
      <w:pPr>
        <w:pStyle w:val="a3"/>
        <w:spacing w:before="0" w:beforeAutospacing="0" w:after="0" w:afterAutospacing="0" w:line="276" w:lineRule="auto"/>
        <w:ind w:firstLine="357"/>
        <w:jc w:val="both"/>
        <w:divId w:val="1561556651"/>
        <w:rPr>
          <w:rFonts w:ascii="Times New Roman" w:hAnsi="Times New Roman" w:cs="Times New Roman"/>
        </w:rPr>
      </w:pPr>
      <w:r w:rsidRPr="005A284F">
        <w:rPr>
          <w:rFonts w:ascii="Cambria Math" w:hAnsi="Cambria Math" w:cs="Cambria Math"/>
          <w:sz w:val="18"/>
          <w:szCs w:val="18"/>
        </w:rPr>
        <w:t>③</w:t>
      </w:r>
      <w:r w:rsidRPr="005A284F">
        <w:rPr>
          <w:rFonts w:ascii="Times New Roman" w:hAnsi="Times New Roman" w:cs="Times New Roman"/>
          <w:sz w:val="18"/>
          <w:szCs w:val="18"/>
        </w:rPr>
        <w:t>租赁负债</w:t>
      </w:r>
    </w:p>
    <w:p w14:paraId="2ABCC895" w14:textId="77777777" w:rsidR="000309B5" w:rsidRPr="005A284F" w:rsidRDefault="00000000" w:rsidP="00D15C4E">
      <w:pPr>
        <w:pStyle w:val="a3"/>
        <w:spacing w:before="0" w:beforeAutospacing="0" w:after="0" w:afterAutospacing="0" w:line="276" w:lineRule="auto"/>
        <w:ind w:firstLine="357"/>
        <w:jc w:val="both"/>
        <w:divId w:val="1561556651"/>
        <w:rPr>
          <w:rFonts w:ascii="Times New Roman" w:hAnsi="Times New Roman" w:cs="Times New Roman"/>
        </w:rPr>
      </w:pPr>
      <w:r w:rsidRPr="005A284F">
        <w:rPr>
          <w:rFonts w:ascii="Times New Roman" w:hAnsi="Times New Roman" w:cs="Times New Roman"/>
          <w:sz w:val="18"/>
          <w:szCs w:val="18"/>
        </w:rPr>
        <w:t>本集团作为承租人时，租赁负债按照租赁期开始日尚未支付的租赁付款额的现值进行初始计量。在计量租赁付款额的现值时，本集团对使用的折现率以及存在续租选择权或终止选择权的租赁合同的租赁期进行估计。在评估租赁期时，本集团综合考虑与本集团行使选择权带来经济利益的所有相关事实和情况，包括自租赁期开始日至选择权行使日之间的事实和情况的预期变化等。不同的判断及估计可能会影响租赁负债和使用权资产的确认，并将影响后续期间的损益。</w:t>
      </w:r>
    </w:p>
    <w:p w14:paraId="2767B394" w14:textId="77777777" w:rsidR="000309B5" w:rsidRPr="005A284F" w:rsidRDefault="00000000" w:rsidP="00D15C4E">
      <w:pPr>
        <w:pStyle w:val="a3"/>
        <w:spacing w:before="0" w:beforeAutospacing="0" w:after="0" w:afterAutospacing="0" w:line="276" w:lineRule="auto"/>
        <w:ind w:firstLine="357"/>
        <w:jc w:val="both"/>
        <w:divId w:val="1561556651"/>
        <w:rPr>
          <w:rFonts w:ascii="Times New Roman" w:hAnsi="Times New Roman" w:cs="Times New Roman"/>
        </w:rPr>
      </w:pPr>
      <w:r w:rsidRPr="005A284F">
        <w:rPr>
          <w:rFonts w:ascii="Times New Roman" w:hAnsi="Times New Roman" w:cs="Times New Roman"/>
          <w:sz w:val="18"/>
          <w:szCs w:val="18"/>
        </w:rPr>
        <w:t>金融资产减值</w:t>
      </w:r>
    </w:p>
    <w:p w14:paraId="5060F820" w14:textId="77777777" w:rsidR="000309B5" w:rsidRPr="005A284F" w:rsidRDefault="00000000" w:rsidP="00D15C4E">
      <w:pPr>
        <w:pStyle w:val="a3"/>
        <w:spacing w:before="0" w:beforeAutospacing="0" w:after="0" w:afterAutospacing="0" w:line="276" w:lineRule="auto"/>
        <w:ind w:firstLine="357"/>
        <w:jc w:val="both"/>
        <w:divId w:val="1561556651"/>
        <w:rPr>
          <w:rFonts w:ascii="Times New Roman" w:hAnsi="Times New Roman" w:cs="Times New Roman"/>
        </w:rPr>
      </w:pPr>
      <w:r w:rsidRPr="005A284F">
        <w:rPr>
          <w:rFonts w:ascii="Times New Roman" w:hAnsi="Times New Roman" w:cs="Times New Roman"/>
          <w:sz w:val="18"/>
          <w:szCs w:val="18"/>
        </w:rPr>
        <w:t>本集团采用预期信用损失模型对金融工具的减值进行评估，应用预期信用损失模型需要做出重大判断和估计，需考虑所有合理且有依据的信息，包括前瞻性信息。在做出该等判断和估计时，本集团根据历史数据结合经济政策、宏观经济指标、行业风险、外部市场环境、技术环境、客户情况的变化等因素推断债务人信用风险的预期变动。</w:t>
      </w:r>
    </w:p>
    <w:p w14:paraId="331BC8C8" w14:textId="77777777" w:rsidR="000309B5" w:rsidRPr="005A284F" w:rsidRDefault="00000000" w:rsidP="00D15C4E">
      <w:pPr>
        <w:pStyle w:val="a3"/>
        <w:spacing w:before="0" w:beforeAutospacing="0" w:after="0" w:afterAutospacing="0" w:line="276" w:lineRule="auto"/>
        <w:ind w:firstLine="357"/>
        <w:jc w:val="both"/>
        <w:divId w:val="1561556651"/>
        <w:rPr>
          <w:rFonts w:ascii="Times New Roman" w:hAnsi="Times New Roman" w:cs="Times New Roman"/>
        </w:rPr>
      </w:pPr>
      <w:r w:rsidRPr="005A284F">
        <w:rPr>
          <w:rFonts w:ascii="Times New Roman" w:hAnsi="Times New Roman" w:cs="Times New Roman"/>
          <w:sz w:val="18"/>
          <w:szCs w:val="18"/>
        </w:rPr>
        <w:t>存货跌价准备</w:t>
      </w:r>
    </w:p>
    <w:p w14:paraId="4BF25C60" w14:textId="77777777" w:rsidR="000309B5" w:rsidRPr="005A284F" w:rsidRDefault="00000000" w:rsidP="00D15C4E">
      <w:pPr>
        <w:pStyle w:val="a3"/>
        <w:spacing w:before="0" w:beforeAutospacing="0" w:after="0" w:afterAutospacing="0" w:line="276" w:lineRule="auto"/>
        <w:ind w:firstLine="357"/>
        <w:jc w:val="both"/>
        <w:divId w:val="1561556651"/>
        <w:rPr>
          <w:rFonts w:ascii="Times New Roman" w:hAnsi="Times New Roman" w:cs="Times New Roman"/>
        </w:rPr>
      </w:pPr>
      <w:r w:rsidRPr="005A284F">
        <w:rPr>
          <w:rFonts w:ascii="Times New Roman" w:hAnsi="Times New Roman" w:cs="Times New Roman"/>
          <w:sz w:val="18"/>
          <w:szCs w:val="18"/>
        </w:rPr>
        <w:t>本集团根据存货会计政策，按照成本与可变现净值孰低计量，对成本高于可变现净值及陈旧和滞销的存货，计提存货跌价准备。存货减值至可变现净值是基于评估存货的可售性及其可变现净值。鉴定存货减值要求管理层在取得确凿证据，并且考虑持有存货的目的、资产负债表日后事项的影响等因素的基础上作出判断和估计。实际的结果与原先估计的差异将在估计被改变的期间影响存货的账面价值及存货跌价准备的计提或转回。</w:t>
      </w:r>
    </w:p>
    <w:p w14:paraId="2BCE9FCD" w14:textId="77777777" w:rsidR="000309B5" w:rsidRPr="005A284F" w:rsidRDefault="00000000" w:rsidP="00D15C4E">
      <w:pPr>
        <w:pStyle w:val="a3"/>
        <w:spacing w:before="0" w:beforeAutospacing="0" w:after="0" w:afterAutospacing="0" w:line="276" w:lineRule="auto"/>
        <w:ind w:firstLine="357"/>
        <w:jc w:val="both"/>
        <w:divId w:val="1561556651"/>
        <w:rPr>
          <w:rFonts w:ascii="Times New Roman" w:hAnsi="Times New Roman" w:cs="Times New Roman"/>
        </w:rPr>
      </w:pPr>
      <w:r w:rsidRPr="005A284F">
        <w:rPr>
          <w:rFonts w:ascii="Times New Roman" w:hAnsi="Times New Roman" w:cs="Times New Roman"/>
          <w:sz w:val="18"/>
          <w:szCs w:val="18"/>
        </w:rPr>
        <w:t>金融工具公允价值</w:t>
      </w:r>
    </w:p>
    <w:p w14:paraId="30D5358B" w14:textId="77777777" w:rsidR="000309B5" w:rsidRPr="005A284F" w:rsidRDefault="00000000" w:rsidP="00D15C4E">
      <w:pPr>
        <w:pStyle w:val="a3"/>
        <w:spacing w:before="0" w:beforeAutospacing="0" w:after="0" w:afterAutospacing="0" w:line="276" w:lineRule="auto"/>
        <w:ind w:firstLine="357"/>
        <w:jc w:val="both"/>
        <w:divId w:val="1561556651"/>
        <w:rPr>
          <w:rFonts w:ascii="Times New Roman" w:hAnsi="Times New Roman" w:cs="Times New Roman"/>
        </w:rPr>
      </w:pPr>
      <w:r w:rsidRPr="005A284F">
        <w:rPr>
          <w:rFonts w:ascii="Times New Roman" w:hAnsi="Times New Roman" w:cs="Times New Roman"/>
          <w:sz w:val="18"/>
          <w:szCs w:val="18"/>
        </w:rPr>
        <w:t>对不存在活跃交易市场的金融工具，本集团通过各种估值方法确定其公允价值。这些估值方法包括贴现现金流模型分析等。估值时本集团需对未来现金流量、信用风险、市场波动率和相关性等方面进行估计，并选择适当的折现率。这些相关假设具有不确定性，其变化会对金融工具的公允价值产生影响。权益工具投资或合同有公开报价的，本集团不将成本作为其公允价值的最佳估计。</w:t>
      </w:r>
    </w:p>
    <w:p w14:paraId="7E73E691" w14:textId="77777777" w:rsidR="000309B5" w:rsidRPr="005A284F" w:rsidRDefault="00000000" w:rsidP="00D15C4E">
      <w:pPr>
        <w:pStyle w:val="a3"/>
        <w:spacing w:before="0" w:beforeAutospacing="0" w:after="0" w:afterAutospacing="0" w:line="276" w:lineRule="auto"/>
        <w:ind w:firstLine="357"/>
        <w:jc w:val="both"/>
        <w:divId w:val="1561556651"/>
        <w:rPr>
          <w:rFonts w:ascii="Times New Roman" w:hAnsi="Times New Roman" w:cs="Times New Roman"/>
        </w:rPr>
      </w:pPr>
      <w:r w:rsidRPr="005A284F">
        <w:rPr>
          <w:rFonts w:ascii="Times New Roman" w:hAnsi="Times New Roman" w:cs="Times New Roman"/>
          <w:sz w:val="18"/>
          <w:szCs w:val="18"/>
        </w:rPr>
        <w:t>长期资产减值准备</w:t>
      </w:r>
    </w:p>
    <w:p w14:paraId="3F61370C" w14:textId="77777777" w:rsidR="000309B5" w:rsidRPr="005A284F" w:rsidRDefault="00000000" w:rsidP="00D15C4E">
      <w:pPr>
        <w:pStyle w:val="a3"/>
        <w:spacing w:before="0" w:beforeAutospacing="0" w:after="0" w:afterAutospacing="0" w:line="276" w:lineRule="auto"/>
        <w:ind w:firstLine="357"/>
        <w:jc w:val="both"/>
        <w:divId w:val="1561556651"/>
        <w:rPr>
          <w:rFonts w:ascii="Times New Roman" w:hAnsi="Times New Roman" w:cs="Times New Roman"/>
        </w:rPr>
      </w:pPr>
      <w:r w:rsidRPr="005A284F">
        <w:rPr>
          <w:rFonts w:ascii="Times New Roman" w:hAnsi="Times New Roman" w:cs="Times New Roman"/>
          <w:sz w:val="18"/>
          <w:szCs w:val="18"/>
        </w:rPr>
        <w:t>本集团于资产负债表日对除金融资产之外的非流动资产判断是否存在可能发生减值的迹象。对使用寿命不确定的无形资产，除每年进行的减值测试外，当其存在减值迹象时，也进行减值测试。其他除金融资产之外的非流动资产，当存在迹象表明其账面金额不可收回时，进行减值测试。</w:t>
      </w:r>
    </w:p>
    <w:p w14:paraId="0F899045" w14:textId="77777777" w:rsidR="000309B5" w:rsidRPr="005A284F" w:rsidRDefault="00000000" w:rsidP="00D15C4E">
      <w:pPr>
        <w:pStyle w:val="a3"/>
        <w:spacing w:before="0" w:beforeAutospacing="0" w:after="0" w:afterAutospacing="0" w:line="276" w:lineRule="auto"/>
        <w:ind w:firstLine="357"/>
        <w:jc w:val="both"/>
        <w:divId w:val="1561556651"/>
        <w:rPr>
          <w:rFonts w:ascii="Times New Roman" w:hAnsi="Times New Roman" w:cs="Times New Roman"/>
        </w:rPr>
      </w:pPr>
      <w:r w:rsidRPr="005A284F">
        <w:rPr>
          <w:rFonts w:ascii="Times New Roman" w:hAnsi="Times New Roman" w:cs="Times New Roman"/>
          <w:sz w:val="18"/>
          <w:szCs w:val="18"/>
        </w:rPr>
        <w:t>当资产或资产组的账面价值高于可收回金额，即公允价值减去处置费用后的净额和预计未来现金流量的现值中的较高者，表明发生了减值。</w:t>
      </w:r>
    </w:p>
    <w:p w14:paraId="2B70506E" w14:textId="77777777" w:rsidR="000309B5" w:rsidRPr="005A284F" w:rsidRDefault="00000000" w:rsidP="00D15C4E">
      <w:pPr>
        <w:pStyle w:val="a3"/>
        <w:spacing w:before="0" w:beforeAutospacing="0" w:after="0" w:afterAutospacing="0" w:line="276" w:lineRule="auto"/>
        <w:ind w:firstLine="357"/>
        <w:jc w:val="both"/>
        <w:divId w:val="1561556651"/>
        <w:rPr>
          <w:rFonts w:ascii="Times New Roman" w:hAnsi="Times New Roman" w:cs="Times New Roman"/>
        </w:rPr>
      </w:pPr>
      <w:r w:rsidRPr="005A284F">
        <w:rPr>
          <w:rFonts w:ascii="Times New Roman" w:hAnsi="Times New Roman" w:cs="Times New Roman"/>
          <w:sz w:val="18"/>
          <w:szCs w:val="18"/>
        </w:rPr>
        <w:lastRenderedPageBreak/>
        <w:t>公允价值减去处置费用后的净额，参考公平交易中类似资产的销售协议价格或可观察到的市场价格，减去可直接归属于该资产处置的增量成本确定。</w:t>
      </w:r>
    </w:p>
    <w:p w14:paraId="0ECA49A1" w14:textId="77777777" w:rsidR="000309B5" w:rsidRPr="005A284F" w:rsidRDefault="00000000" w:rsidP="00D15C4E">
      <w:pPr>
        <w:pStyle w:val="a3"/>
        <w:spacing w:before="0" w:beforeAutospacing="0" w:after="0" w:afterAutospacing="0" w:line="276" w:lineRule="auto"/>
        <w:ind w:firstLine="357"/>
        <w:jc w:val="both"/>
        <w:divId w:val="1561556651"/>
        <w:rPr>
          <w:rFonts w:ascii="Times New Roman" w:hAnsi="Times New Roman" w:cs="Times New Roman"/>
        </w:rPr>
      </w:pPr>
      <w:r w:rsidRPr="005A284F">
        <w:rPr>
          <w:rFonts w:ascii="Times New Roman" w:hAnsi="Times New Roman" w:cs="Times New Roman"/>
          <w:sz w:val="18"/>
          <w:szCs w:val="18"/>
        </w:rPr>
        <w:t>在预计未来现金流量现值时，需要对该资产（或资产组）的产量、售价、相关经营成本以及计算现值时使用的折现率等作出重大判断。本集团在估计可收回金额时会采用所有能够获得的相关资料，包括根据合理和可支持的假设所作出有关产量、售价和相关经营成本的预测。</w:t>
      </w:r>
    </w:p>
    <w:p w14:paraId="01776BC6" w14:textId="77777777" w:rsidR="000309B5" w:rsidRPr="005A284F" w:rsidRDefault="00000000" w:rsidP="00D15C4E">
      <w:pPr>
        <w:pStyle w:val="a3"/>
        <w:spacing w:before="0" w:beforeAutospacing="0" w:after="0" w:afterAutospacing="0" w:line="276" w:lineRule="auto"/>
        <w:ind w:firstLine="357"/>
        <w:jc w:val="both"/>
        <w:divId w:val="1561556651"/>
        <w:rPr>
          <w:rFonts w:ascii="Times New Roman" w:hAnsi="Times New Roman" w:cs="Times New Roman"/>
        </w:rPr>
      </w:pPr>
      <w:r w:rsidRPr="005A284F">
        <w:rPr>
          <w:rFonts w:ascii="Times New Roman" w:hAnsi="Times New Roman" w:cs="Times New Roman"/>
          <w:sz w:val="18"/>
          <w:szCs w:val="18"/>
        </w:rPr>
        <w:t>本集团至少每年测试商誉是否发生减值。这要求对分配了商誉的资产组或者资产组组合的未来现金流量的现值进行预计。对未来现金流量的现值进行预计时，本集团需要预计未来资产组或者资产组组合产生的现金流量，同时选择恰当的折现率确定未来现金流量的现值。</w:t>
      </w:r>
    </w:p>
    <w:p w14:paraId="5D6E4CF1" w14:textId="77777777" w:rsidR="000309B5" w:rsidRPr="005A284F" w:rsidRDefault="00000000" w:rsidP="00D15C4E">
      <w:pPr>
        <w:pStyle w:val="a3"/>
        <w:spacing w:before="0" w:beforeAutospacing="0" w:after="0" w:afterAutospacing="0" w:line="276" w:lineRule="auto"/>
        <w:ind w:firstLine="357"/>
        <w:jc w:val="both"/>
        <w:divId w:val="1561556651"/>
        <w:rPr>
          <w:rFonts w:ascii="Times New Roman" w:hAnsi="Times New Roman" w:cs="Times New Roman"/>
        </w:rPr>
      </w:pPr>
      <w:r w:rsidRPr="005A284F">
        <w:rPr>
          <w:rFonts w:ascii="Times New Roman" w:hAnsi="Times New Roman" w:cs="Times New Roman"/>
          <w:sz w:val="18"/>
          <w:szCs w:val="18"/>
        </w:rPr>
        <w:t>折旧和摊销</w:t>
      </w:r>
    </w:p>
    <w:p w14:paraId="6B8A945D" w14:textId="77777777" w:rsidR="000309B5" w:rsidRPr="005A284F" w:rsidRDefault="00000000" w:rsidP="00D15C4E">
      <w:pPr>
        <w:pStyle w:val="a3"/>
        <w:spacing w:before="0" w:beforeAutospacing="0" w:after="0" w:afterAutospacing="0" w:line="276" w:lineRule="auto"/>
        <w:ind w:firstLine="357"/>
        <w:jc w:val="both"/>
        <w:divId w:val="1561556651"/>
        <w:rPr>
          <w:rFonts w:ascii="Times New Roman" w:hAnsi="Times New Roman" w:cs="Times New Roman"/>
        </w:rPr>
      </w:pPr>
      <w:r w:rsidRPr="005A284F">
        <w:rPr>
          <w:rFonts w:ascii="Times New Roman" w:hAnsi="Times New Roman" w:cs="Times New Roman"/>
          <w:sz w:val="18"/>
          <w:szCs w:val="18"/>
        </w:rPr>
        <w:t>本集团对投资性房地产、固定资产和无形资产在考虑其残值后，在使用寿命内按直线法计提折旧和摊销。本集团定期复核使用寿命，以决定将计入每个报告期的折旧和摊销费用数额。使用寿命是本集团根据对同类资产的以往经验并结合预期的技术更新而确定的。如果以前的估计发生重大变化，则会在未来期间对折旧和摊销费用进行调整。</w:t>
      </w:r>
    </w:p>
    <w:p w14:paraId="3E6A9EC8" w14:textId="77777777" w:rsidR="000309B5" w:rsidRPr="005A284F" w:rsidRDefault="00000000" w:rsidP="00D15C4E">
      <w:pPr>
        <w:pStyle w:val="a3"/>
        <w:spacing w:before="0" w:beforeAutospacing="0" w:after="0" w:afterAutospacing="0" w:line="276" w:lineRule="auto"/>
        <w:ind w:firstLine="357"/>
        <w:jc w:val="both"/>
        <w:divId w:val="1561556651"/>
        <w:rPr>
          <w:rFonts w:ascii="Times New Roman" w:hAnsi="Times New Roman" w:cs="Times New Roman"/>
        </w:rPr>
      </w:pPr>
      <w:r w:rsidRPr="005A284F">
        <w:rPr>
          <w:rFonts w:ascii="Times New Roman" w:hAnsi="Times New Roman" w:cs="Times New Roman"/>
          <w:sz w:val="18"/>
          <w:szCs w:val="18"/>
        </w:rPr>
        <w:t>递延所得税资产</w:t>
      </w:r>
    </w:p>
    <w:p w14:paraId="1B5A472F" w14:textId="77777777" w:rsidR="000309B5" w:rsidRPr="005A284F" w:rsidRDefault="00000000" w:rsidP="00D15C4E">
      <w:pPr>
        <w:pStyle w:val="a3"/>
        <w:spacing w:before="0" w:beforeAutospacing="0" w:after="0" w:afterAutospacing="0" w:line="276" w:lineRule="auto"/>
        <w:ind w:firstLine="357"/>
        <w:jc w:val="both"/>
        <w:divId w:val="1561556651"/>
        <w:rPr>
          <w:rFonts w:ascii="Times New Roman" w:hAnsi="Times New Roman" w:cs="Times New Roman"/>
        </w:rPr>
      </w:pPr>
      <w:r w:rsidRPr="005A284F">
        <w:rPr>
          <w:rFonts w:ascii="Times New Roman" w:hAnsi="Times New Roman" w:cs="Times New Roman"/>
          <w:sz w:val="18"/>
          <w:szCs w:val="18"/>
        </w:rPr>
        <w:t>在很有可能有足够的应纳税利润来抵扣亏损的限度内，本集团就所有未利用的税务亏损确认递延所得税资产。这需要本集团管理层运用大量的判断来估计未来应纳税利润发生的时间和金额，结合纳税筹划策略，以决定应确认的递延所得税资产的金额。</w:t>
      </w:r>
    </w:p>
    <w:p w14:paraId="71699875" w14:textId="77777777" w:rsidR="000309B5" w:rsidRPr="005A284F" w:rsidRDefault="00000000" w:rsidP="00D15C4E">
      <w:pPr>
        <w:pStyle w:val="a3"/>
        <w:spacing w:before="0" w:beforeAutospacing="0" w:after="0" w:afterAutospacing="0" w:line="276" w:lineRule="auto"/>
        <w:ind w:firstLine="357"/>
        <w:jc w:val="both"/>
        <w:divId w:val="1561556651"/>
        <w:rPr>
          <w:rFonts w:ascii="Times New Roman" w:hAnsi="Times New Roman" w:cs="Times New Roman"/>
        </w:rPr>
      </w:pPr>
      <w:r w:rsidRPr="005A284F">
        <w:rPr>
          <w:rFonts w:ascii="Times New Roman" w:hAnsi="Times New Roman" w:cs="Times New Roman"/>
          <w:sz w:val="18"/>
          <w:szCs w:val="18"/>
        </w:rPr>
        <w:t>所得税</w:t>
      </w:r>
    </w:p>
    <w:p w14:paraId="7B0ABE28" w14:textId="77777777" w:rsidR="000309B5" w:rsidRPr="005A284F" w:rsidRDefault="00000000" w:rsidP="00D15C4E">
      <w:pPr>
        <w:pStyle w:val="a3"/>
        <w:spacing w:before="0" w:beforeAutospacing="0" w:after="0" w:afterAutospacing="0" w:line="276" w:lineRule="auto"/>
        <w:ind w:firstLine="357"/>
        <w:jc w:val="both"/>
        <w:divId w:val="1561556651"/>
        <w:rPr>
          <w:rFonts w:ascii="Times New Roman" w:hAnsi="Times New Roman" w:cs="Times New Roman"/>
        </w:rPr>
      </w:pPr>
      <w:r w:rsidRPr="005A284F">
        <w:rPr>
          <w:rFonts w:ascii="Times New Roman" w:hAnsi="Times New Roman" w:cs="Times New Roman"/>
          <w:sz w:val="18"/>
          <w:szCs w:val="18"/>
        </w:rPr>
        <w:t>本集团在正常的经营活动中，有部分交易其最终的税务处理和计算存在一定的不确定性。部分项目是否能够在税前列支需要税收主管机关的审批。如果这些税务事项的最终认定结果同最初估计的金额存在差异，则该差异将对其最终认定期间的当期所得税和递延所得税产生影响。</w:t>
      </w:r>
    </w:p>
    <w:p w14:paraId="662DF5E5" w14:textId="77777777" w:rsidR="000309B5" w:rsidRPr="005A284F" w:rsidRDefault="00000000" w:rsidP="00D15C4E">
      <w:pPr>
        <w:pStyle w:val="a3"/>
        <w:spacing w:before="0" w:beforeAutospacing="0" w:after="0" w:afterAutospacing="0" w:line="276" w:lineRule="auto"/>
        <w:ind w:firstLine="357"/>
        <w:jc w:val="both"/>
        <w:divId w:val="1561556651"/>
        <w:rPr>
          <w:rFonts w:ascii="Times New Roman" w:hAnsi="Times New Roman" w:cs="Times New Roman"/>
        </w:rPr>
      </w:pPr>
      <w:r w:rsidRPr="005A284F">
        <w:rPr>
          <w:rFonts w:ascii="Times New Roman" w:hAnsi="Times New Roman" w:cs="Times New Roman"/>
          <w:sz w:val="18"/>
          <w:szCs w:val="18"/>
        </w:rPr>
        <w:t>公允价值计量</w:t>
      </w:r>
    </w:p>
    <w:p w14:paraId="0C3F4BA7" w14:textId="77777777" w:rsidR="000309B5" w:rsidRPr="005A284F" w:rsidRDefault="00000000" w:rsidP="00D15C4E">
      <w:pPr>
        <w:pStyle w:val="a3"/>
        <w:spacing w:before="0" w:beforeAutospacing="0" w:after="0" w:afterAutospacing="0" w:line="276" w:lineRule="auto"/>
        <w:ind w:firstLine="357"/>
        <w:jc w:val="both"/>
        <w:divId w:val="1561556651"/>
        <w:rPr>
          <w:rFonts w:ascii="Times New Roman" w:hAnsi="Times New Roman" w:cs="Times New Roman"/>
        </w:rPr>
      </w:pPr>
      <w:r w:rsidRPr="005A284F">
        <w:rPr>
          <w:rFonts w:ascii="Times New Roman" w:hAnsi="Times New Roman" w:cs="Times New Roman"/>
          <w:sz w:val="18"/>
          <w:szCs w:val="18"/>
        </w:rPr>
        <w:t>本集团的某些资产和负债在财务报表中按公允价值计量。</w:t>
      </w:r>
    </w:p>
    <w:p w14:paraId="73460A00" w14:textId="77777777" w:rsidR="000309B5" w:rsidRPr="005A284F" w:rsidRDefault="00000000" w:rsidP="00D15C4E">
      <w:pPr>
        <w:pStyle w:val="a3"/>
        <w:spacing w:before="0" w:beforeAutospacing="0" w:after="0" w:afterAutospacing="0" w:line="276" w:lineRule="auto"/>
        <w:ind w:firstLine="357"/>
        <w:jc w:val="both"/>
        <w:divId w:val="1561556651"/>
        <w:rPr>
          <w:rFonts w:ascii="Times New Roman" w:hAnsi="Times New Roman" w:cs="Times New Roman"/>
        </w:rPr>
      </w:pPr>
      <w:r w:rsidRPr="005A284F">
        <w:rPr>
          <w:rFonts w:ascii="Times New Roman" w:hAnsi="Times New Roman" w:cs="Times New Roman"/>
          <w:sz w:val="18"/>
          <w:szCs w:val="18"/>
        </w:rPr>
        <w:t>公允价值，是指市场参与者在计量日发生的有序交易中，出售一项资产所能收到或者转移一项负债所需支付的价格。本集团以公允价值计量相关资产或负债，考虑该资产或负债的特征；假定市场参与者在计量日出售资产或者转移负债的交易，是在当前市场条件下的有序交易；假定出售资产或者转移负债的有序交易在相关资产或负债的主要市场进行；不存在主要市场的，假定该交易在相关资产或负债的最有利市场进行。</w:t>
      </w:r>
    </w:p>
    <w:p w14:paraId="60FA9503" w14:textId="77777777" w:rsidR="000309B5" w:rsidRPr="005A284F" w:rsidRDefault="00000000" w:rsidP="00D15C4E">
      <w:pPr>
        <w:pStyle w:val="a3"/>
        <w:spacing w:before="0" w:beforeAutospacing="0" w:after="0" w:afterAutospacing="0" w:line="276" w:lineRule="auto"/>
        <w:ind w:firstLine="357"/>
        <w:jc w:val="both"/>
        <w:divId w:val="1561556651"/>
        <w:rPr>
          <w:rFonts w:ascii="Times New Roman" w:hAnsi="Times New Roman" w:cs="Times New Roman"/>
        </w:rPr>
      </w:pPr>
      <w:r w:rsidRPr="005A284F">
        <w:rPr>
          <w:rFonts w:ascii="Times New Roman" w:hAnsi="Times New Roman" w:cs="Times New Roman"/>
          <w:sz w:val="18"/>
          <w:szCs w:val="18"/>
        </w:rPr>
        <w:t>本集团采用市场参与者在对该资产或负债定价时为实现其经济利益最大化所使用的假设。</w:t>
      </w:r>
    </w:p>
    <w:p w14:paraId="08338D67" w14:textId="77777777" w:rsidR="000309B5" w:rsidRPr="005A284F" w:rsidRDefault="00000000" w:rsidP="00D15C4E">
      <w:pPr>
        <w:pStyle w:val="a3"/>
        <w:spacing w:before="0" w:beforeAutospacing="0" w:after="0" w:afterAutospacing="0" w:line="276" w:lineRule="auto"/>
        <w:ind w:firstLine="357"/>
        <w:jc w:val="both"/>
        <w:divId w:val="1561556651"/>
        <w:rPr>
          <w:rFonts w:ascii="Times New Roman" w:hAnsi="Times New Roman" w:cs="Times New Roman"/>
        </w:rPr>
      </w:pPr>
      <w:r w:rsidRPr="005A284F">
        <w:rPr>
          <w:rFonts w:ascii="Times New Roman" w:hAnsi="Times New Roman" w:cs="Times New Roman"/>
          <w:sz w:val="18"/>
          <w:szCs w:val="18"/>
        </w:rPr>
        <w:t>本集团根据交易性质和相关资产或负债的特征等，判断初始确认时的公允价值是否与其交易价格相等；交易价格与公允价值不相等的，将相关利得或损失计入当期损益，但相关会计准则另有规定的除外。</w:t>
      </w:r>
    </w:p>
    <w:p w14:paraId="3CC45ED1" w14:textId="77777777" w:rsidR="000309B5" w:rsidRPr="005A284F" w:rsidRDefault="00000000" w:rsidP="00D15C4E">
      <w:pPr>
        <w:pStyle w:val="a3"/>
        <w:spacing w:before="0" w:beforeAutospacing="0" w:after="0" w:afterAutospacing="0" w:line="276" w:lineRule="auto"/>
        <w:ind w:firstLine="357"/>
        <w:jc w:val="both"/>
        <w:divId w:val="1561556651"/>
        <w:rPr>
          <w:rFonts w:ascii="Times New Roman" w:hAnsi="Times New Roman" w:cs="Times New Roman"/>
        </w:rPr>
      </w:pPr>
      <w:r w:rsidRPr="005A284F">
        <w:rPr>
          <w:rFonts w:ascii="Times New Roman" w:hAnsi="Times New Roman" w:cs="Times New Roman"/>
          <w:sz w:val="18"/>
          <w:szCs w:val="18"/>
        </w:rPr>
        <w:t>本集团采用在当前情况下适用并且有足够可利用数据和其他信息支持的估值技术，使用的估值技术主要包括市场法、收益法和成本法。在估值技术的应用中，优先使用相关可观察输入值，只有在相关可观察输入值无法取得或取得不切实可行的情况下，才可以使用不可观察输入值。</w:t>
      </w:r>
    </w:p>
    <w:p w14:paraId="54764CD2" w14:textId="77777777" w:rsidR="000309B5" w:rsidRPr="005A284F" w:rsidRDefault="00000000" w:rsidP="00D15C4E">
      <w:pPr>
        <w:pStyle w:val="a3"/>
        <w:spacing w:before="0" w:beforeAutospacing="0" w:after="0" w:afterAutospacing="0" w:line="276" w:lineRule="auto"/>
        <w:ind w:firstLine="357"/>
        <w:jc w:val="both"/>
        <w:divId w:val="1561556651"/>
        <w:rPr>
          <w:rFonts w:ascii="Times New Roman" w:hAnsi="Times New Roman" w:cs="Times New Roman"/>
        </w:rPr>
      </w:pPr>
      <w:r w:rsidRPr="005A284F">
        <w:rPr>
          <w:rFonts w:ascii="Times New Roman" w:hAnsi="Times New Roman" w:cs="Times New Roman"/>
          <w:sz w:val="18"/>
          <w:szCs w:val="18"/>
        </w:rPr>
        <w:t>本集团公允价值计量所使用的输入值划分为三个层次，并首先使用第一层次输入值，其次使用第二层次输入值，最后使用第三层次输入值。第一层次输入值是在计量日能够取得的相同资产或负债在活跃市场上未经调整的报价；第二层次输入值是除第一层次输入值外相关资产或负债直接或间接可观察的输入值；第三层次输入值是相关资产或负债的不可观察输入值。</w:t>
      </w:r>
    </w:p>
    <w:p w14:paraId="596DE669" w14:textId="77777777" w:rsidR="000309B5" w:rsidRPr="005A284F" w:rsidRDefault="00000000" w:rsidP="00D15C4E">
      <w:pPr>
        <w:pStyle w:val="a3"/>
        <w:spacing w:before="0" w:beforeAutospacing="0" w:after="0" w:afterAutospacing="0" w:line="276" w:lineRule="auto"/>
        <w:ind w:firstLine="357"/>
        <w:jc w:val="both"/>
        <w:divId w:val="1561556651"/>
        <w:rPr>
          <w:rFonts w:ascii="Times New Roman" w:hAnsi="Times New Roman" w:cs="Times New Roman"/>
        </w:rPr>
      </w:pPr>
      <w:r w:rsidRPr="005A284F">
        <w:rPr>
          <w:rFonts w:ascii="Times New Roman" w:hAnsi="Times New Roman" w:cs="Times New Roman"/>
          <w:sz w:val="18"/>
          <w:szCs w:val="18"/>
        </w:rPr>
        <w:t>本集团以公允价值计量非金融资产，考虑市场参与者将该资产用于最佳用途产生经济利益的能力，或者将该资产出售给能够用于最佳用途的其他市场参与者产生经济利益的能力。以公允价值计量负债，假定在计量日将该负债转移给其他市场参与者，而且该负债在转移后继续存在，并由作为受让方的市场参与者履行义务。以公允价值计量自身权益工具，假定</w:t>
      </w:r>
      <w:r w:rsidRPr="005A284F">
        <w:rPr>
          <w:rFonts w:ascii="Times New Roman" w:hAnsi="Times New Roman" w:cs="Times New Roman"/>
          <w:sz w:val="18"/>
          <w:szCs w:val="18"/>
        </w:rPr>
        <w:lastRenderedPageBreak/>
        <w:t>在计量日将该自身权益工具转移给其他市场参与者，而且该自身权益工具在转移后继续存在，并由作为受让方的市场参与者取得与该工具相关的权利、承担相应的义务。</w:t>
      </w:r>
    </w:p>
    <w:p w14:paraId="682D26FB" w14:textId="77777777" w:rsidR="000309B5" w:rsidRPr="005A284F" w:rsidRDefault="00000000" w:rsidP="00D15C4E">
      <w:pPr>
        <w:pStyle w:val="a3"/>
        <w:spacing w:before="0" w:beforeAutospacing="0" w:after="0" w:afterAutospacing="0" w:line="276" w:lineRule="auto"/>
        <w:ind w:firstLine="357"/>
        <w:jc w:val="both"/>
        <w:divId w:val="1561556651"/>
        <w:rPr>
          <w:rFonts w:ascii="Times New Roman" w:hAnsi="Times New Roman" w:cs="Times New Roman"/>
        </w:rPr>
      </w:pPr>
      <w:r w:rsidRPr="005A284F">
        <w:rPr>
          <w:rFonts w:ascii="Times New Roman" w:hAnsi="Times New Roman" w:cs="Times New Roman"/>
          <w:sz w:val="18"/>
          <w:szCs w:val="18"/>
        </w:rPr>
        <w:t>本集团以市场风险和信用风险的净敞口为基础管理金融资产和金融负债的，以计量日市场参与者在当前市场条件下有序交易中出售净多头（即资产）或者转移净空头（即负债）的价格为基础，计量该金融资产和金融负债组合的公允价值。</w:t>
      </w:r>
    </w:p>
    <w:p w14:paraId="273D470C"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172" w:name="_Toc989061"/>
      <w:r w:rsidRPr="005A284F">
        <w:rPr>
          <w:rFonts w:ascii="Times New Roman" w:eastAsia="宋体" w:hAnsi="Times New Roman" w:cs="Times New Roman"/>
          <w:b/>
          <w:bCs/>
          <w:sz w:val="24"/>
          <w:szCs w:val="24"/>
        </w:rPr>
        <w:t>六、税项</w:t>
      </w:r>
      <w:bookmarkEnd w:id="172"/>
    </w:p>
    <w:p w14:paraId="74DB655B" w14:textId="77777777" w:rsidR="006C011D" w:rsidRPr="005A284F" w:rsidRDefault="00000000">
      <w:pPr>
        <w:pStyle w:val="3"/>
        <w:spacing w:line="280" w:lineRule="exact"/>
        <w:jc w:val="left"/>
        <w:rPr>
          <w:rFonts w:ascii="Times New Roman" w:hAnsi="Times New Roman" w:cs="Times New Roman"/>
          <w:b/>
          <w:bCs/>
        </w:rPr>
      </w:pPr>
      <w:bookmarkStart w:id="173" w:name="_Toc989062"/>
      <w:r w:rsidRPr="005A284F">
        <w:rPr>
          <w:rFonts w:ascii="Times New Roman" w:hAnsi="Times New Roman" w:cs="Times New Roman"/>
          <w:b/>
          <w:bCs/>
        </w:rPr>
        <w:t>1</w:t>
      </w:r>
      <w:r w:rsidRPr="005A284F">
        <w:rPr>
          <w:rFonts w:ascii="Times New Roman" w:hAnsi="Times New Roman" w:cs="Times New Roman"/>
          <w:b/>
          <w:bCs/>
        </w:rPr>
        <w:t>、主要税种及税率</w:t>
      </w:r>
      <w:bookmarkEnd w:id="173"/>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85"/>
        <w:gridCol w:w="2268"/>
        <w:gridCol w:w="5386"/>
      </w:tblGrid>
      <w:tr w:rsidR="006C011D" w:rsidRPr="005A284F" w14:paraId="42A2522F" w14:textId="77777777" w:rsidTr="00D15C4E">
        <w:trPr>
          <w:trHeight w:val="240"/>
        </w:trPr>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14:paraId="1FCC57A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税种</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14:paraId="7D4ABA3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计税依据</w:t>
            </w:r>
          </w:p>
        </w:tc>
        <w:tc>
          <w:tcPr>
            <w:tcW w:w="5386" w:type="dxa"/>
            <w:tcBorders>
              <w:top w:val="single" w:sz="2" w:space="0" w:color="auto"/>
              <w:left w:val="single" w:sz="2" w:space="0" w:color="auto"/>
              <w:bottom w:val="single" w:sz="2" w:space="0" w:color="auto"/>
              <w:right w:val="single" w:sz="2" w:space="0" w:color="auto"/>
            </w:tcBorders>
            <w:shd w:val="clear" w:color="auto" w:fill="D3D3D3"/>
            <w:vAlign w:val="center"/>
          </w:tcPr>
          <w:p w14:paraId="36D5C98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税率</w:t>
            </w:r>
          </w:p>
        </w:tc>
      </w:tr>
      <w:tr w:rsidR="006C011D" w:rsidRPr="005A284F" w14:paraId="1F36D82F" w14:textId="77777777" w:rsidTr="00D15C4E">
        <w:trPr>
          <w:trHeight w:val="240"/>
        </w:trPr>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14:paraId="6837A9BE" w14:textId="77777777" w:rsidR="006C011D" w:rsidRPr="00A63401" w:rsidRDefault="00000000">
            <w:pPr>
              <w:spacing w:before="40" w:after="40" w:line="240" w:lineRule="exact"/>
              <w:rPr>
                <w:rFonts w:ascii="Times New Roman" w:eastAsia="宋体" w:hAnsi="Times New Roman" w:cs="Times New Roman"/>
                <w:sz w:val="18"/>
                <w:szCs w:val="18"/>
              </w:rPr>
            </w:pPr>
            <w:r w:rsidRPr="00A63401">
              <w:rPr>
                <w:rFonts w:ascii="Times New Roman" w:eastAsia="宋体" w:hAnsi="Times New Roman" w:cs="Times New Roman"/>
                <w:sz w:val="18"/>
                <w:szCs w:val="18"/>
              </w:rPr>
              <w:t>增值税</w:t>
            </w:r>
          </w:p>
        </w:tc>
        <w:tc>
          <w:tcPr>
            <w:tcW w:w="2268" w:type="dxa"/>
            <w:tcBorders>
              <w:top w:val="single" w:sz="2" w:space="0" w:color="auto"/>
              <w:left w:val="single" w:sz="2" w:space="0" w:color="auto"/>
              <w:bottom w:val="single" w:sz="2" w:space="0" w:color="auto"/>
              <w:right w:val="single" w:sz="2" w:space="0" w:color="auto"/>
            </w:tcBorders>
            <w:vAlign w:val="center"/>
          </w:tcPr>
          <w:p w14:paraId="3A77C19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销售货物或提供应税劳务</w:t>
            </w:r>
          </w:p>
        </w:tc>
        <w:tc>
          <w:tcPr>
            <w:tcW w:w="5386" w:type="dxa"/>
            <w:tcBorders>
              <w:top w:val="single" w:sz="2" w:space="0" w:color="auto"/>
              <w:left w:val="single" w:sz="2" w:space="0" w:color="auto"/>
              <w:bottom w:val="single" w:sz="2" w:space="0" w:color="auto"/>
              <w:right w:val="single" w:sz="2" w:space="0" w:color="auto"/>
            </w:tcBorders>
            <w:vAlign w:val="center"/>
          </w:tcPr>
          <w:p w14:paraId="1F4B1A2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应税收入按相应的税率计算销项税，并按扣除当期允许抵扣的进项税额后的差额计缴增值税：生猪养殖及符合条件的饲料生产、技术开发、技术咨询、技术转让及技术服务免征增值税部分鲜活肉蛋产品免征流通环节增值税；从中央或地方财政取得的利息补贴收入和价差补贴收入免征增值税；初加工产品执行</w:t>
            </w:r>
            <w:r w:rsidRPr="005A284F">
              <w:rPr>
                <w:rFonts w:ascii="Times New Roman" w:eastAsia="宋体" w:hAnsi="Times New Roman" w:cs="Times New Roman"/>
                <w:sz w:val="18"/>
                <w:szCs w:val="18"/>
              </w:rPr>
              <w:t>9%</w:t>
            </w:r>
            <w:r w:rsidRPr="005A284F">
              <w:rPr>
                <w:rFonts w:ascii="Times New Roman" w:eastAsia="宋体" w:hAnsi="Times New Roman" w:cs="Times New Roman"/>
                <w:sz w:val="18"/>
                <w:szCs w:val="18"/>
              </w:rPr>
              <w:t>税率；深加工产品执行</w:t>
            </w:r>
            <w:r w:rsidRPr="005A284F">
              <w:rPr>
                <w:rFonts w:ascii="Times New Roman" w:eastAsia="宋体" w:hAnsi="Times New Roman" w:cs="Times New Roman"/>
                <w:sz w:val="18"/>
                <w:szCs w:val="18"/>
              </w:rPr>
              <w:t>13%</w:t>
            </w:r>
            <w:r w:rsidRPr="005A284F">
              <w:rPr>
                <w:rFonts w:ascii="Times New Roman" w:eastAsia="宋体" w:hAnsi="Times New Roman" w:cs="Times New Roman"/>
                <w:sz w:val="18"/>
                <w:szCs w:val="18"/>
              </w:rPr>
              <w:t>税率；利息收入执行</w:t>
            </w:r>
            <w:r w:rsidRPr="005A284F">
              <w:rPr>
                <w:rFonts w:ascii="Times New Roman" w:eastAsia="宋体" w:hAnsi="Times New Roman" w:cs="Times New Roman"/>
                <w:sz w:val="18"/>
                <w:szCs w:val="18"/>
              </w:rPr>
              <w:t>6%</w:t>
            </w:r>
            <w:r w:rsidRPr="005A284F">
              <w:rPr>
                <w:rFonts w:ascii="Times New Roman" w:eastAsia="宋体" w:hAnsi="Times New Roman" w:cs="Times New Roman"/>
                <w:sz w:val="18"/>
                <w:szCs w:val="18"/>
              </w:rPr>
              <w:t>税率。</w:t>
            </w:r>
          </w:p>
        </w:tc>
      </w:tr>
      <w:tr w:rsidR="006C011D" w:rsidRPr="005A284F" w14:paraId="494220E8" w14:textId="77777777" w:rsidTr="00D15C4E">
        <w:trPr>
          <w:trHeight w:val="240"/>
        </w:trPr>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14:paraId="16103547" w14:textId="77777777" w:rsidR="006C011D" w:rsidRPr="00A63401" w:rsidRDefault="00000000">
            <w:pPr>
              <w:spacing w:before="40" w:after="40" w:line="240" w:lineRule="exact"/>
              <w:rPr>
                <w:rFonts w:ascii="Times New Roman" w:eastAsia="宋体" w:hAnsi="Times New Roman" w:cs="Times New Roman"/>
                <w:sz w:val="18"/>
                <w:szCs w:val="18"/>
              </w:rPr>
            </w:pPr>
            <w:r w:rsidRPr="00A63401">
              <w:rPr>
                <w:rFonts w:ascii="Times New Roman" w:eastAsia="宋体" w:hAnsi="Times New Roman" w:cs="Times New Roman"/>
                <w:sz w:val="18"/>
                <w:szCs w:val="18"/>
              </w:rPr>
              <w:t>消费税</w:t>
            </w:r>
          </w:p>
        </w:tc>
        <w:tc>
          <w:tcPr>
            <w:tcW w:w="2268" w:type="dxa"/>
            <w:tcBorders>
              <w:top w:val="single" w:sz="2" w:space="0" w:color="auto"/>
              <w:left w:val="single" w:sz="2" w:space="0" w:color="auto"/>
              <w:bottom w:val="single" w:sz="2" w:space="0" w:color="auto"/>
              <w:right w:val="single" w:sz="2" w:space="0" w:color="auto"/>
            </w:tcBorders>
            <w:vAlign w:val="center"/>
          </w:tcPr>
          <w:p w14:paraId="06D8B31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应纳流转税额</w:t>
            </w:r>
          </w:p>
        </w:tc>
        <w:tc>
          <w:tcPr>
            <w:tcW w:w="5386" w:type="dxa"/>
            <w:tcBorders>
              <w:top w:val="single" w:sz="2" w:space="0" w:color="auto"/>
              <w:left w:val="single" w:sz="2" w:space="0" w:color="auto"/>
              <w:bottom w:val="single" w:sz="2" w:space="0" w:color="auto"/>
              <w:right w:val="single" w:sz="2" w:space="0" w:color="auto"/>
            </w:tcBorders>
            <w:vAlign w:val="center"/>
          </w:tcPr>
          <w:p w14:paraId="425B7271" w14:textId="77777777" w:rsidR="006C011D" w:rsidRPr="005A284F" w:rsidRDefault="006C011D">
            <w:pPr>
              <w:spacing w:after="0" w:line="240" w:lineRule="exact"/>
              <w:rPr>
                <w:rFonts w:ascii="Times New Roman" w:eastAsia="宋体" w:hAnsi="Times New Roman" w:cs="Times New Roman"/>
                <w:sz w:val="18"/>
                <w:szCs w:val="18"/>
              </w:rPr>
            </w:pPr>
          </w:p>
        </w:tc>
      </w:tr>
      <w:tr w:rsidR="006C011D" w:rsidRPr="005A284F" w14:paraId="098FAE48" w14:textId="77777777" w:rsidTr="00D15C4E">
        <w:trPr>
          <w:trHeight w:val="240"/>
        </w:trPr>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14:paraId="08F5458B" w14:textId="77777777" w:rsidR="006C011D" w:rsidRPr="00A63401" w:rsidRDefault="00000000">
            <w:pPr>
              <w:spacing w:before="40" w:after="40" w:line="240" w:lineRule="exact"/>
              <w:rPr>
                <w:rFonts w:ascii="Times New Roman" w:eastAsia="宋体" w:hAnsi="Times New Roman" w:cs="Times New Roman"/>
                <w:sz w:val="18"/>
                <w:szCs w:val="18"/>
              </w:rPr>
            </w:pPr>
            <w:r w:rsidRPr="00A63401">
              <w:rPr>
                <w:rFonts w:ascii="Times New Roman" w:eastAsia="宋体" w:hAnsi="Times New Roman" w:cs="Times New Roman"/>
                <w:sz w:val="18"/>
                <w:szCs w:val="18"/>
              </w:rPr>
              <w:t>城市维护建设税</w:t>
            </w:r>
          </w:p>
        </w:tc>
        <w:tc>
          <w:tcPr>
            <w:tcW w:w="2268" w:type="dxa"/>
            <w:tcBorders>
              <w:top w:val="single" w:sz="2" w:space="0" w:color="auto"/>
              <w:left w:val="single" w:sz="2" w:space="0" w:color="auto"/>
              <w:bottom w:val="single" w:sz="2" w:space="0" w:color="auto"/>
              <w:right w:val="single" w:sz="2" w:space="0" w:color="auto"/>
            </w:tcBorders>
            <w:vAlign w:val="center"/>
          </w:tcPr>
          <w:p w14:paraId="4479902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应纳流转税额</w:t>
            </w:r>
          </w:p>
        </w:tc>
        <w:tc>
          <w:tcPr>
            <w:tcW w:w="5386" w:type="dxa"/>
            <w:tcBorders>
              <w:top w:val="single" w:sz="2" w:space="0" w:color="auto"/>
              <w:left w:val="single" w:sz="2" w:space="0" w:color="auto"/>
              <w:bottom w:val="single" w:sz="2" w:space="0" w:color="auto"/>
              <w:right w:val="single" w:sz="2" w:space="0" w:color="auto"/>
            </w:tcBorders>
            <w:vAlign w:val="center"/>
          </w:tcPr>
          <w:p w14:paraId="069B296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按实际缴纳的流转税的</w:t>
            </w:r>
            <w:r w:rsidRPr="005A284F">
              <w:rPr>
                <w:rFonts w:ascii="Times New Roman" w:eastAsia="宋体" w:hAnsi="Times New Roman" w:cs="Times New Roman"/>
                <w:sz w:val="18"/>
                <w:szCs w:val="18"/>
              </w:rPr>
              <w:t>7%</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5%</w:t>
            </w:r>
            <w:r w:rsidRPr="005A284F">
              <w:rPr>
                <w:rFonts w:ascii="Times New Roman" w:eastAsia="宋体" w:hAnsi="Times New Roman" w:cs="Times New Roman"/>
                <w:sz w:val="18"/>
                <w:szCs w:val="18"/>
              </w:rPr>
              <w:t>计缴。</w:t>
            </w:r>
          </w:p>
        </w:tc>
      </w:tr>
      <w:tr w:rsidR="006C011D" w:rsidRPr="005A284F" w14:paraId="51C9B656" w14:textId="77777777" w:rsidTr="00D15C4E">
        <w:trPr>
          <w:trHeight w:val="240"/>
        </w:trPr>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14:paraId="681DC889" w14:textId="77777777" w:rsidR="006C011D" w:rsidRPr="00A63401" w:rsidRDefault="00000000">
            <w:pPr>
              <w:spacing w:before="40" w:after="40" w:line="240" w:lineRule="exact"/>
              <w:rPr>
                <w:rFonts w:ascii="Times New Roman" w:eastAsia="宋体" w:hAnsi="Times New Roman" w:cs="Times New Roman"/>
                <w:sz w:val="18"/>
                <w:szCs w:val="18"/>
              </w:rPr>
            </w:pPr>
            <w:r w:rsidRPr="00A63401">
              <w:rPr>
                <w:rFonts w:ascii="Times New Roman" w:eastAsia="宋体" w:hAnsi="Times New Roman" w:cs="Times New Roman"/>
                <w:sz w:val="18"/>
                <w:szCs w:val="18"/>
              </w:rPr>
              <w:t>企业所得税</w:t>
            </w:r>
          </w:p>
        </w:tc>
        <w:tc>
          <w:tcPr>
            <w:tcW w:w="2268" w:type="dxa"/>
            <w:tcBorders>
              <w:top w:val="single" w:sz="2" w:space="0" w:color="auto"/>
              <w:left w:val="single" w:sz="2" w:space="0" w:color="auto"/>
              <w:bottom w:val="single" w:sz="2" w:space="0" w:color="auto"/>
              <w:right w:val="single" w:sz="2" w:space="0" w:color="auto"/>
            </w:tcBorders>
            <w:vAlign w:val="center"/>
          </w:tcPr>
          <w:p w14:paraId="59A31B7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应纳流转税额</w:t>
            </w:r>
          </w:p>
        </w:tc>
        <w:tc>
          <w:tcPr>
            <w:tcW w:w="5386" w:type="dxa"/>
            <w:tcBorders>
              <w:top w:val="single" w:sz="2" w:space="0" w:color="auto"/>
              <w:left w:val="single" w:sz="2" w:space="0" w:color="auto"/>
              <w:bottom w:val="single" w:sz="2" w:space="0" w:color="auto"/>
              <w:right w:val="single" w:sz="2" w:space="0" w:color="auto"/>
            </w:tcBorders>
            <w:vAlign w:val="center"/>
          </w:tcPr>
          <w:p w14:paraId="6160989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详见下表</w:t>
            </w:r>
          </w:p>
        </w:tc>
      </w:tr>
      <w:tr w:rsidR="006C011D" w:rsidRPr="005A284F" w14:paraId="1FE45D3E" w14:textId="77777777" w:rsidTr="00D15C4E">
        <w:trPr>
          <w:trHeight w:val="240"/>
        </w:trPr>
        <w:tc>
          <w:tcPr>
            <w:tcW w:w="1985" w:type="dxa"/>
            <w:tcBorders>
              <w:top w:val="single" w:sz="2" w:space="0" w:color="auto"/>
              <w:left w:val="single" w:sz="2" w:space="0" w:color="auto"/>
              <w:bottom w:val="single" w:sz="2" w:space="0" w:color="auto"/>
              <w:right w:val="single" w:sz="2" w:space="0" w:color="auto"/>
            </w:tcBorders>
            <w:vAlign w:val="center"/>
          </w:tcPr>
          <w:p w14:paraId="4264DBE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教育费附加</w:t>
            </w:r>
          </w:p>
        </w:tc>
        <w:tc>
          <w:tcPr>
            <w:tcW w:w="2268" w:type="dxa"/>
            <w:tcBorders>
              <w:top w:val="single" w:sz="2" w:space="0" w:color="auto"/>
              <w:left w:val="single" w:sz="2" w:space="0" w:color="auto"/>
              <w:bottom w:val="single" w:sz="2" w:space="0" w:color="auto"/>
              <w:right w:val="single" w:sz="2" w:space="0" w:color="auto"/>
            </w:tcBorders>
            <w:vAlign w:val="center"/>
          </w:tcPr>
          <w:p w14:paraId="325524E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应纳流转税额</w:t>
            </w:r>
          </w:p>
        </w:tc>
        <w:tc>
          <w:tcPr>
            <w:tcW w:w="5386" w:type="dxa"/>
            <w:tcBorders>
              <w:top w:val="single" w:sz="2" w:space="0" w:color="auto"/>
              <w:left w:val="single" w:sz="2" w:space="0" w:color="auto"/>
              <w:bottom w:val="single" w:sz="2" w:space="0" w:color="auto"/>
              <w:right w:val="single" w:sz="2" w:space="0" w:color="auto"/>
            </w:tcBorders>
            <w:vAlign w:val="center"/>
          </w:tcPr>
          <w:p w14:paraId="07749E2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按实际缴纳的流转税的</w:t>
            </w: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计缴。</w:t>
            </w:r>
          </w:p>
        </w:tc>
      </w:tr>
      <w:tr w:rsidR="006C011D" w:rsidRPr="005A284F" w14:paraId="0CFE0F49" w14:textId="77777777" w:rsidTr="00D15C4E">
        <w:trPr>
          <w:trHeight w:val="240"/>
        </w:trPr>
        <w:tc>
          <w:tcPr>
            <w:tcW w:w="1985" w:type="dxa"/>
            <w:tcBorders>
              <w:top w:val="single" w:sz="2" w:space="0" w:color="auto"/>
              <w:left w:val="single" w:sz="2" w:space="0" w:color="auto"/>
              <w:bottom w:val="single" w:sz="2" w:space="0" w:color="auto"/>
              <w:right w:val="single" w:sz="2" w:space="0" w:color="auto"/>
            </w:tcBorders>
            <w:vAlign w:val="center"/>
          </w:tcPr>
          <w:p w14:paraId="16D9DEE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地方教育附加</w:t>
            </w:r>
          </w:p>
        </w:tc>
        <w:tc>
          <w:tcPr>
            <w:tcW w:w="2268" w:type="dxa"/>
            <w:tcBorders>
              <w:top w:val="single" w:sz="2" w:space="0" w:color="auto"/>
              <w:left w:val="single" w:sz="2" w:space="0" w:color="auto"/>
              <w:bottom w:val="single" w:sz="2" w:space="0" w:color="auto"/>
              <w:right w:val="single" w:sz="2" w:space="0" w:color="auto"/>
            </w:tcBorders>
            <w:vAlign w:val="center"/>
          </w:tcPr>
          <w:p w14:paraId="3F49136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应纳流转税额</w:t>
            </w:r>
          </w:p>
        </w:tc>
        <w:tc>
          <w:tcPr>
            <w:tcW w:w="5386" w:type="dxa"/>
            <w:tcBorders>
              <w:top w:val="single" w:sz="2" w:space="0" w:color="auto"/>
              <w:left w:val="single" w:sz="2" w:space="0" w:color="auto"/>
              <w:bottom w:val="single" w:sz="2" w:space="0" w:color="auto"/>
              <w:right w:val="single" w:sz="2" w:space="0" w:color="auto"/>
            </w:tcBorders>
            <w:vAlign w:val="center"/>
          </w:tcPr>
          <w:p w14:paraId="717ABEF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按实际缴纳的流转税的</w:t>
            </w: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计缴。</w:t>
            </w:r>
          </w:p>
        </w:tc>
      </w:tr>
    </w:tbl>
    <w:p w14:paraId="099D247C"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存在不同企业所得税税率纳税主体的，披露情况说明</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253"/>
        <w:gridCol w:w="5386"/>
      </w:tblGrid>
      <w:tr w:rsidR="006C011D" w:rsidRPr="005A284F" w14:paraId="7A0B4B26" w14:textId="77777777" w:rsidTr="00D15C4E">
        <w:trPr>
          <w:trHeight w:val="240"/>
        </w:trPr>
        <w:tc>
          <w:tcPr>
            <w:tcW w:w="4253" w:type="dxa"/>
            <w:tcBorders>
              <w:top w:val="single" w:sz="2" w:space="0" w:color="auto"/>
              <w:left w:val="single" w:sz="2" w:space="0" w:color="auto"/>
              <w:bottom w:val="single" w:sz="2" w:space="0" w:color="auto"/>
              <w:right w:val="single" w:sz="2" w:space="0" w:color="auto"/>
            </w:tcBorders>
            <w:shd w:val="clear" w:color="auto" w:fill="D3D3D3"/>
            <w:vAlign w:val="center"/>
          </w:tcPr>
          <w:p w14:paraId="6C8D6F0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纳税主体名称</w:t>
            </w:r>
          </w:p>
        </w:tc>
        <w:tc>
          <w:tcPr>
            <w:tcW w:w="5386" w:type="dxa"/>
            <w:tcBorders>
              <w:top w:val="single" w:sz="2" w:space="0" w:color="auto"/>
              <w:left w:val="single" w:sz="2" w:space="0" w:color="auto"/>
              <w:bottom w:val="single" w:sz="2" w:space="0" w:color="auto"/>
              <w:right w:val="single" w:sz="2" w:space="0" w:color="auto"/>
            </w:tcBorders>
            <w:shd w:val="clear" w:color="auto" w:fill="D3D3D3"/>
            <w:vAlign w:val="center"/>
          </w:tcPr>
          <w:p w14:paraId="08E9526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所得税税率</w:t>
            </w:r>
          </w:p>
        </w:tc>
      </w:tr>
      <w:tr w:rsidR="006C011D" w:rsidRPr="005A284F" w14:paraId="7337E326" w14:textId="77777777" w:rsidTr="00D15C4E">
        <w:trPr>
          <w:trHeight w:val="240"/>
        </w:trPr>
        <w:tc>
          <w:tcPr>
            <w:tcW w:w="4253" w:type="dxa"/>
            <w:tcBorders>
              <w:top w:val="single" w:sz="2" w:space="0" w:color="auto"/>
              <w:left w:val="single" w:sz="2" w:space="0" w:color="auto"/>
              <w:bottom w:val="single" w:sz="2" w:space="0" w:color="auto"/>
              <w:right w:val="single" w:sz="2" w:space="0" w:color="auto"/>
            </w:tcBorders>
            <w:vAlign w:val="center"/>
          </w:tcPr>
          <w:p w14:paraId="1E4EFC2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山东龙大美食股份有限公司</w:t>
            </w:r>
          </w:p>
        </w:tc>
        <w:tc>
          <w:tcPr>
            <w:tcW w:w="5386" w:type="dxa"/>
            <w:tcBorders>
              <w:top w:val="single" w:sz="2" w:space="0" w:color="auto"/>
              <w:left w:val="single" w:sz="2" w:space="0" w:color="auto"/>
              <w:bottom w:val="single" w:sz="2" w:space="0" w:color="auto"/>
              <w:right w:val="single" w:sz="2" w:space="0" w:color="auto"/>
            </w:tcBorders>
            <w:vAlign w:val="center"/>
          </w:tcPr>
          <w:p w14:paraId="572CF82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自产肉类初加工产品项目所得，免征企业所得税，深加工产品等其他项目所得税率为</w:t>
            </w:r>
            <w:r w:rsidRPr="005A284F">
              <w:rPr>
                <w:rFonts w:ascii="Times New Roman" w:eastAsia="宋体" w:hAnsi="Times New Roman" w:cs="Times New Roman"/>
                <w:sz w:val="18"/>
                <w:szCs w:val="18"/>
              </w:rPr>
              <w:t>25%</w:t>
            </w:r>
          </w:p>
        </w:tc>
      </w:tr>
      <w:tr w:rsidR="006C011D" w:rsidRPr="005A284F" w14:paraId="5A525CC9" w14:textId="77777777" w:rsidTr="00D15C4E">
        <w:trPr>
          <w:trHeight w:val="240"/>
        </w:trPr>
        <w:tc>
          <w:tcPr>
            <w:tcW w:w="4253" w:type="dxa"/>
            <w:tcBorders>
              <w:top w:val="single" w:sz="2" w:space="0" w:color="auto"/>
              <w:left w:val="single" w:sz="2" w:space="0" w:color="auto"/>
              <w:bottom w:val="single" w:sz="2" w:space="0" w:color="auto"/>
              <w:right w:val="single" w:sz="2" w:space="0" w:color="auto"/>
            </w:tcBorders>
            <w:vAlign w:val="center"/>
          </w:tcPr>
          <w:p w14:paraId="42122ED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烟台龙大养殖有限公司</w:t>
            </w:r>
          </w:p>
        </w:tc>
        <w:tc>
          <w:tcPr>
            <w:tcW w:w="5386" w:type="dxa"/>
            <w:tcBorders>
              <w:top w:val="single" w:sz="2" w:space="0" w:color="auto"/>
              <w:left w:val="single" w:sz="2" w:space="0" w:color="auto"/>
              <w:bottom w:val="single" w:sz="2" w:space="0" w:color="auto"/>
              <w:right w:val="single" w:sz="2" w:space="0" w:color="auto"/>
            </w:tcBorders>
            <w:vAlign w:val="center"/>
          </w:tcPr>
          <w:p w14:paraId="4E9C396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从事牲畜、家禽的饲养项目所得税，免征企业所得税</w:t>
            </w:r>
          </w:p>
        </w:tc>
      </w:tr>
      <w:tr w:rsidR="006C011D" w:rsidRPr="005A284F" w14:paraId="556E9DED" w14:textId="77777777" w:rsidTr="00D15C4E">
        <w:trPr>
          <w:trHeight w:val="240"/>
        </w:trPr>
        <w:tc>
          <w:tcPr>
            <w:tcW w:w="4253" w:type="dxa"/>
            <w:tcBorders>
              <w:top w:val="single" w:sz="2" w:space="0" w:color="auto"/>
              <w:left w:val="single" w:sz="2" w:space="0" w:color="auto"/>
              <w:bottom w:val="single" w:sz="2" w:space="0" w:color="auto"/>
              <w:right w:val="single" w:sz="2" w:space="0" w:color="auto"/>
            </w:tcBorders>
            <w:vAlign w:val="center"/>
          </w:tcPr>
          <w:p w14:paraId="24BE725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烟台龙大饲料有限公司</w:t>
            </w:r>
          </w:p>
        </w:tc>
        <w:tc>
          <w:tcPr>
            <w:tcW w:w="5386" w:type="dxa"/>
            <w:tcBorders>
              <w:top w:val="single" w:sz="2" w:space="0" w:color="auto"/>
              <w:left w:val="single" w:sz="2" w:space="0" w:color="auto"/>
              <w:bottom w:val="single" w:sz="2" w:space="0" w:color="auto"/>
              <w:right w:val="single" w:sz="2" w:space="0" w:color="auto"/>
            </w:tcBorders>
            <w:vAlign w:val="center"/>
          </w:tcPr>
          <w:p w14:paraId="3935865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25%</w:t>
            </w:r>
          </w:p>
        </w:tc>
      </w:tr>
      <w:tr w:rsidR="006C011D" w:rsidRPr="005A284F" w14:paraId="051FEFD7" w14:textId="77777777" w:rsidTr="00D15C4E">
        <w:trPr>
          <w:trHeight w:val="240"/>
        </w:trPr>
        <w:tc>
          <w:tcPr>
            <w:tcW w:w="4253" w:type="dxa"/>
            <w:tcBorders>
              <w:top w:val="single" w:sz="2" w:space="0" w:color="auto"/>
              <w:left w:val="single" w:sz="2" w:space="0" w:color="auto"/>
              <w:bottom w:val="single" w:sz="2" w:space="0" w:color="auto"/>
              <w:right w:val="single" w:sz="2" w:space="0" w:color="auto"/>
            </w:tcBorders>
            <w:vAlign w:val="center"/>
          </w:tcPr>
          <w:p w14:paraId="0FAD786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河南龙大牧原肉食品有限公司</w:t>
            </w:r>
          </w:p>
        </w:tc>
        <w:tc>
          <w:tcPr>
            <w:tcW w:w="5386" w:type="dxa"/>
            <w:tcBorders>
              <w:top w:val="single" w:sz="2" w:space="0" w:color="auto"/>
              <w:left w:val="single" w:sz="2" w:space="0" w:color="auto"/>
              <w:bottom w:val="single" w:sz="2" w:space="0" w:color="auto"/>
              <w:right w:val="single" w:sz="2" w:space="0" w:color="auto"/>
            </w:tcBorders>
            <w:vAlign w:val="center"/>
          </w:tcPr>
          <w:p w14:paraId="0CF098B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自产肉类初加工产品项目所得，免征企业所得税，深加工产品等其他项目所得税率为</w:t>
            </w:r>
            <w:r w:rsidRPr="005A284F">
              <w:rPr>
                <w:rFonts w:ascii="Times New Roman" w:eastAsia="宋体" w:hAnsi="Times New Roman" w:cs="Times New Roman"/>
                <w:sz w:val="18"/>
                <w:szCs w:val="18"/>
              </w:rPr>
              <w:t>25%</w:t>
            </w:r>
          </w:p>
        </w:tc>
      </w:tr>
      <w:tr w:rsidR="006C011D" w:rsidRPr="005A284F" w14:paraId="04AF6666" w14:textId="77777777" w:rsidTr="00D15C4E">
        <w:trPr>
          <w:trHeight w:val="240"/>
        </w:trPr>
        <w:tc>
          <w:tcPr>
            <w:tcW w:w="4253" w:type="dxa"/>
            <w:tcBorders>
              <w:top w:val="single" w:sz="2" w:space="0" w:color="auto"/>
              <w:left w:val="single" w:sz="2" w:space="0" w:color="auto"/>
              <w:bottom w:val="single" w:sz="2" w:space="0" w:color="auto"/>
              <w:right w:val="single" w:sz="2" w:space="0" w:color="auto"/>
            </w:tcBorders>
            <w:vAlign w:val="center"/>
          </w:tcPr>
          <w:p w14:paraId="3540BD8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聊城龙大肉食品有限公司</w:t>
            </w:r>
          </w:p>
        </w:tc>
        <w:tc>
          <w:tcPr>
            <w:tcW w:w="5386" w:type="dxa"/>
            <w:tcBorders>
              <w:top w:val="single" w:sz="2" w:space="0" w:color="auto"/>
              <w:left w:val="single" w:sz="2" w:space="0" w:color="auto"/>
              <w:bottom w:val="single" w:sz="2" w:space="0" w:color="auto"/>
              <w:right w:val="single" w:sz="2" w:space="0" w:color="auto"/>
            </w:tcBorders>
            <w:vAlign w:val="center"/>
          </w:tcPr>
          <w:p w14:paraId="0FB3ED9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自产肉类初加工产品项目所得，免征企业所得税，深加工产品等其他项目所得税率为</w:t>
            </w:r>
            <w:r w:rsidRPr="005A284F">
              <w:rPr>
                <w:rFonts w:ascii="Times New Roman" w:eastAsia="宋体" w:hAnsi="Times New Roman" w:cs="Times New Roman"/>
                <w:sz w:val="18"/>
                <w:szCs w:val="18"/>
              </w:rPr>
              <w:t>25%</w:t>
            </w:r>
          </w:p>
        </w:tc>
      </w:tr>
      <w:tr w:rsidR="006C011D" w:rsidRPr="005A284F" w14:paraId="1EF02842" w14:textId="77777777" w:rsidTr="00D15C4E">
        <w:trPr>
          <w:trHeight w:val="240"/>
        </w:trPr>
        <w:tc>
          <w:tcPr>
            <w:tcW w:w="4253" w:type="dxa"/>
            <w:tcBorders>
              <w:top w:val="single" w:sz="2" w:space="0" w:color="auto"/>
              <w:left w:val="single" w:sz="2" w:space="0" w:color="auto"/>
              <w:bottom w:val="single" w:sz="2" w:space="0" w:color="auto"/>
              <w:right w:val="single" w:sz="2" w:space="0" w:color="auto"/>
            </w:tcBorders>
            <w:vAlign w:val="center"/>
          </w:tcPr>
          <w:p w14:paraId="57F7F9A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烟台杰科检测服务有限公司</w:t>
            </w:r>
          </w:p>
        </w:tc>
        <w:tc>
          <w:tcPr>
            <w:tcW w:w="5386" w:type="dxa"/>
            <w:tcBorders>
              <w:top w:val="single" w:sz="2" w:space="0" w:color="auto"/>
              <w:left w:val="single" w:sz="2" w:space="0" w:color="auto"/>
              <w:bottom w:val="single" w:sz="2" w:space="0" w:color="auto"/>
              <w:right w:val="single" w:sz="2" w:space="0" w:color="auto"/>
            </w:tcBorders>
            <w:vAlign w:val="center"/>
          </w:tcPr>
          <w:p w14:paraId="5F32122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小型微利企业所得税率</w:t>
            </w:r>
          </w:p>
        </w:tc>
      </w:tr>
      <w:tr w:rsidR="006C011D" w:rsidRPr="005A284F" w14:paraId="0448C71E" w14:textId="77777777" w:rsidTr="00D15C4E">
        <w:trPr>
          <w:trHeight w:val="240"/>
        </w:trPr>
        <w:tc>
          <w:tcPr>
            <w:tcW w:w="4253" w:type="dxa"/>
            <w:tcBorders>
              <w:top w:val="single" w:sz="2" w:space="0" w:color="auto"/>
              <w:left w:val="single" w:sz="2" w:space="0" w:color="auto"/>
              <w:bottom w:val="single" w:sz="2" w:space="0" w:color="auto"/>
              <w:right w:val="single" w:sz="2" w:space="0" w:color="auto"/>
            </w:tcBorders>
            <w:vAlign w:val="center"/>
          </w:tcPr>
          <w:p w14:paraId="7E4532A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蓬莱富龙肉食品有限公司</w:t>
            </w:r>
          </w:p>
        </w:tc>
        <w:tc>
          <w:tcPr>
            <w:tcW w:w="5386" w:type="dxa"/>
            <w:tcBorders>
              <w:top w:val="single" w:sz="2" w:space="0" w:color="auto"/>
              <w:left w:val="single" w:sz="2" w:space="0" w:color="auto"/>
              <w:bottom w:val="single" w:sz="2" w:space="0" w:color="auto"/>
              <w:right w:val="single" w:sz="2" w:space="0" w:color="auto"/>
            </w:tcBorders>
            <w:vAlign w:val="center"/>
          </w:tcPr>
          <w:p w14:paraId="3FB455B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自产肉类初加工产品项目所得，免征企业所得税，深加工产品等其他项目所得税率为</w:t>
            </w:r>
            <w:r w:rsidRPr="005A284F">
              <w:rPr>
                <w:rFonts w:ascii="Times New Roman" w:eastAsia="宋体" w:hAnsi="Times New Roman" w:cs="Times New Roman"/>
                <w:sz w:val="18"/>
                <w:szCs w:val="18"/>
              </w:rPr>
              <w:t>25%</w:t>
            </w:r>
          </w:p>
        </w:tc>
      </w:tr>
      <w:tr w:rsidR="006C011D" w:rsidRPr="005A284F" w14:paraId="4826CBED" w14:textId="77777777" w:rsidTr="00D15C4E">
        <w:trPr>
          <w:trHeight w:val="240"/>
        </w:trPr>
        <w:tc>
          <w:tcPr>
            <w:tcW w:w="4253" w:type="dxa"/>
            <w:tcBorders>
              <w:top w:val="single" w:sz="2" w:space="0" w:color="auto"/>
              <w:left w:val="single" w:sz="2" w:space="0" w:color="auto"/>
              <w:bottom w:val="single" w:sz="2" w:space="0" w:color="auto"/>
              <w:right w:val="single" w:sz="2" w:space="0" w:color="auto"/>
            </w:tcBorders>
            <w:vAlign w:val="center"/>
          </w:tcPr>
          <w:p w14:paraId="770B6C8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北京快厨帮科技有限公司</w:t>
            </w:r>
          </w:p>
        </w:tc>
        <w:tc>
          <w:tcPr>
            <w:tcW w:w="5386" w:type="dxa"/>
            <w:tcBorders>
              <w:top w:val="single" w:sz="2" w:space="0" w:color="auto"/>
              <w:left w:val="single" w:sz="2" w:space="0" w:color="auto"/>
              <w:bottom w:val="single" w:sz="2" w:space="0" w:color="auto"/>
              <w:right w:val="single" w:sz="2" w:space="0" w:color="auto"/>
            </w:tcBorders>
            <w:vAlign w:val="center"/>
          </w:tcPr>
          <w:p w14:paraId="0C4EDAA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小型微利企业所得税率</w:t>
            </w:r>
          </w:p>
        </w:tc>
      </w:tr>
      <w:tr w:rsidR="006C011D" w:rsidRPr="005A284F" w14:paraId="7BBD0921" w14:textId="77777777" w:rsidTr="00D15C4E">
        <w:trPr>
          <w:trHeight w:val="240"/>
        </w:trPr>
        <w:tc>
          <w:tcPr>
            <w:tcW w:w="4253" w:type="dxa"/>
            <w:tcBorders>
              <w:top w:val="single" w:sz="2" w:space="0" w:color="auto"/>
              <w:left w:val="single" w:sz="2" w:space="0" w:color="auto"/>
              <w:bottom w:val="single" w:sz="2" w:space="0" w:color="auto"/>
              <w:right w:val="single" w:sz="2" w:space="0" w:color="auto"/>
            </w:tcBorders>
            <w:vAlign w:val="center"/>
          </w:tcPr>
          <w:p w14:paraId="136A10B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山东龙大生猪产品工程技术研究有限公司</w:t>
            </w:r>
          </w:p>
        </w:tc>
        <w:tc>
          <w:tcPr>
            <w:tcW w:w="5386" w:type="dxa"/>
            <w:tcBorders>
              <w:top w:val="single" w:sz="2" w:space="0" w:color="auto"/>
              <w:left w:val="single" w:sz="2" w:space="0" w:color="auto"/>
              <w:bottom w:val="single" w:sz="2" w:space="0" w:color="auto"/>
              <w:right w:val="single" w:sz="2" w:space="0" w:color="auto"/>
            </w:tcBorders>
            <w:vAlign w:val="center"/>
          </w:tcPr>
          <w:p w14:paraId="671069F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小型微利企业所得税率</w:t>
            </w:r>
          </w:p>
        </w:tc>
      </w:tr>
      <w:tr w:rsidR="006C011D" w:rsidRPr="005A284F" w14:paraId="45DF4550" w14:textId="77777777" w:rsidTr="00D15C4E">
        <w:trPr>
          <w:trHeight w:val="240"/>
        </w:trPr>
        <w:tc>
          <w:tcPr>
            <w:tcW w:w="4253" w:type="dxa"/>
            <w:tcBorders>
              <w:top w:val="single" w:sz="2" w:space="0" w:color="auto"/>
              <w:left w:val="single" w:sz="2" w:space="0" w:color="auto"/>
              <w:bottom w:val="single" w:sz="2" w:space="0" w:color="auto"/>
              <w:right w:val="single" w:sz="2" w:space="0" w:color="auto"/>
            </w:tcBorders>
            <w:vAlign w:val="center"/>
          </w:tcPr>
          <w:p w14:paraId="1E143B3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莱阳龙瑞食品有限公司</w:t>
            </w:r>
          </w:p>
        </w:tc>
        <w:tc>
          <w:tcPr>
            <w:tcW w:w="5386" w:type="dxa"/>
            <w:tcBorders>
              <w:top w:val="single" w:sz="2" w:space="0" w:color="auto"/>
              <w:left w:val="single" w:sz="2" w:space="0" w:color="auto"/>
              <w:bottom w:val="single" w:sz="2" w:space="0" w:color="auto"/>
              <w:right w:val="single" w:sz="2" w:space="0" w:color="auto"/>
            </w:tcBorders>
            <w:vAlign w:val="center"/>
          </w:tcPr>
          <w:p w14:paraId="09315D9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25%</w:t>
            </w:r>
          </w:p>
        </w:tc>
      </w:tr>
      <w:tr w:rsidR="006C011D" w:rsidRPr="005A284F" w14:paraId="4F1BFDAF" w14:textId="77777777" w:rsidTr="00D15C4E">
        <w:trPr>
          <w:trHeight w:val="240"/>
        </w:trPr>
        <w:tc>
          <w:tcPr>
            <w:tcW w:w="4253" w:type="dxa"/>
            <w:tcBorders>
              <w:top w:val="single" w:sz="2" w:space="0" w:color="auto"/>
              <w:left w:val="single" w:sz="2" w:space="0" w:color="auto"/>
              <w:bottom w:val="single" w:sz="2" w:space="0" w:color="auto"/>
              <w:right w:val="single" w:sz="2" w:space="0" w:color="auto"/>
            </w:tcBorders>
            <w:vAlign w:val="center"/>
          </w:tcPr>
          <w:p w14:paraId="2172EC6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泰麟食品（烟台）有限责任公司</w:t>
            </w:r>
          </w:p>
        </w:tc>
        <w:tc>
          <w:tcPr>
            <w:tcW w:w="5386" w:type="dxa"/>
            <w:tcBorders>
              <w:top w:val="single" w:sz="2" w:space="0" w:color="auto"/>
              <w:left w:val="single" w:sz="2" w:space="0" w:color="auto"/>
              <w:bottom w:val="single" w:sz="2" w:space="0" w:color="auto"/>
              <w:right w:val="single" w:sz="2" w:space="0" w:color="auto"/>
            </w:tcBorders>
            <w:vAlign w:val="center"/>
          </w:tcPr>
          <w:p w14:paraId="50E3D2D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25%</w:t>
            </w:r>
          </w:p>
        </w:tc>
      </w:tr>
      <w:tr w:rsidR="006C011D" w:rsidRPr="005A284F" w14:paraId="7503F852" w14:textId="77777777" w:rsidTr="00D15C4E">
        <w:trPr>
          <w:trHeight w:val="240"/>
        </w:trPr>
        <w:tc>
          <w:tcPr>
            <w:tcW w:w="4253" w:type="dxa"/>
            <w:tcBorders>
              <w:top w:val="single" w:sz="2" w:space="0" w:color="auto"/>
              <w:left w:val="single" w:sz="2" w:space="0" w:color="auto"/>
              <w:bottom w:val="single" w:sz="2" w:space="0" w:color="auto"/>
              <w:right w:val="single" w:sz="2" w:space="0" w:color="auto"/>
            </w:tcBorders>
            <w:vAlign w:val="center"/>
          </w:tcPr>
          <w:p w14:paraId="7FE0074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青岛中和盛杰食品有限公司</w:t>
            </w:r>
          </w:p>
        </w:tc>
        <w:tc>
          <w:tcPr>
            <w:tcW w:w="5386" w:type="dxa"/>
            <w:tcBorders>
              <w:top w:val="single" w:sz="2" w:space="0" w:color="auto"/>
              <w:left w:val="single" w:sz="2" w:space="0" w:color="auto"/>
              <w:bottom w:val="single" w:sz="2" w:space="0" w:color="auto"/>
              <w:right w:val="single" w:sz="2" w:space="0" w:color="auto"/>
            </w:tcBorders>
            <w:vAlign w:val="center"/>
          </w:tcPr>
          <w:p w14:paraId="50840D6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25%</w:t>
            </w:r>
          </w:p>
        </w:tc>
      </w:tr>
      <w:tr w:rsidR="006C011D" w:rsidRPr="005A284F" w14:paraId="3C607084" w14:textId="77777777" w:rsidTr="00D15C4E">
        <w:trPr>
          <w:trHeight w:val="240"/>
        </w:trPr>
        <w:tc>
          <w:tcPr>
            <w:tcW w:w="4253" w:type="dxa"/>
            <w:tcBorders>
              <w:top w:val="single" w:sz="2" w:space="0" w:color="auto"/>
              <w:left w:val="single" w:sz="2" w:space="0" w:color="auto"/>
              <w:bottom w:val="single" w:sz="2" w:space="0" w:color="auto"/>
              <w:right w:val="single" w:sz="2" w:space="0" w:color="auto"/>
            </w:tcBorders>
            <w:vAlign w:val="center"/>
          </w:tcPr>
          <w:p w14:paraId="345A46F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青岛新胜锦食品商贸有限公司</w:t>
            </w:r>
          </w:p>
        </w:tc>
        <w:tc>
          <w:tcPr>
            <w:tcW w:w="5386" w:type="dxa"/>
            <w:tcBorders>
              <w:top w:val="single" w:sz="2" w:space="0" w:color="auto"/>
              <w:left w:val="single" w:sz="2" w:space="0" w:color="auto"/>
              <w:bottom w:val="single" w:sz="2" w:space="0" w:color="auto"/>
              <w:right w:val="single" w:sz="2" w:space="0" w:color="auto"/>
            </w:tcBorders>
            <w:vAlign w:val="center"/>
          </w:tcPr>
          <w:p w14:paraId="06606DC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小型微利企业所得税率</w:t>
            </w:r>
          </w:p>
        </w:tc>
      </w:tr>
      <w:tr w:rsidR="006C011D" w:rsidRPr="005A284F" w14:paraId="42B08AAB" w14:textId="77777777" w:rsidTr="00D15C4E">
        <w:trPr>
          <w:trHeight w:val="240"/>
        </w:trPr>
        <w:tc>
          <w:tcPr>
            <w:tcW w:w="4253" w:type="dxa"/>
            <w:tcBorders>
              <w:top w:val="single" w:sz="2" w:space="0" w:color="auto"/>
              <w:left w:val="single" w:sz="2" w:space="0" w:color="auto"/>
              <w:bottom w:val="single" w:sz="2" w:space="0" w:color="auto"/>
              <w:right w:val="single" w:sz="2" w:space="0" w:color="auto"/>
            </w:tcBorders>
            <w:vAlign w:val="center"/>
          </w:tcPr>
          <w:p w14:paraId="5AC9502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乳山中和盛杰食品有限公司</w:t>
            </w:r>
          </w:p>
        </w:tc>
        <w:tc>
          <w:tcPr>
            <w:tcW w:w="5386" w:type="dxa"/>
            <w:tcBorders>
              <w:top w:val="single" w:sz="2" w:space="0" w:color="auto"/>
              <w:left w:val="single" w:sz="2" w:space="0" w:color="auto"/>
              <w:bottom w:val="single" w:sz="2" w:space="0" w:color="auto"/>
              <w:right w:val="single" w:sz="2" w:space="0" w:color="auto"/>
            </w:tcBorders>
            <w:vAlign w:val="center"/>
          </w:tcPr>
          <w:p w14:paraId="78146D4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小型微利企业所得税率</w:t>
            </w:r>
          </w:p>
        </w:tc>
      </w:tr>
      <w:tr w:rsidR="006C011D" w:rsidRPr="005A284F" w14:paraId="1A446BE4" w14:textId="77777777" w:rsidTr="00D15C4E">
        <w:trPr>
          <w:trHeight w:val="240"/>
        </w:trPr>
        <w:tc>
          <w:tcPr>
            <w:tcW w:w="4253" w:type="dxa"/>
            <w:tcBorders>
              <w:top w:val="single" w:sz="2" w:space="0" w:color="auto"/>
              <w:left w:val="single" w:sz="2" w:space="0" w:color="auto"/>
              <w:bottom w:val="single" w:sz="2" w:space="0" w:color="auto"/>
              <w:right w:val="single" w:sz="2" w:space="0" w:color="auto"/>
            </w:tcBorders>
            <w:vAlign w:val="center"/>
          </w:tcPr>
          <w:p w14:paraId="09C4882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潍坊振祥食品有限公司</w:t>
            </w:r>
          </w:p>
        </w:tc>
        <w:tc>
          <w:tcPr>
            <w:tcW w:w="5386" w:type="dxa"/>
            <w:tcBorders>
              <w:top w:val="single" w:sz="2" w:space="0" w:color="auto"/>
              <w:left w:val="single" w:sz="2" w:space="0" w:color="auto"/>
              <w:bottom w:val="single" w:sz="2" w:space="0" w:color="auto"/>
              <w:right w:val="single" w:sz="2" w:space="0" w:color="auto"/>
            </w:tcBorders>
            <w:vAlign w:val="center"/>
          </w:tcPr>
          <w:p w14:paraId="53A9202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自产肉类初加工产品项目所得，免征企业所得税，深加工产品等其他项目所得税率为</w:t>
            </w:r>
            <w:r w:rsidRPr="005A284F">
              <w:rPr>
                <w:rFonts w:ascii="Times New Roman" w:eastAsia="宋体" w:hAnsi="Times New Roman" w:cs="Times New Roman"/>
                <w:sz w:val="18"/>
                <w:szCs w:val="18"/>
              </w:rPr>
              <w:t>25%</w:t>
            </w:r>
          </w:p>
        </w:tc>
      </w:tr>
      <w:tr w:rsidR="006C011D" w:rsidRPr="005A284F" w14:paraId="18A80073" w14:textId="77777777" w:rsidTr="00D15C4E">
        <w:trPr>
          <w:trHeight w:val="240"/>
        </w:trPr>
        <w:tc>
          <w:tcPr>
            <w:tcW w:w="4253" w:type="dxa"/>
            <w:tcBorders>
              <w:top w:val="single" w:sz="2" w:space="0" w:color="auto"/>
              <w:left w:val="single" w:sz="2" w:space="0" w:color="auto"/>
              <w:bottom w:val="single" w:sz="2" w:space="0" w:color="auto"/>
              <w:right w:val="single" w:sz="2" w:space="0" w:color="auto"/>
            </w:tcBorders>
            <w:vAlign w:val="center"/>
          </w:tcPr>
          <w:p w14:paraId="4DEBC1E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云南福照食品有限公司</w:t>
            </w:r>
          </w:p>
        </w:tc>
        <w:tc>
          <w:tcPr>
            <w:tcW w:w="5386" w:type="dxa"/>
            <w:tcBorders>
              <w:top w:val="single" w:sz="2" w:space="0" w:color="auto"/>
              <w:left w:val="single" w:sz="2" w:space="0" w:color="auto"/>
              <w:bottom w:val="single" w:sz="2" w:space="0" w:color="auto"/>
              <w:right w:val="single" w:sz="2" w:space="0" w:color="auto"/>
            </w:tcBorders>
            <w:vAlign w:val="center"/>
          </w:tcPr>
          <w:p w14:paraId="6879831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自产肉类初加工产品项目所得，免征企业所得税，深加工产品等其他项目所得税率为</w:t>
            </w:r>
            <w:r w:rsidRPr="005A284F">
              <w:rPr>
                <w:rFonts w:ascii="Times New Roman" w:eastAsia="宋体" w:hAnsi="Times New Roman" w:cs="Times New Roman"/>
                <w:sz w:val="18"/>
                <w:szCs w:val="18"/>
              </w:rPr>
              <w:t>25%</w:t>
            </w:r>
          </w:p>
        </w:tc>
      </w:tr>
      <w:tr w:rsidR="006C011D" w:rsidRPr="005A284F" w14:paraId="59016F82" w14:textId="77777777" w:rsidTr="00D15C4E">
        <w:trPr>
          <w:trHeight w:val="240"/>
        </w:trPr>
        <w:tc>
          <w:tcPr>
            <w:tcW w:w="4253" w:type="dxa"/>
            <w:tcBorders>
              <w:top w:val="single" w:sz="2" w:space="0" w:color="auto"/>
              <w:left w:val="single" w:sz="2" w:space="0" w:color="auto"/>
              <w:bottom w:val="single" w:sz="2" w:space="0" w:color="auto"/>
              <w:right w:val="single" w:sz="2" w:space="0" w:color="auto"/>
            </w:tcBorders>
            <w:vAlign w:val="center"/>
          </w:tcPr>
          <w:p w14:paraId="0025FA7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香港龙大发展有限公司</w:t>
            </w:r>
          </w:p>
        </w:tc>
        <w:tc>
          <w:tcPr>
            <w:tcW w:w="5386" w:type="dxa"/>
            <w:tcBorders>
              <w:top w:val="single" w:sz="2" w:space="0" w:color="auto"/>
              <w:left w:val="single" w:sz="2" w:space="0" w:color="auto"/>
              <w:bottom w:val="single" w:sz="2" w:space="0" w:color="auto"/>
              <w:right w:val="single" w:sz="2" w:space="0" w:color="auto"/>
            </w:tcBorders>
            <w:vAlign w:val="center"/>
          </w:tcPr>
          <w:p w14:paraId="4C078EE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企业首</w:t>
            </w:r>
            <w:r w:rsidRPr="005A284F">
              <w:rPr>
                <w:rFonts w:ascii="Times New Roman" w:eastAsia="宋体" w:hAnsi="Times New Roman" w:cs="Times New Roman"/>
                <w:sz w:val="18"/>
                <w:szCs w:val="18"/>
              </w:rPr>
              <w:t>200</w:t>
            </w:r>
            <w:r w:rsidRPr="005A284F">
              <w:rPr>
                <w:rFonts w:ascii="Times New Roman" w:eastAsia="宋体" w:hAnsi="Times New Roman" w:cs="Times New Roman"/>
                <w:sz w:val="18"/>
                <w:szCs w:val="18"/>
              </w:rPr>
              <w:t>万港元的利润利得税税率</w:t>
            </w:r>
            <w:r w:rsidRPr="005A284F">
              <w:rPr>
                <w:rFonts w:ascii="Times New Roman" w:eastAsia="宋体" w:hAnsi="Times New Roman" w:cs="Times New Roman"/>
                <w:sz w:val="18"/>
                <w:szCs w:val="18"/>
              </w:rPr>
              <w:t>8.25%</w:t>
            </w:r>
            <w:r w:rsidRPr="005A284F">
              <w:rPr>
                <w:rFonts w:ascii="Times New Roman" w:eastAsia="宋体" w:hAnsi="Times New Roman" w:cs="Times New Roman"/>
                <w:sz w:val="18"/>
                <w:szCs w:val="18"/>
              </w:rPr>
              <w:t>，其后的利润</w:t>
            </w:r>
            <w:r w:rsidRPr="005A284F">
              <w:rPr>
                <w:rFonts w:ascii="Times New Roman" w:eastAsia="宋体" w:hAnsi="Times New Roman" w:cs="Times New Roman"/>
                <w:sz w:val="18"/>
                <w:szCs w:val="18"/>
              </w:rPr>
              <w:t>16.5%</w:t>
            </w:r>
          </w:p>
        </w:tc>
      </w:tr>
      <w:tr w:rsidR="006C011D" w:rsidRPr="005A284F" w14:paraId="1C16CF28" w14:textId="77777777" w:rsidTr="00D15C4E">
        <w:trPr>
          <w:trHeight w:val="240"/>
        </w:trPr>
        <w:tc>
          <w:tcPr>
            <w:tcW w:w="4253" w:type="dxa"/>
            <w:tcBorders>
              <w:top w:val="single" w:sz="2" w:space="0" w:color="auto"/>
              <w:left w:val="single" w:sz="2" w:space="0" w:color="auto"/>
              <w:bottom w:val="single" w:sz="2" w:space="0" w:color="auto"/>
              <w:right w:val="single" w:sz="2" w:space="0" w:color="auto"/>
            </w:tcBorders>
            <w:vAlign w:val="center"/>
          </w:tcPr>
          <w:p w14:paraId="271FBCA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山东龙大美食贸易有限公司</w:t>
            </w:r>
          </w:p>
        </w:tc>
        <w:tc>
          <w:tcPr>
            <w:tcW w:w="5386" w:type="dxa"/>
            <w:tcBorders>
              <w:top w:val="single" w:sz="2" w:space="0" w:color="auto"/>
              <w:left w:val="single" w:sz="2" w:space="0" w:color="auto"/>
              <w:bottom w:val="single" w:sz="2" w:space="0" w:color="auto"/>
              <w:right w:val="single" w:sz="2" w:space="0" w:color="auto"/>
            </w:tcBorders>
            <w:vAlign w:val="center"/>
          </w:tcPr>
          <w:p w14:paraId="0795E24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25%</w:t>
            </w:r>
          </w:p>
        </w:tc>
      </w:tr>
      <w:tr w:rsidR="006C011D" w:rsidRPr="005A284F" w14:paraId="277EE804" w14:textId="77777777" w:rsidTr="00D15C4E">
        <w:trPr>
          <w:trHeight w:val="240"/>
        </w:trPr>
        <w:tc>
          <w:tcPr>
            <w:tcW w:w="4253" w:type="dxa"/>
            <w:tcBorders>
              <w:top w:val="single" w:sz="2" w:space="0" w:color="auto"/>
              <w:left w:val="single" w:sz="2" w:space="0" w:color="auto"/>
              <w:bottom w:val="single" w:sz="2" w:space="0" w:color="auto"/>
              <w:right w:val="single" w:sz="2" w:space="0" w:color="auto"/>
            </w:tcBorders>
            <w:vAlign w:val="center"/>
          </w:tcPr>
          <w:p w14:paraId="3215F3B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黑龙江龙大养殖有限公司</w:t>
            </w:r>
          </w:p>
        </w:tc>
        <w:tc>
          <w:tcPr>
            <w:tcW w:w="5386" w:type="dxa"/>
            <w:tcBorders>
              <w:top w:val="single" w:sz="2" w:space="0" w:color="auto"/>
              <w:left w:val="single" w:sz="2" w:space="0" w:color="auto"/>
              <w:bottom w:val="single" w:sz="2" w:space="0" w:color="auto"/>
              <w:right w:val="single" w:sz="2" w:space="0" w:color="auto"/>
            </w:tcBorders>
            <w:vAlign w:val="center"/>
          </w:tcPr>
          <w:p w14:paraId="0F32B60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从事牲畜、家禽的饲养项目所得税，免征企业所得税</w:t>
            </w:r>
          </w:p>
        </w:tc>
      </w:tr>
      <w:tr w:rsidR="006C011D" w:rsidRPr="005A284F" w14:paraId="6775A984" w14:textId="77777777" w:rsidTr="00D15C4E">
        <w:trPr>
          <w:trHeight w:val="240"/>
        </w:trPr>
        <w:tc>
          <w:tcPr>
            <w:tcW w:w="4253" w:type="dxa"/>
            <w:tcBorders>
              <w:top w:val="single" w:sz="2" w:space="0" w:color="auto"/>
              <w:left w:val="single" w:sz="2" w:space="0" w:color="auto"/>
              <w:bottom w:val="single" w:sz="2" w:space="0" w:color="auto"/>
              <w:right w:val="single" w:sz="2" w:space="0" w:color="auto"/>
            </w:tcBorders>
            <w:vAlign w:val="center"/>
          </w:tcPr>
          <w:p w14:paraId="4A97AC6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安丘龙大养殖有限公司</w:t>
            </w:r>
          </w:p>
        </w:tc>
        <w:tc>
          <w:tcPr>
            <w:tcW w:w="5386" w:type="dxa"/>
            <w:tcBorders>
              <w:top w:val="single" w:sz="2" w:space="0" w:color="auto"/>
              <w:left w:val="single" w:sz="2" w:space="0" w:color="auto"/>
              <w:bottom w:val="single" w:sz="2" w:space="0" w:color="auto"/>
              <w:right w:val="single" w:sz="2" w:space="0" w:color="auto"/>
            </w:tcBorders>
            <w:vAlign w:val="center"/>
          </w:tcPr>
          <w:p w14:paraId="37BCF7A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从事牲畜、家禽的饲养项目所得税，免征企业所得税</w:t>
            </w:r>
          </w:p>
        </w:tc>
      </w:tr>
      <w:tr w:rsidR="006C011D" w:rsidRPr="005A284F" w14:paraId="69DB6B0E" w14:textId="77777777" w:rsidTr="00D15C4E">
        <w:trPr>
          <w:trHeight w:val="240"/>
        </w:trPr>
        <w:tc>
          <w:tcPr>
            <w:tcW w:w="4253" w:type="dxa"/>
            <w:tcBorders>
              <w:top w:val="single" w:sz="2" w:space="0" w:color="auto"/>
              <w:left w:val="single" w:sz="2" w:space="0" w:color="auto"/>
              <w:bottom w:val="single" w:sz="2" w:space="0" w:color="auto"/>
              <w:right w:val="single" w:sz="2" w:space="0" w:color="auto"/>
            </w:tcBorders>
            <w:vAlign w:val="center"/>
          </w:tcPr>
          <w:p w14:paraId="27F523B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莱阳龙大养殖有限公司</w:t>
            </w:r>
          </w:p>
        </w:tc>
        <w:tc>
          <w:tcPr>
            <w:tcW w:w="5386" w:type="dxa"/>
            <w:tcBorders>
              <w:top w:val="single" w:sz="2" w:space="0" w:color="auto"/>
              <w:left w:val="single" w:sz="2" w:space="0" w:color="auto"/>
              <w:bottom w:val="single" w:sz="2" w:space="0" w:color="auto"/>
              <w:right w:val="single" w:sz="2" w:space="0" w:color="auto"/>
            </w:tcBorders>
            <w:vAlign w:val="center"/>
          </w:tcPr>
          <w:p w14:paraId="0267F98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从事牲畜、家禽的饲养项目所得税，免征企业所得税</w:t>
            </w:r>
          </w:p>
        </w:tc>
      </w:tr>
      <w:tr w:rsidR="006C011D" w:rsidRPr="005A284F" w14:paraId="22CDAD20" w14:textId="77777777" w:rsidTr="00D15C4E">
        <w:trPr>
          <w:trHeight w:val="240"/>
        </w:trPr>
        <w:tc>
          <w:tcPr>
            <w:tcW w:w="4253" w:type="dxa"/>
            <w:tcBorders>
              <w:top w:val="single" w:sz="2" w:space="0" w:color="auto"/>
              <w:left w:val="single" w:sz="2" w:space="0" w:color="auto"/>
              <w:bottom w:val="single" w:sz="2" w:space="0" w:color="auto"/>
              <w:right w:val="single" w:sz="2" w:space="0" w:color="auto"/>
            </w:tcBorders>
            <w:vAlign w:val="center"/>
          </w:tcPr>
          <w:p w14:paraId="21A6E3D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莱州龙大养殖有限公司</w:t>
            </w:r>
          </w:p>
        </w:tc>
        <w:tc>
          <w:tcPr>
            <w:tcW w:w="5386" w:type="dxa"/>
            <w:tcBorders>
              <w:top w:val="single" w:sz="2" w:space="0" w:color="auto"/>
              <w:left w:val="single" w:sz="2" w:space="0" w:color="auto"/>
              <w:bottom w:val="single" w:sz="2" w:space="0" w:color="auto"/>
              <w:right w:val="single" w:sz="2" w:space="0" w:color="auto"/>
            </w:tcBorders>
            <w:vAlign w:val="center"/>
          </w:tcPr>
          <w:p w14:paraId="1A7F5AD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从事牲畜、家禽的饲养项目所得税，免征企业所得税</w:t>
            </w:r>
          </w:p>
        </w:tc>
      </w:tr>
      <w:tr w:rsidR="006C011D" w:rsidRPr="005A284F" w14:paraId="6D671655" w14:textId="77777777" w:rsidTr="00D15C4E">
        <w:trPr>
          <w:trHeight w:val="240"/>
        </w:trPr>
        <w:tc>
          <w:tcPr>
            <w:tcW w:w="4253" w:type="dxa"/>
            <w:tcBorders>
              <w:top w:val="single" w:sz="2" w:space="0" w:color="auto"/>
              <w:left w:val="single" w:sz="2" w:space="0" w:color="auto"/>
              <w:bottom w:val="single" w:sz="2" w:space="0" w:color="auto"/>
              <w:right w:val="single" w:sz="2" w:space="0" w:color="auto"/>
            </w:tcBorders>
            <w:vAlign w:val="center"/>
          </w:tcPr>
          <w:p w14:paraId="47775A2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青岛龙大管理咨询服务有限公司</w:t>
            </w:r>
          </w:p>
        </w:tc>
        <w:tc>
          <w:tcPr>
            <w:tcW w:w="5386" w:type="dxa"/>
            <w:tcBorders>
              <w:top w:val="single" w:sz="2" w:space="0" w:color="auto"/>
              <w:left w:val="single" w:sz="2" w:space="0" w:color="auto"/>
              <w:bottom w:val="single" w:sz="2" w:space="0" w:color="auto"/>
              <w:right w:val="single" w:sz="2" w:space="0" w:color="auto"/>
            </w:tcBorders>
            <w:vAlign w:val="center"/>
          </w:tcPr>
          <w:p w14:paraId="48C94BA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小型微利企业所得税率</w:t>
            </w:r>
          </w:p>
        </w:tc>
      </w:tr>
      <w:tr w:rsidR="006C011D" w:rsidRPr="005A284F" w14:paraId="4A038B6B" w14:textId="77777777" w:rsidTr="00D15C4E">
        <w:trPr>
          <w:trHeight w:val="240"/>
        </w:trPr>
        <w:tc>
          <w:tcPr>
            <w:tcW w:w="4253" w:type="dxa"/>
            <w:tcBorders>
              <w:top w:val="single" w:sz="2" w:space="0" w:color="auto"/>
              <w:left w:val="single" w:sz="2" w:space="0" w:color="auto"/>
              <w:bottom w:val="single" w:sz="2" w:space="0" w:color="auto"/>
              <w:right w:val="single" w:sz="2" w:space="0" w:color="auto"/>
            </w:tcBorders>
            <w:vAlign w:val="center"/>
          </w:tcPr>
          <w:p w14:paraId="26D0B99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江苏龙大沁侬食品有限公司</w:t>
            </w:r>
          </w:p>
        </w:tc>
        <w:tc>
          <w:tcPr>
            <w:tcW w:w="5386" w:type="dxa"/>
            <w:tcBorders>
              <w:top w:val="single" w:sz="2" w:space="0" w:color="auto"/>
              <w:left w:val="single" w:sz="2" w:space="0" w:color="auto"/>
              <w:bottom w:val="single" w:sz="2" w:space="0" w:color="auto"/>
              <w:right w:val="single" w:sz="2" w:space="0" w:color="auto"/>
            </w:tcBorders>
            <w:vAlign w:val="center"/>
          </w:tcPr>
          <w:p w14:paraId="306C68F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自产肉类初加工产品项目所得，免征企业所得税，深加工产品等其他项目所得税率为</w:t>
            </w:r>
            <w:r w:rsidRPr="005A284F">
              <w:rPr>
                <w:rFonts w:ascii="Times New Roman" w:eastAsia="宋体" w:hAnsi="Times New Roman" w:cs="Times New Roman"/>
                <w:sz w:val="18"/>
                <w:szCs w:val="18"/>
              </w:rPr>
              <w:t>25%</w:t>
            </w:r>
          </w:p>
        </w:tc>
      </w:tr>
      <w:tr w:rsidR="006C011D" w:rsidRPr="005A284F" w14:paraId="71E630AF" w14:textId="77777777" w:rsidTr="00D15C4E">
        <w:trPr>
          <w:trHeight w:val="240"/>
        </w:trPr>
        <w:tc>
          <w:tcPr>
            <w:tcW w:w="4253" w:type="dxa"/>
            <w:tcBorders>
              <w:top w:val="single" w:sz="2" w:space="0" w:color="auto"/>
              <w:left w:val="single" w:sz="2" w:space="0" w:color="auto"/>
              <w:bottom w:val="single" w:sz="2" w:space="0" w:color="auto"/>
              <w:right w:val="single" w:sz="2" w:space="0" w:color="auto"/>
            </w:tcBorders>
            <w:vAlign w:val="center"/>
          </w:tcPr>
          <w:p w14:paraId="050870D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湖北龙大肉食品有限公司</w:t>
            </w:r>
          </w:p>
        </w:tc>
        <w:tc>
          <w:tcPr>
            <w:tcW w:w="5386" w:type="dxa"/>
            <w:tcBorders>
              <w:top w:val="single" w:sz="2" w:space="0" w:color="auto"/>
              <w:left w:val="single" w:sz="2" w:space="0" w:color="auto"/>
              <w:bottom w:val="single" w:sz="2" w:space="0" w:color="auto"/>
              <w:right w:val="single" w:sz="2" w:space="0" w:color="auto"/>
            </w:tcBorders>
            <w:vAlign w:val="center"/>
          </w:tcPr>
          <w:p w14:paraId="2FDDFAA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自产肉类初加工产品项目所得，免征企业所得税，深加工产品等其他项目所得税率为</w:t>
            </w:r>
            <w:r w:rsidRPr="005A284F">
              <w:rPr>
                <w:rFonts w:ascii="Times New Roman" w:eastAsia="宋体" w:hAnsi="Times New Roman" w:cs="Times New Roman"/>
                <w:sz w:val="18"/>
                <w:szCs w:val="18"/>
              </w:rPr>
              <w:t>25%</w:t>
            </w:r>
          </w:p>
        </w:tc>
      </w:tr>
      <w:tr w:rsidR="006C011D" w:rsidRPr="005A284F" w14:paraId="6E4A9D56" w14:textId="77777777" w:rsidTr="00D15C4E">
        <w:trPr>
          <w:trHeight w:val="240"/>
        </w:trPr>
        <w:tc>
          <w:tcPr>
            <w:tcW w:w="4253" w:type="dxa"/>
            <w:tcBorders>
              <w:top w:val="single" w:sz="2" w:space="0" w:color="auto"/>
              <w:left w:val="single" w:sz="2" w:space="0" w:color="auto"/>
              <w:bottom w:val="single" w:sz="2" w:space="0" w:color="auto"/>
              <w:right w:val="single" w:sz="2" w:space="0" w:color="auto"/>
            </w:tcBorders>
            <w:vAlign w:val="center"/>
          </w:tcPr>
          <w:p w14:paraId="26E69D1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成都龙大肉食品有限公司</w:t>
            </w:r>
          </w:p>
        </w:tc>
        <w:tc>
          <w:tcPr>
            <w:tcW w:w="5386" w:type="dxa"/>
            <w:tcBorders>
              <w:top w:val="single" w:sz="2" w:space="0" w:color="auto"/>
              <w:left w:val="single" w:sz="2" w:space="0" w:color="auto"/>
              <w:bottom w:val="single" w:sz="2" w:space="0" w:color="auto"/>
              <w:right w:val="single" w:sz="2" w:space="0" w:color="auto"/>
            </w:tcBorders>
            <w:vAlign w:val="center"/>
          </w:tcPr>
          <w:p w14:paraId="78263EF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自产肉类初加工产品项目所得，免征企业所得税，深加工产品等其他项目所得税率为</w:t>
            </w:r>
            <w:r w:rsidRPr="005A284F">
              <w:rPr>
                <w:rFonts w:ascii="Times New Roman" w:eastAsia="宋体" w:hAnsi="Times New Roman" w:cs="Times New Roman"/>
                <w:sz w:val="18"/>
                <w:szCs w:val="18"/>
              </w:rPr>
              <w:t>25%</w:t>
            </w:r>
          </w:p>
        </w:tc>
      </w:tr>
      <w:tr w:rsidR="006C011D" w:rsidRPr="005A284F" w14:paraId="50267D70" w14:textId="77777777" w:rsidTr="00D15C4E">
        <w:trPr>
          <w:trHeight w:val="240"/>
        </w:trPr>
        <w:tc>
          <w:tcPr>
            <w:tcW w:w="4253" w:type="dxa"/>
            <w:tcBorders>
              <w:top w:val="single" w:sz="2" w:space="0" w:color="auto"/>
              <w:left w:val="single" w:sz="2" w:space="0" w:color="auto"/>
              <w:bottom w:val="single" w:sz="2" w:space="0" w:color="auto"/>
              <w:right w:val="single" w:sz="2" w:space="0" w:color="auto"/>
            </w:tcBorders>
            <w:vAlign w:val="center"/>
          </w:tcPr>
          <w:p w14:paraId="3F82E62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黑龙江龙大肉食品有限公司</w:t>
            </w:r>
          </w:p>
        </w:tc>
        <w:tc>
          <w:tcPr>
            <w:tcW w:w="5386" w:type="dxa"/>
            <w:tcBorders>
              <w:top w:val="single" w:sz="2" w:space="0" w:color="auto"/>
              <w:left w:val="single" w:sz="2" w:space="0" w:color="auto"/>
              <w:bottom w:val="single" w:sz="2" w:space="0" w:color="auto"/>
              <w:right w:val="single" w:sz="2" w:space="0" w:color="auto"/>
            </w:tcBorders>
            <w:vAlign w:val="center"/>
          </w:tcPr>
          <w:p w14:paraId="1BC42E0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自产肉类初加工产品项目所得，免征企业所得税，深加工产品等其他项目所得税率为</w:t>
            </w:r>
            <w:r w:rsidRPr="005A284F">
              <w:rPr>
                <w:rFonts w:ascii="Times New Roman" w:eastAsia="宋体" w:hAnsi="Times New Roman" w:cs="Times New Roman"/>
                <w:sz w:val="18"/>
                <w:szCs w:val="18"/>
              </w:rPr>
              <w:t>25%</w:t>
            </w:r>
          </w:p>
        </w:tc>
      </w:tr>
      <w:tr w:rsidR="006C011D" w:rsidRPr="005A284F" w14:paraId="3BC375C6" w14:textId="77777777" w:rsidTr="00D15C4E">
        <w:trPr>
          <w:trHeight w:val="240"/>
        </w:trPr>
        <w:tc>
          <w:tcPr>
            <w:tcW w:w="4253" w:type="dxa"/>
            <w:tcBorders>
              <w:top w:val="single" w:sz="2" w:space="0" w:color="auto"/>
              <w:left w:val="single" w:sz="2" w:space="0" w:color="auto"/>
              <w:bottom w:val="single" w:sz="2" w:space="0" w:color="auto"/>
              <w:right w:val="single" w:sz="2" w:space="0" w:color="auto"/>
            </w:tcBorders>
            <w:vAlign w:val="center"/>
          </w:tcPr>
          <w:p w14:paraId="6FA702A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海南龙大美食有限责任公司</w:t>
            </w:r>
          </w:p>
        </w:tc>
        <w:tc>
          <w:tcPr>
            <w:tcW w:w="5386" w:type="dxa"/>
            <w:tcBorders>
              <w:top w:val="single" w:sz="2" w:space="0" w:color="auto"/>
              <w:left w:val="single" w:sz="2" w:space="0" w:color="auto"/>
              <w:bottom w:val="single" w:sz="2" w:space="0" w:color="auto"/>
              <w:right w:val="single" w:sz="2" w:space="0" w:color="auto"/>
            </w:tcBorders>
            <w:vAlign w:val="center"/>
          </w:tcPr>
          <w:p w14:paraId="751EDAF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符合海南省自贸区鼓励类行业，主营业务达到百分之六十以上，享受企业所得税</w:t>
            </w:r>
            <w:r w:rsidRPr="005A284F">
              <w:rPr>
                <w:rFonts w:ascii="Times New Roman" w:eastAsia="宋体" w:hAnsi="Times New Roman" w:cs="Times New Roman"/>
                <w:sz w:val="18"/>
                <w:szCs w:val="18"/>
              </w:rPr>
              <w:t>15%</w:t>
            </w:r>
            <w:r w:rsidRPr="005A284F">
              <w:rPr>
                <w:rFonts w:ascii="Times New Roman" w:eastAsia="宋体" w:hAnsi="Times New Roman" w:cs="Times New Roman"/>
                <w:sz w:val="18"/>
                <w:szCs w:val="18"/>
              </w:rPr>
              <w:t>的优惠税率。</w:t>
            </w:r>
          </w:p>
        </w:tc>
      </w:tr>
      <w:tr w:rsidR="006C011D" w:rsidRPr="005A284F" w14:paraId="135E57EB" w14:textId="77777777" w:rsidTr="00D15C4E">
        <w:trPr>
          <w:trHeight w:val="240"/>
        </w:trPr>
        <w:tc>
          <w:tcPr>
            <w:tcW w:w="4253" w:type="dxa"/>
            <w:tcBorders>
              <w:top w:val="single" w:sz="2" w:space="0" w:color="auto"/>
              <w:left w:val="single" w:sz="2" w:space="0" w:color="auto"/>
              <w:bottom w:val="single" w:sz="2" w:space="0" w:color="auto"/>
              <w:right w:val="single" w:sz="2" w:space="0" w:color="auto"/>
            </w:tcBorders>
            <w:vAlign w:val="center"/>
          </w:tcPr>
          <w:p w14:paraId="5489F56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巴中龙大肉食品有限公司</w:t>
            </w:r>
          </w:p>
        </w:tc>
        <w:tc>
          <w:tcPr>
            <w:tcW w:w="5386" w:type="dxa"/>
            <w:tcBorders>
              <w:top w:val="single" w:sz="2" w:space="0" w:color="auto"/>
              <w:left w:val="single" w:sz="2" w:space="0" w:color="auto"/>
              <w:bottom w:val="single" w:sz="2" w:space="0" w:color="auto"/>
              <w:right w:val="single" w:sz="2" w:space="0" w:color="auto"/>
            </w:tcBorders>
            <w:vAlign w:val="center"/>
          </w:tcPr>
          <w:p w14:paraId="4B97A33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自产肉类初加工产品项目所得，免征企业所得税，深加工产品等其他项目所得税率为</w:t>
            </w:r>
            <w:r w:rsidRPr="005A284F">
              <w:rPr>
                <w:rFonts w:ascii="Times New Roman" w:eastAsia="宋体" w:hAnsi="Times New Roman" w:cs="Times New Roman"/>
                <w:sz w:val="18"/>
                <w:szCs w:val="18"/>
              </w:rPr>
              <w:t>25%</w:t>
            </w:r>
          </w:p>
        </w:tc>
      </w:tr>
      <w:tr w:rsidR="006C011D" w:rsidRPr="005A284F" w14:paraId="00564318" w14:textId="77777777" w:rsidTr="00D15C4E">
        <w:trPr>
          <w:trHeight w:val="240"/>
        </w:trPr>
        <w:tc>
          <w:tcPr>
            <w:tcW w:w="4253" w:type="dxa"/>
            <w:tcBorders>
              <w:top w:val="single" w:sz="2" w:space="0" w:color="auto"/>
              <w:left w:val="single" w:sz="2" w:space="0" w:color="auto"/>
              <w:bottom w:val="single" w:sz="2" w:space="0" w:color="auto"/>
              <w:right w:val="single" w:sz="2" w:space="0" w:color="auto"/>
            </w:tcBorders>
            <w:vAlign w:val="center"/>
          </w:tcPr>
          <w:p w14:paraId="255F966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山东龙鲜生供应链管理有限公司</w:t>
            </w:r>
          </w:p>
        </w:tc>
        <w:tc>
          <w:tcPr>
            <w:tcW w:w="5386" w:type="dxa"/>
            <w:tcBorders>
              <w:top w:val="single" w:sz="2" w:space="0" w:color="auto"/>
              <w:left w:val="single" w:sz="2" w:space="0" w:color="auto"/>
              <w:bottom w:val="single" w:sz="2" w:space="0" w:color="auto"/>
              <w:right w:val="single" w:sz="2" w:space="0" w:color="auto"/>
            </w:tcBorders>
            <w:vAlign w:val="center"/>
          </w:tcPr>
          <w:p w14:paraId="5F19EAE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小型微利企业所得税率</w:t>
            </w:r>
          </w:p>
        </w:tc>
      </w:tr>
      <w:tr w:rsidR="006C011D" w:rsidRPr="005A284F" w14:paraId="2FDC0B9A" w14:textId="77777777" w:rsidTr="00D15C4E">
        <w:trPr>
          <w:trHeight w:val="240"/>
        </w:trPr>
        <w:tc>
          <w:tcPr>
            <w:tcW w:w="4253" w:type="dxa"/>
            <w:tcBorders>
              <w:top w:val="single" w:sz="2" w:space="0" w:color="auto"/>
              <w:left w:val="single" w:sz="2" w:space="0" w:color="auto"/>
              <w:bottom w:val="single" w:sz="2" w:space="0" w:color="auto"/>
              <w:right w:val="single" w:sz="2" w:space="0" w:color="auto"/>
            </w:tcBorders>
            <w:vAlign w:val="center"/>
          </w:tcPr>
          <w:p w14:paraId="08589DA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青岛龙大鲜生供应链有限公司</w:t>
            </w:r>
          </w:p>
        </w:tc>
        <w:tc>
          <w:tcPr>
            <w:tcW w:w="5386" w:type="dxa"/>
            <w:tcBorders>
              <w:top w:val="single" w:sz="2" w:space="0" w:color="auto"/>
              <w:left w:val="single" w:sz="2" w:space="0" w:color="auto"/>
              <w:bottom w:val="single" w:sz="2" w:space="0" w:color="auto"/>
              <w:right w:val="single" w:sz="2" w:space="0" w:color="auto"/>
            </w:tcBorders>
            <w:vAlign w:val="center"/>
          </w:tcPr>
          <w:p w14:paraId="4AA4D06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小型微利企业所得税率</w:t>
            </w:r>
          </w:p>
        </w:tc>
      </w:tr>
      <w:tr w:rsidR="006C011D" w:rsidRPr="005A284F" w14:paraId="5F28A06A" w14:textId="77777777" w:rsidTr="00D15C4E">
        <w:trPr>
          <w:trHeight w:val="240"/>
        </w:trPr>
        <w:tc>
          <w:tcPr>
            <w:tcW w:w="4253" w:type="dxa"/>
            <w:tcBorders>
              <w:top w:val="single" w:sz="2" w:space="0" w:color="auto"/>
              <w:left w:val="single" w:sz="2" w:space="0" w:color="auto"/>
              <w:bottom w:val="single" w:sz="2" w:space="0" w:color="auto"/>
              <w:right w:val="single" w:sz="2" w:space="0" w:color="auto"/>
            </w:tcBorders>
            <w:vAlign w:val="center"/>
          </w:tcPr>
          <w:p w14:paraId="27B5D7B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四川龙鲜活供应链管理有限公司</w:t>
            </w:r>
          </w:p>
        </w:tc>
        <w:tc>
          <w:tcPr>
            <w:tcW w:w="5386" w:type="dxa"/>
            <w:tcBorders>
              <w:top w:val="single" w:sz="2" w:space="0" w:color="auto"/>
              <w:left w:val="single" w:sz="2" w:space="0" w:color="auto"/>
              <w:bottom w:val="single" w:sz="2" w:space="0" w:color="auto"/>
              <w:right w:val="single" w:sz="2" w:space="0" w:color="auto"/>
            </w:tcBorders>
            <w:vAlign w:val="center"/>
          </w:tcPr>
          <w:p w14:paraId="0621F10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小型微利企业所得税率</w:t>
            </w:r>
          </w:p>
        </w:tc>
      </w:tr>
      <w:tr w:rsidR="006C011D" w:rsidRPr="005A284F" w14:paraId="3C0A5661" w14:textId="77777777" w:rsidTr="00D15C4E">
        <w:trPr>
          <w:trHeight w:val="240"/>
        </w:trPr>
        <w:tc>
          <w:tcPr>
            <w:tcW w:w="4253" w:type="dxa"/>
            <w:tcBorders>
              <w:top w:val="single" w:sz="2" w:space="0" w:color="auto"/>
              <w:left w:val="single" w:sz="2" w:space="0" w:color="auto"/>
              <w:bottom w:val="single" w:sz="2" w:space="0" w:color="auto"/>
              <w:right w:val="single" w:sz="2" w:space="0" w:color="auto"/>
            </w:tcBorders>
            <w:vAlign w:val="center"/>
          </w:tcPr>
          <w:p w14:paraId="349EDA8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潍坊振祥食品销售有限公司</w:t>
            </w:r>
          </w:p>
        </w:tc>
        <w:tc>
          <w:tcPr>
            <w:tcW w:w="5386" w:type="dxa"/>
            <w:tcBorders>
              <w:top w:val="single" w:sz="2" w:space="0" w:color="auto"/>
              <w:left w:val="single" w:sz="2" w:space="0" w:color="auto"/>
              <w:bottom w:val="single" w:sz="2" w:space="0" w:color="auto"/>
              <w:right w:val="single" w:sz="2" w:space="0" w:color="auto"/>
            </w:tcBorders>
            <w:vAlign w:val="center"/>
          </w:tcPr>
          <w:p w14:paraId="4D33171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小型微利企业所得税率</w:t>
            </w:r>
          </w:p>
        </w:tc>
      </w:tr>
      <w:tr w:rsidR="006C011D" w:rsidRPr="005A284F" w14:paraId="522709B8" w14:textId="77777777" w:rsidTr="00D15C4E">
        <w:trPr>
          <w:trHeight w:val="240"/>
        </w:trPr>
        <w:tc>
          <w:tcPr>
            <w:tcW w:w="4253" w:type="dxa"/>
            <w:tcBorders>
              <w:top w:val="single" w:sz="2" w:space="0" w:color="auto"/>
              <w:left w:val="single" w:sz="2" w:space="0" w:color="auto"/>
              <w:bottom w:val="single" w:sz="2" w:space="0" w:color="auto"/>
              <w:right w:val="single" w:sz="2" w:space="0" w:color="auto"/>
            </w:tcBorders>
            <w:vAlign w:val="center"/>
          </w:tcPr>
          <w:p w14:paraId="73A08C7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成都龙大科技有限公司（原成都逸享潮代供应链管理有限公司）</w:t>
            </w:r>
          </w:p>
        </w:tc>
        <w:tc>
          <w:tcPr>
            <w:tcW w:w="5386" w:type="dxa"/>
            <w:tcBorders>
              <w:top w:val="single" w:sz="2" w:space="0" w:color="auto"/>
              <w:left w:val="single" w:sz="2" w:space="0" w:color="auto"/>
              <w:bottom w:val="single" w:sz="2" w:space="0" w:color="auto"/>
              <w:right w:val="single" w:sz="2" w:space="0" w:color="auto"/>
            </w:tcBorders>
            <w:vAlign w:val="center"/>
          </w:tcPr>
          <w:p w14:paraId="7139D18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25%</w:t>
            </w:r>
          </w:p>
        </w:tc>
      </w:tr>
      <w:tr w:rsidR="006C011D" w:rsidRPr="005A284F" w14:paraId="1AAC9F58" w14:textId="77777777" w:rsidTr="00D15C4E">
        <w:trPr>
          <w:trHeight w:val="240"/>
        </w:trPr>
        <w:tc>
          <w:tcPr>
            <w:tcW w:w="4253" w:type="dxa"/>
            <w:tcBorders>
              <w:top w:val="single" w:sz="2" w:space="0" w:color="auto"/>
              <w:left w:val="single" w:sz="2" w:space="0" w:color="auto"/>
              <w:bottom w:val="single" w:sz="2" w:space="0" w:color="auto"/>
              <w:right w:val="single" w:sz="2" w:space="0" w:color="auto"/>
            </w:tcBorders>
            <w:vAlign w:val="center"/>
          </w:tcPr>
          <w:p w14:paraId="3EACB92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龙大美食</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北京</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食品科技有限公司</w:t>
            </w:r>
          </w:p>
        </w:tc>
        <w:tc>
          <w:tcPr>
            <w:tcW w:w="5386" w:type="dxa"/>
            <w:tcBorders>
              <w:top w:val="single" w:sz="2" w:space="0" w:color="auto"/>
              <w:left w:val="single" w:sz="2" w:space="0" w:color="auto"/>
              <w:bottom w:val="single" w:sz="2" w:space="0" w:color="auto"/>
              <w:right w:val="single" w:sz="2" w:space="0" w:color="auto"/>
            </w:tcBorders>
            <w:vAlign w:val="center"/>
          </w:tcPr>
          <w:p w14:paraId="0348CB5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25%</w:t>
            </w:r>
          </w:p>
        </w:tc>
      </w:tr>
      <w:tr w:rsidR="006C011D" w:rsidRPr="005A284F" w14:paraId="350F931C" w14:textId="77777777" w:rsidTr="00D15C4E">
        <w:trPr>
          <w:trHeight w:val="240"/>
        </w:trPr>
        <w:tc>
          <w:tcPr>
            <w:tcW w:w="4253" w:type="dxa"/>
            <w:tcBorders>
              <w:top w:val="single" w:sz="2" w:space="0" w:color="auto"/>
              <w:left w:val="single" w:sz="2" w:space="0" w:color="auto"/>
              <w:bottom w:val="single" w:sz="2" w:space="0" w:color="auto"/>
              <w:right w:val="single" w:sz="2" w:space="0" w:color="auto"/>
            </w:tcBorders>
            <w:vAlign w:val="center"/>
          </w:tcPr>
          <w:p w14:paraId="6B69C04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龙大美食</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上海</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食品科技有限公司</w:t>
            </w:r>
          </w:p>
        </w:tc>
        <w:tc>
          <w:tcPr>
            <w:tcW w:w="5386" w:type="dxa"/>
            <w:tcBorders>
              <w:top w:val="single" w:sz="2" w:space="0" w:color="auto"/>
              <w:left w:val="single" w:sz="2" w:space="0" w:color="auto"/>
              <w:bottom w:val="single" w:sz="2" w:space="0" w:color="auto"/>
              <w:right w:val="single" w:sz="2" w:space="0" w:color="auto"/>
            </w:tcBorders>
            <w:vAlign w:val="center"/>
          </w:tcPr>
          <w:p w14:paraId="5302FF7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25%</w:t>
            </w:r>
          </w:p>
        </w:tc>
      </w:tr>
      <w:tr w:rsidR="006C011D" w:rsidRPr="005A284F" w14:paraId="032DD5F5" w14:textId="77777777" w:rsidTr="00D15C4E">
        <w:trPr>
          <w:trHeight w:val="240"/>
        </w:trPr>
        <w:tc>
          <w:tcPr>
            <w:tcW w:w="4253" w:type="dxa"/>
            <w:tcBorders>
              <w:top w:val="single" w:sz="2" w:space="0" w:color="auto"/>
              <w:left w:val="single" w:sz="2" w:space="0" w:color="auto"/>
              <w:bottom w:val="single" w:sz="2" w:space="0" w:color="auto"/>
              <w:right w:val="single" w:sz="2" w:space="0" w:color="auto"/>
            </w:tcBorders>
            <w:vAlign w:val="center"/>
          </w:tcPr>
          <w:p w14:paraId="318B5DF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巴中龙大肉食品贸易有限公司</w:t>
            </w:r>
          </w:p>
        </w:tc>
        <w:tc>
          <w:tcPr>
            <w:tcW w:w="5386" w:type="dxa"/>
            <w:tcBorders>
              <w:top w:val="single" w:sz="2" w:space="0" w:color="auto"/>
              <w:left w:val="single" w:sz="2" w:space="0" w:color="auto"/>
              <w:bottom w:val="single" w:sz="2" w:space="0" w:color="auto"/>
              <w:right w:val="single" w:sz="2" w:space="0" w:color="auto"/>
            </w:tcBorders>
            <w:vAlign w:val="center"/>
          </w:tcPr>
          <w:p w14:paraId="4AA0501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小型微利企业所得税率</w:t>
            </w:r>
          </w:p>
        </w:tc>
      </w:tr>
      <w:tr w:rsidR="006C011D" w:rsidRPr="005A284F" w14:paraId="1AB64914" w14:textId="77777777" w:rsidTr="00D15C4E">
        <w:trPr>
          <w:trHeight w:val="240"/>
        </w:trPr>
        <w:tc>
          <w:tcPr>
            <w:tcW w:w="4253" w:type="dxa"/>
            <w:tcBorders>
              <w:top w:val="single" w:sz="2" w:space="0" w:color="auto"/>
              <w:left w:val="single" w:sz="2" w:space="0" w:color="auto"/>
              <w:bottom w:val="single" w:sz="2" w:space="0" w:color="auto"/>
              <w:right w:val="single" w:sz="2" w:space="0" w:color="auto"/>
            </w:tcBorders>
            <w:vAlign w:val="center"/>
          </w:tcPr>
          <w:p w14:paraId="1075C9A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巴中龙大美食食品有限公司</w:t>
            </w:r>
          </w:p>
        </w:tc>
        <w:tc>
          <w:tcPr>
            <w:tcW w:w="5386" w:type="dxa"/>
            <w:tcBorders>
              <w:top w:val="single" w:sz="2" w:space="0" w:color="auto"/>
              <w:left w:val="single" w:sz="2" w:space="0" w:color="auto"/>
              <w:bottom w:val="single" w:sz="2" w:space="0" w:color="auto"/>
              <w:right w:val="single" w:sz="2" w:space="0" w:color="auto"/>
            </w:tcBorders>
            <w:vAlign w:val="center"/>
          </w:tcPr>
          <w:p w14:paraId="11C7027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25%</w:t>
            </w:r>
          </w:p>
        </w:tc>
      </w:tr>
    </w:tbl>
    <w:p w14:paraId="5E1E406E" w14:textId="77777777" w:rsidR="006C011D" w:rsidRPr="005A284F" w:rsidRDefault="00000000">
      <w:pPr>
        <w:pStyle w:val="3"/>
        <w:spacing w:line="280" w:lineRule="exact"/>
        <w:jc w:val="left"/>
        <w:rPr>
          <w:rFonts w:ascii="Times New Roman" w:hAnsi="Times New Roman" w:cs="Times New Roman"/>
          <w:b/>
          <w:bCs/>
        </w:rPr>
      </w:pPr>
      <w:bookmarkStart w:id="174" w:name="_Toc989063"/>
      <w:r w:rsidRPr="005A284F">
        <w:rPr>
          <w:rFonts w:ascii="Times New Roman" w:hAnsi="Times New Roman" w:cs="Times New Roman"/>
          <w:b/>
          <w:bCs/>
        </w:rPr>
        <w:t>2</w:t>
      </w:r>
      <w:r w:rsidRPr="005A284F">
        <w:rPr>
          <w:rFonts w:ascii="Times New Roman" w:hAnsi="Times New Roman" w:cs="Times New Roman"/>
          <w:b/>
          <w:bCs/>
        </w:rPr>
        <w:t>、税收优惠</w:t>
      </w:r>
      <w:bookmarkEnd w:id="174"/>
    </w:p>
    <w:p w14:paraId="499AB6B1" w14:textId="77777777" w:rsidR="000309B5" w:rsidRPr="005A284F" w:rsidRDefault="00000000" w:rsidP="00D15C4E">
      <w:pPr>
        <w:pStyle w:val="a3"/>
        <w:spacing w:before="0" w:beforeAutospacing="0" w:after="0" w:afterAutospacing="0" w:line="276" w:lineRule="auto"/>
        <w:ind w:firstLineChars="200" w:firstLine="358"/>
        <w:jc w:val="both"/>
        <w:divId w:val="944969486"/>
        <w:rPr>
          <w:rFonts w:ascii="Times New Roman" w:hAnsi="Times New Roman" w:cs="Times New Roman"/>
        </w:rPr>
      </w:pPr>
      <w:r w:rsidRPr="005A284F">
        <w:rPr>
          <w:rFonts w:ascii="Times New Roman" w:hAnsi="Times New Roman" w:cs="Times New Roman"/>
          <w:spacing w:val="-1"/>
          <w:sz w:val="18"/>
          <w:szCs w:val="18"/>
        </w:rPr>
        <w:t>（</w:t>
      </w:r>
      <w:r w:rsidRPr="005A284F">
        <w:rPr>
          <w:rFonts w:ascii="Times New Roman" w:hAnsi="Times New Roman" w:cs="Times New Roman"/>
          <w:spacing w:val="-1"/>
          <w:sz w:val="18"/>
          <w:szCs w:val="18"/>
        </w:rPr>
        <w:t>1</w:t>
      </w:r>
      <w:r w:rsidRPr="005A284F">
        <w:rPr>
          <w:rFonts w:ascii="Times New Roman" w:hAnsi="Times New Roman" w:cs="Times New Roman"/>
          <w:spacing w:val="-1"/>
          <w:sz w:val="18"/>
          <w:szCs w:val="18"/>
        </w:rPr>
        <w:t>）企业所得税优惠</w:t>
      </w:r>
    </w:p>
    <w:p w14:paraId="4F5F925F" w14:textId="77777777" w:rsidR="000309B5" w:rsidRPr="005A284F" w:rsidRDefault="00000000" w:rsidP="00D15C4E">
      <w:pPr>
        <w:pStyle w:val="a3"/>
        <w:spacing w:before="0" w:beforeAutospacing="0" w:after="0" w:afterAutospacing="0" w:line="276" w:lineRule="auto"/>
        <w:ind w:firstLineChars="200" w:firstLine="358"/>
        <w:jc w:val="both"/>
        <w:divId w:val="944969486"/>
        <w:rPr>
          <w:rFonts w:ascii="Times New Roman" w:hAnsi="Times New Roman" w:cs="Times New Roman"/>
        </w:rPr>
      </w:pPr>
      <w:r w:rsidRPr="005A284F">
        <w:rPr>
          <w:rFonts w:ascii="Cambria Math" w:hAnsi="Cambria Math" w:cs="Cambria Math"/>
          <w:spacing w:val="-1"/>
          <w:sz w:val="18"/>
          <w:szCs w:val="18"/>
        </w:rPr>
        <w:t>①</w:t>
      </w:r>
      <w:r w:rsidRPr="005A284F">
        <w:rPr>
          <w:rFonts w:ascii="Times New Roman" w:hAnsi="Times New Roman" w:cs="Times New Roman"/>
          <w:spacing w:val="-1"/>
          <w:sz w:val="18"/>
          <w:szCs w:val="18"/>
        </w:rPr>
        <w:t>初级农产品加工</w:t>
      </w:r>
    </w:p>
    <w:p w14:paraId="207F19D6" w14:textId="77777777" w:rsidR="000309B5" w:rsidRPr="005A284F" w:rsidRDefault="00000000" w:rsidP="00D15C4E">
      <w:pPr>
        <w:pStyle w:val="a3"/>
        <w:spacing w:before="0" w:beforeAutospacing="0" w:after="0" w:afterAutospacing="0" w:line="276" w:lineRule="auto"/>
        <w:ind w:firstLineChars="200" w:firstLine="356"/>
        <w:jc w:val="both"/>
        <w:divId w:val="944969486"/>
        <w:rPr>
          <w:rFonts w:ascii="Times New Roman" w:hAnsi="Times New Roman" w:cs="Times New Roman"/>
        </w:rPr>
      </w:pPr>
      <w:r w:rsidRPr="005A284F">
        <w:rPr>
          <w:rFonts w:ascii="Times New Roman" w:hAnsi="Times New Roman" w:cs="Times New Roman"/>
          <w:spacing w:val="-2"/>
          <w:sz w:val="18"/>
          <w:szCs w:val="18"/>
        </w:rPr>
        <w:t>根据《中华人民共和国企业所得税法》及其实施条例、</w:t>
      </w:r>
      <w:r w:rsidRPr="005A284F">
        <w:rPr>
          <w:rFonts w:ascii="Times New Roman" w:hAnsi="Times New Roman" w:cs="Times New Roman"/>
          <w:spacing w:val="-2"/>
          <w:sz w:val="18"/>
          <w:szCs w:val="18"/>
        </w:rPr>
        <w:t>2008</w:t>
      </w:r>
      <w:r w:rsidRPr="005A284F">
        <w:rPr>
          <w:rFonts w:ascii="Times New Roman" w:hAnsi="Times New Roman" w:cs="Times New Roman"/>
          <w:spacing w:val="-2"/>
          <w:sz w:val="18"/>
          <w:szCs w:val="18"/>
        </w:rPr>
        <w:t>年</w:t>
      </w:r>
      <w:r w:rsidRPr="005A284F">
        <w:rPr>
          <w:rFonts w:ascii="Times New Roman" w:hAnsi="Times New Roman" w:cs="Times New Roman"/>
          <w:spacing w:val="-2"/>
          <w:sz w:val="18"/>
          <w:szCs w:val="18"/>
        </w:rPr>
        <w:t>11</w:t>
      </w:r>
      <w:r w:rsidRPr="005A284F">
        <w:rPr>
          <w:rFonts w:ascii="Times New Roman" w:hAnsi="Times New Roman" w:cs="Times New Roman"/>
          <w:spacing w:val="-2"/>
          <w:sz w:val="18"/>
          <w:szCs w:val="18"/>
        </w:rPr>
        <w:t>月</w:t>
      </w:r>
      <w:r w:rsidRPr="005A284F">
        <w:rPr>
          <w:rFonts w:ascii="Times New Roman" w:hAnsi="Times New Roman" w:cs="Times New Roman"/>
          <w:spacing w:val="-2"/>
          <w:sz w:val="18"/>
          <w:szCs w:val="18"/>
        </w:rPr>
        <w:t>20</w:t>
      </w:r>
      <w:r w:rsidRPr="005A284F">
        <w:rPr>
          <w:rFonts w:ascii="Times New Roman" w:hAnsi="Times New Roman" w:cs="Times New Roman"/>
          <w:spacing w:val="-2"/>
          <w:sz w:val="18"/>
          <w:szCs w:val="18"/>
        </w:rPr>
        <w:t>日《财政部国家税务总局关于发布享受企业所</w:t>
      </w:r>
      <w:r w:rsidRPr="005A284F">
        <w:rPr>
          <w:rFonts w:ascii="Times New Roman" w:hAnsi="Times New Roman" w:cs="Times New Roman"/>
          <w:spacing w:val="2"/>
          <w:sz w:val="18"/>
          <w:szCs w:val="18"/>
        </w:rPr>
        <w:t>得税优惠政策的农产品初加工范围（试行）的通知》（财税</w:t>
      </w:r>
      <w:r w:rsidRPr="005A284F">
        <w:rPr>
          <w:rFonts w:ascii="Times New Roman" w:hAnsi="Times New Roman" w:cs="Times New Roman"/>
          <w:spacing w:val="1"/>
          <w:sz w:val="18"/>
          <w:szCs w:val="18"/>
        </w:rPr>
        <w:t>〔</w:t>
      </w:r>
      <w:r w:rsidRPr="005A284F">
        <w:rPr>
          <w:rFonts w:ascii="Times New Roman" w:hAnsi="Times New Roman" w:cs="Times New Roman"/>
          <w:spacing w:val="1"/>
          <w:sz w:val="18"/>
          <w:szCs w:val="18"/>
        </w:rPr>
        <w:t>2008</w:t>
      </w:r>
      <w:r w:rsidRPr="005A284F">
        <w:rPr>
          <w:rFonts w:ascii="Times New Roman" w:hAnsi="Times New Roman" w:cs="Times New Roman"/>
          <w:spacing w:val="1"/>
          <w:sz w:val="18"/>
          <w:szCs w:val="18"/>
        </w:rPr>
        <w:t>〕</w:t>
      </w:r>
      <w:r w:rsidRPr="005A284F">
        <w:rPr>
          <w:rFonts w:ascii="Times New Roman" w:hAnsi="Times New Roman" w:cs="Times New Roman"/>
          <w:spacing w:val="1"/>
          <w:sz w:val="18"/>
          <w:szCs w:val="18"/>
        </w:rPr>
        <w:t>149</w:t>
      </w:r>
      <w:r w:rsidRPr="005A284F">
        <w:rPr>
          <w:rFonts w:ascii="Times New Roman" w:hAnsi="Times New Roman" w:cs="Times New Roman"/>
          <w:spacing w:val="1"/>
          <w:sz w:val="18"/>
          <w:szCs w:val="18"/>
        </w:rPr>
        <w:t>号</w:t>
      </w:r>
      <w:r w:rsidRPr="005A284F">
        <w:rPr>
          <w:rFonts w:ascii="Times New Roman" w:hAnsi="Times New Roman" w:cs="Times New Roman"/>
          <w:spacing w:val="6"/>
          <w:sz w:val="18"/>
          <w:szCs w:val="18"/>
        </w:rPr>
        <w:t>），</w:t>
      </w:r>
      <w:r w:rsidRPr="005A284F">
        <w:rPr>
          <w:rFonts w:ascii="Times New Roman" w:hAnsi="Times New Roman" w:cs="Times New Roman"/>
          <w:spacing w:val="1"/>
          <w:sz w:val="18"/>
          <w:szCs w:val="18"/>
        </w:rPr>
        <w:t>报告期内本公司及下属子公司从事肉类初</w:t>
      </w:r>
      <w:r w:rsidRPr="005A284F">
        <w:rPr>
          <w:rFonts w:ascii="Times New Roman" w:hAnsi="Times New Roman" w:cs="Times New Roman"/>
          <w:spacing w:val="-1"/>
          <w:sz w:val="18"/>
          <w:szCs w:val="18"/>
        </w:rPr>
        <w:t>加工（冷鲜肉、冷冻肉）所实现的利润，免</w:t>
      </w:r>
      <w:r w:rsidRPr="005A284F">
        <w:rPr>
          <w:rFonts w:ascii="Times New Roman" w:hAnsi="Times New Roman" w:cs="Times New Roman"/>
          <w:spacing w:val="-2"/>
          <w:sz w:val="18"/>
          <w:szCs w:val="18"/>
        </w:rPr>
        <w:t>征企业所得税。</w:t>
      </w:r>
    </w:p>
    <w:p w14:paraId="470ED99E" w14:textId="77777777" w:rsidR="000309B5" w:rsidRPr="005A284F" w:rsidRDefault="00000000" w:rsidP="00D15C4E">
      <w:pPr>
        <w:pStyle w:val="a3"/>
        <w:spacing w:before="0" w:beforeAutospacing="0" w:after="0" w:afterAutospacing="0" w:line="276" w:lineRule="auto"/>
        <w:ind w:firstLineChars="200" w:firstLine="358"/>
        <w:jc w:val="both"/>
        <w:divId w:val="944969486"/>
        <w:rPr>
          <w:rFonts w:ascii="Times New Roman" w:hAnsi="Times New Roman" w:cs="Times New Roman"/>
        </w:rPr>
      </w:pPr>
      <w:r w:rsidRPr="005A284F">
        <w:rPr>
          <w:rFonts w:ascii="Cambria Math" w:hAnsi="Cambria Math" w:cs="Cambria Math"/>
          <w:spacing w:val="-1"/>
          <w:sz w:val="18"/>
          <w:szCs w:val="18"/>
        </w:rPr>
        <w:t>②</w:t>
      </w:r>
      <w:r w:rsidRPr="005A284F">
        <w:rPr>
          <w:rFonts w:ascii="Times New Roman" w:hAnsi="Times New Roman" w:cs="Times New Roman"/>
          <w:spacing w:val="-1"/>
          <w:sz w:val="18"/>
          <w:szCs w:val="18"/>
        </w:rPr>
        <w:t>牲畜、家禽的饲养</w:t>
      </w:r>
    </w:p>
    <w:p w14:paraId="1FBF690D" w14:textId="77777777" w:rsidR="000309B5" w:rsidRPr="005A284F" w:rsidRDefault="00000000" w:rsidP="00D15C4E">
      <w:pPr>
        <w:pStyle w:val="a3"/>
        <w:spacing w:before="0" w:beforeAutospacing="0" w:after="0" w:afterAutospacing="0" w:line="276" w:lineRule="auto"/>
        <w:ind w:firstLineChars="200" w:firstLine="364"/>
        <w:jc w:val="both"/>
        <w:divId w:val="944969486"/>
        <w:rPr>
          <w:rFonts w:ascii="Times New Roman" w:hAnsi="Times New Roman" w:cs="Times New Roman"/>
        </w:rPr>
      </w:pPr>
      <w:r w:rsidRPr="005A284F">
        <w:rPr>
          <w:rFonts w:ascii="Times New Roman" w:hAnsi="Times New Roman" w:cs="Times New Roman"/>
          <w:spacing w:val="2"/>
          <w:sz w:val="18"/>
          <w:szCs w:val="18"/>
        </w:rPr>
        <w:t>根据《中华人民共和国企业所得税法》及其实施条例第八十六条的规定，报告期内本公司下属子</w:t>
      </w:r>
      <w:r w:rsidRPr="005A284F">
        <w:rPr>
          <w:rFonts w:ascii="Times New Roman" w:hAnsi="Times New Roman" w:cs="Times New Roman"/>
          <w:spacing w:val="1"/>
          <w:sz w:val="18"/>
          <w:szCs w:val="18"/>
        </w:rPr>
        <w:t>公司从事生猪饲养项</w:t>
      </w:r>
      <w:r w:rsidRPr="005A284F">
        <w:rPr>
          <w:rFonts w:ascii="Times New Roman" w:hAnsi="Times New Roman" w:cs="Times New Roman"/>
          <w:spacing w:val="-5"/>
          <w:sz w:val="18"/>
          <w:szCs w:val="18"/>
        </w:rPr>
        <w:t>目的所得，免征企业所得税。</w:t>
      </w:r>
    </w:p>
    <w:p w14:paraId="0D2DEBB8" w14:textId="77777777" w:rsidR="000309B5" w:rsidRPr="005A284F" w:rsidRDefault="00000000" w:rsidP="00D15C4E">
      <w:pPr>
        <w:pStyle w:val="a3"/>
        <w:spacing w:before="0" w:beforeAutospacing="0" w:after="0" w:afterAutospacing="0" w:line="276" w:lineRule="auto"/>
        <w:ind w:firstLineChars="200" w:firstLine="358"/>
        <w:jc w:val="both"/>
        <w:divId w:val="944969486"/>
        <w:rPr>
          <w:rFonts w:ascii="Times New Roman" w:hAnsi="Times New Roman" w:cs="Times New Roman"/>
        </w:rPr>
      </w:pPr>
      <w:r w:rsidRPr="005A284F">
        <w:rPr>
          <w:rFonts w:ascii="Cambria Math" w:hAnsi="Cambria Math" w:cs="Cambria Math"/>
          <w:spacing w:val="-1"/>
          <w:sz w:val="18"/>
          <w:szCs w:val="18"/>
        </w:rPr>
        <w:t>③</w:t>
      </w:r>
      <w:r w:rsidRPr="005A284F">
        <w:rPr>
          <w:rFonts w:ascii="Times New Roman" w:hAnsi="Times New Roman" w:cs="Times New Roman"/>
          <w:spacing w:val="-1"/>
          <w:sz w:val="18"/>
          <w:szCs w:val="18"/>
        </w:rPr>
        <w:t>小微企业</w:t>
      </w:r>
    </w:p>
    <w:p w14:paraId="35B8BD13" w14:textId="77777777" w:rsidR="000309B5" w:rsidRPr="005A284F" w:rsidRDefault="00000000" w:rsidP="00D15C4E">
      <w:pPr>
        <w:pStyle w:val="a3"/>
        <w:spacing w:before="0" w:beforeAutospacing="0" w:after="0" w:afterAutospacing="0" w:line="276" w:lineRule="auto"/>
        <w:ind w:firstLineChars="200" w:firstLine="368"/>
        <w:jc w:val="both"/>
        <w:divId w:val="944969486"/>
        <w:rPr>
          <w:rFonts w:ascii="Times New Roman" w:hAnsi="Times New Roman" w:cs="Times New Roman"/>
        </w:rPr>
      </w:pPr>
      <w:r w:rsidRPr="005A284F">
        <w:rPr>
          <w:rFonts w:ascii="Times New Roman" w:hAnsi="Times New Roman" w:cs="Times New Roman"/>
          <w:spacing w:val="4"/>
          <w:sz w:val="18"/>
          <w:szCs w:val="18"/>
        </w:rPr>
        <w:t>根据《财政部税务总局关于进一步支持小微企业和个体工商户发展有关税费政策的公告》</w:t>
      </w:r>
      <w:r w:rsidRPr="005A284F">
        <w:rPr>
          <w:rFonts w:ascii="Times New Roman" w:hAnsi="Times New Roman" w:cs="Times New Roman"/>
          <w:spacing w:val="3"/>
          <w:sz w:val="18"/>
          <w:szCs w:val="18"/>
        </w:rPr>
        <w:t>（财税</w:t>
      </w:r>
      <w:r w:rsidRPr="005A284F">
        <w:rPr>
          <w:rFonts w:ascii="Times New Roman" w:hAnsi="Times New Roman" w:cs="Times New Roman"/>
          <w:spacing w:val="3"/>
          <w:sz w:val="18"/>
          <w:szCs w:val="18"/>
        </w:rPr>
        <w:t>[2023]12</w:t>
      </w:r>
      <w:r w:rsidRPr="005A284F">
        <w:rPr>
          <w:rFonts w:ascii="Times New Roman" w:hAnsi="Times New Roman" w:cs="Times New Roman"/>
          <w:spacing w:val="3"/>
          <w:sz w:val="18"/>
          <w:szCs w:val="18"/>
        </w:rPr>
        <w:t>号</w:t>
      </w:r>
      <w:r w:rsidRPr="005A284F">
        <w:rPr>
          <w:rFonts w:ascii="Times New Roman" w:hAnsi="Times New Roman" w:cs="Times New Roman"/>
          <w:spacing w:val="5"/>
          <w:sz w:val="18"/>
          <w:szCs w:val="18"/>
        </w:rPr>
        <w:t>），</w:t>
      </w:r>
      <w:r w:rsidRPr="005A284F">
        <w:rPr>
          <w:rFonts w:ascii="Times New Roman" w:hAnsi="Times New Roman" w:cs="Times New Roman"/>
          <w:spacing w:val="3"/>
          <w:sz w:val="18"/>
          <w:szCs w:val="18"/>
        </w:rPr>
        <w:t>自</w:t>
      </w:r>
      <w:r w:rsidRPr="005A284F">
        <w:rPr>
          <w:rFonts w:ascii="Times New Roman" w:hAnsi="Times New Roman" w:cs="Times New Roman"/>
          <w:spacing w:val="-3"/>
          <w:sz w:val="18"/>
          <w:szCs w:val="18"/>
        </w:rPr>
        <w:t>2023</w:t>
      </w:r>
      <w:r w:rsidRPr="005A284F">
        <w:rPr>
          <w:rFonts w:ascii="Times New Roman" w:hAnsi="Times New Roman" w:cs="Times New Roman"/>
          <w:spacing w:val="-3"/>
          <w:sz w:val="18"/>
          <w:szCs w:val="18"/>
        </w:rPr>
        <w:t>年</w:t>
      </w:r>
      <w:r w:rsidRPr="005A284F">
        <w:rPr>
          <w:rFonts w:ascii="Times New Roman" w:hAnsi="Times New Roman" w:cs="Times New Roman"/>
          <w:spacing w:val="-3"/>
          <w:sz w:val="18"/>
          <w:szCs w:val="18"/>
        </w:rPr>
        <w:t>1</w:t>
      </w:r>
      <w:r w:rsidRPr="005A284F">
        <w:rPr>
          <w:rFonts w:ascii="Times New Roman" w:hAnsi="Times New Roman" w:cs="Times New Roman"/>
          <w:spacing w:val="-3"/>
          <w:sz w:val="18"/>
          <w:szCs w:val="18"/>
        </w:rPr>
        <w:t>月</w:t>
      </w:r>
      <w:r w:rsidRPr="005A284F">
        <w:rPr>
          <w:rFonts w:ascii="Times New Roman" w:hAnsi="Times New Roman" w:cs="Times New Roman"/>
          <w:spacing w:val="-3"/>
          <w:sz w:val="18"/>
          <w:szCs w:val="18"/>
        </w:rPr>
        <w:t>1</w:t>
      </w:r>
      <w:r w:rsidRPr="005A284F">
        <w:rPr>
          <w:rFonts w:ascii="Times New Roman" w:hAnsi="Times New Roman" w:cs="Times New Roman"/>
          <w:spacing w:val="-3"/>
          <w:sz w:val="18"/>
          <w:szCs w:val="18"/>
        </w:rPr>
        <w:t>日至</w:t>
      </w:r>
      <w:r w:rsidRPr="005A284F">
        <w:rPr>
          <w:rFonts w:ascii="Times New Roman" w:hAnsi="Times New Roman" w:cs="Times New Roman"/>
          <w:spacing w:val="-3"/>
          <w:sz w:val="18"/>
          <w:szCs w:val="18"/>
        </w:rPr>
        <w:t>2027</w:t>
      </w:r>
      <w:r w:rsidRPr="005A284F">
        <w:rPr>
          <w:rFonts w:ascii="Times New Roman" w:hAnsi="Times New Roman" w:cs="Times New Roman"/>
          <w:spacing w:val="-3"/>
          <w:sz w:val="18"/>
          <w:szCs w:val="18"/>
        </w:rPr>
        <w:t>年</w:t>
      </w:r>
      <w:r w:rsidRPr="005A284F">
        <w:rPr>
          <w:rFonts w:ascii="Times New Roman" w:hAnsi="Times New Roman" w:cs="Times New Roman"/>
          <w:spacing w:val="-3"/>
          <w:sz w:val="18"/>
          <w:szCs w:val="18"/>
        </w:rPr>
        <w:t>12</w:t>
      </w:r>
      <w:r w:rsidRPr="005A284F">
        <w:rPr>
          <w:rFonts w:ascii="Times New Roman" w:hAnsi="Times New Roman" w:cs="Times New Roman"/>
          <w:spacing w:val="-3"/>
          <w:sz w:val="18"/>
          <w:szCs w:val="18"/>
        </w:rPr>
        <w:t>月</w:t>
      </w:r>
      <w:r w:rsidRPr="005A284F">
        <w:rPr>
          <w:rFonts w:ascii="Times New Roman" w:hAnsi="Times New Roman" w:cs="Times New Roman"/>
          <w:spacing w:val="-3"/>
          <w:sz w:val="18"/>
          <w:szCs w:val="18"/>
        </w:rPr>
        <w:t>31</w:t>
      </w:r>
      <w:r w:rsidRPr="005A284F">
        <w:rPr>
          <w:rFonts w:ascii="Times New Roman" w:hAnsi="Times New Roman" w:cs="Times New Roman"/>
          <w:spacing w:val="-3"/>
          <w:sz w:val="18"/>
          <w:szCs w:val="18"/>
        </w:rPr>
        <w:t>日，对小型微利企业减按</w:t>
      </w:r>
      <w:r w:rsidRPr="005A284F">
        <w:rPr>
          <w:rFonts w:ascii="Times New Roman" w:hAnsi="Times New Roman" w:cs="Times New Roman"/>
          <w:spacing w:val="-3"/>
          <w:sz w:val="18"/>
          <w:szCs w:val="18"/>
        </w:rPr>
        <w:t>2</w:t>
      </w:r>
      <w:r w:rsidRPr="005A284F">
        <w:rPr>
          <w:rFonts w:ascii="Times New Roman" w:hAnsi="Times New Roman" w:cs="Times New Roman"/>
          <w:spacing w:val="-4"/>
          <w:sz w:val="18"/>
          <w:szCs w:val="18"/>
        </w:rPr>
        <w:t>5%</w:t>
      </w:r>
      <w:r w:rsidRPr="005A284F">
        <w:rPr>
          <w:rFonts w:ascii="Times New Roman" w:hAnsi="Times New Roman" w:cs="Times New Roman"/>
          <w:spacing w:val="-4"/>
          <w:sz w:val="18"/>
          <w:szCs w:val="18"/>
        </w:rPr>
        <w:t>计算应纳税所得额，按</w:t>
      </w:r>
      <w:r w:rsidRPr="005A284F">
        <w:rPr>
          <w:rFonts w:ascii="Times New Roman" w:hAnsi="Times New Roman" w:cs="Times New Roman"/>
          <w:spacing w:val="-4"/>
          <w:sz w:val="18"/>
          <w:szCs w:val="18"/>
        </w:rPr>
        <w:t>20%</w:t>
      </w:r>
      <w:r w:rsidRPr="005A284F">
        <w:rPr>
          <w:rFonts w:ascii="Times New Roman" w:hAnsi="Times New Roman" w:cs="Times New Roman"/>
          <w:spacing w:val="-4"/>
          <w:sz w:val="18"/>
          <w:szCs w:val="18"/>
        </w:rPr>
        <w:t>的税率缴纳企业所得税政策。</w:t>
      </w:r>
    </w:p>
    <w:p w14:paraId="0B3A4378" w14:textId="77777777" w:rsidR="000309B5" w:rsidRPr="005A284F" w:rsidRDefault="00000000" w:rsidP="00D15C4E">
      <w:pPr>
        <w:pStyle w:val="a3"/>
        <w:spacing w:before="0" w:beforeAutospacing="0" w:after="0" w:afterAutospacing="0" w:line="276" w:lineRule="auto"/>
        <w:ind w:firstLineChars="200" w:firstLine="358"/>
        <w:jc w:val="both"/>
        <w:divId w:val="944969486"/>
        <w:rPr>
          <w:rFonts w:ascii="Times New Roman" w:hAnsi="Times New Roman" w:cs="Times New Roman"/>
        </w:rPr>
      </w:pPr>
      <w:r w:rsidRPr="005A284F">
        <w:rPr>
          <w:rFonts w:ascii="Cambria Math" w:hAnsi="Cambria Math" w:cs="Cambria Math"/>
          <w:spacing w:val="-1"/>
          <w:sz w:val="18"/>
          <w:szCs w:val="18"/>
        </w:rPr>
        <w:t>④</w:t>
      </w:r>
      <w:r w:rsidRPr="005A284F">
        <w:rPr>
          <w:rFonts w:ascii="Times New Roman" w:hAnsi="Times New Roman" w:cs="Times New Roman"/>
          <w:spacing w:val="-1"/>
          <w:sz w:val="18"/>
          <w:szCs w:val="18"/>
        </w:rPr>
        <w:t>高新技术企业</w:t>
      </w:r>
    </w:p>
    <w:p w14:paraId="553B0399" w14:textId="77777777" w:rsidR="000309B5" w:rsidRPr="005A284F" w:rsidRDefault="00000000" w:rsidP="00D15C4E">
      <w:pPr>
        <w:pStyle w:val="a3"/>
        <w:spacing w:before="0" w:beforeAutospacing="0" w:after="0" w:afterAutospacing="0" w:line="276" w:lineRule="auto"/>
        <w:ind w:firstLineChars="200" w:firstLine="358"/>
        <w:jc w:val="both"/>
        <w:divId w:val="944969486"/>
        <w:rPr>
          <w:rFonts w:ascii="Times New Roman" w:hAnsi="Times New Roman" w:cs="Times New Roman"/>
        </w:rPr>
      </w:pPr>
      <w:r w:rsidRPr="005A284F">
        <w:rPr>
          <w:rFonts w:ascii="Times New Roman" w:hAnsi="Times New Roman" w:cs="Times New Roman"/>
          <w:spacing w:val="-1"/>
          <w:sz w:val="18"/>
          <w:szCs w:val="18"/>
        </w:rPr>
        <w:t>2022</w:t>
      </w:r>
      <w:r w:rsidRPr="005A284F">
        <w:rPr>
          <w:rFonts w:ascii="Times New Roman" w:hAnsi="Times New Roman" w:cs="Times New Roman"/>
          <w:spacing w:val="-1"/>
          <w:sz w:val="18"/>
          <w:szCs w:val="18"/>
        </w:rPr>
        <w:t>年</w:t>
      </w:r>
      <w:r w:rsidRPr="005A284F">
        <w:rPr>
          <w:rFonts w:ascii="Times New Roman" w:hAnsi="Times New Roman" w:cs="Times New Roman"/>
          <w:spacing w:val="-1"/>
          <w:sz w:val="18"/>
          <w:szCs w:val="18"/>
        </w:rPr>
        <w:t>12</w:t>
      </w:r>
      <w:r w:rsidRPr="005A284F">
        <w:rPr>
          <w:rFonts w:ascii="Times New Roman" w:hAnsi="Times New Roman" w:cs="Times New Roman"/>
          <w:spacing w:val="-1"/>
          <w:sz w:val="18"/>
          <w:szCs w:val="18"/>
        </w:rPr>
        <w:t>月</w:t>
      </w:r>
      <w:r w:rsidRPr="005A284F">
        <w:rPr>
          <w:rFonts w:ascii="Times New Roman" w:hAnsi="Times New Roman" w:cs="Times New Roman"/>
          <w:spacing w:val="-1"/>
          <w:sz w:val="18"/>
          <w:szCs w:val="18"/>
        </w:rPr>
        <w:t>12</w:t>
      </w:r>
      <w:r w:rsidRPr="005A284F">
        <w:rPr>
          <w:rFonts w:ascii="Times New Roman" w:hAnsi="Times New Roman" w:cs="Times New Roman"/>
          <w:spacing w:val="-1"/>
          <w:sz w:val="18"/>
          <w:szCs w:val="18"/>
        </w:rPr>
        <w:t>日本公司之子公司烟台杰科检测服务有限公司取得由山东省科学技术厅、山东省财政厅、国家税务总局山东省税务局批准的</w:t>
      </w:r>
      <w:r w:rsidRPr="005A284F">
        <w:rPr>
          <w:rFonts w:ascii="Times New Roman" w:hAnsi="Times New Roman" w:cs="Times New Roman"/>
          <w:spacing w:val="-1"/>
          <w:sz w:val="18"/>
          <w:szCs w:val="18"/>
        </w:rPr>
        <w:t>“GR202237001965”</w:t>
      </w:r>
      <w:r w:rsidRPr="005A284F">
        <w:rPr>
          <w:rFonts w:ascii="Times New Roman" w:hAnsi="Times New Roman" w:cs="Times New Roman"/>
          <w:spacing w:val="-1"/>
          <w:sz w:val="18"/>
          <w:szCs w:val="18"/>
        </w:rPr>
        <w:t>号《高新技术企业证书》，有效期为三年，</w:t>
      </w:r>
      <w:r w:rsidRPr="005A284F">
        <w:rPr>
          <w:rFonts w:ascii="Times New Roman" w:hAnsi="Times New Roman" w:cs="Times New Roman"/>
          <w:spacing w:val="-1"/>
          <w:sz w:val="18"/>
          <w:szCs w:val="18"/>
        </w:rPr>
        <w:t>2022</w:t>
      </w:r>
      <w:r w:rsidRPr="005A284F">
        <w:rPr>
          <w:rFonts w:ascii="Times New Roman" w:hAnsi="Times New Roman" w:cs="Times New Roman"/>
          <w:spacing w:val="-1"/>
          <w:sz w:val="18"/>
          <w:szCs w:val="18"/>
        </w:rPr>
        <w:t>年</w:t>
      </w:r>
      <w:r w:rsidRPr="005A284F">
        <w:rPr>
          <w:rFonts w:ascii="Times New Roman" w:hAnsi="Times New Roman" w:cs="Times New Roman"/>
          <w:spacing w:val="-1"/>
          <w:sz w:val="18"/>
          <w:szCs w:val="18"/>
        </w:rPr>
        <w:t>12</w:t>
      </w:r>
      <w:r w:rsidRPr="005A284F">
        <w:rPr>
          <w:rFonts w:ascii="Times New Roman" w:hAnsi="Times New Roman" w:cs="Times New Roman"/>
          <w:spacing w:val="-1"/>
          <w:sz w:val="18"/>
          <w:szCs w:val="18"/>
        </w:rPr>
        <w:t>月</w:t>
      </w:r>
      <w:r w:rsidRPr="005A284F">
        <w:rPr>
          <w:rFonts w:ascii="Times New Roman" w:hAnsi="Times New Roman" w:cs="Times New Roman"/>
          <w:spacing w:val="-1"/>
          <w:sz w:val="18"/>
          <w:szCs w:val="18"/>
        </w:rPr>
        <w:t>12</w:t>
      </w:r>
      <w:r w:rsidRPr="005A284F">
        <w:rPr>
          <w:rFonts w:ascii="Times New Roman" w:hAnsi="Times New Roman" w:cs="Times New Roman"/>
          <w:spacing w:val="-1"/>
          <w:sz w:val="18"/>
          <w:szCs w:val="18"/>
        </w:rPr>
        <w:t>日至</w:t>
      </w:r>
      <w:r w:rsidRPr="005A284F">
        <w:rPr>
          <w:rFonts w:ascii="Times New Roman" w:hAnsi="Times New Roman" w:cs="Times New Roman"/>
          <w:spacing w:val="-1"/>
          <w:sz w:val="18"/>
          <w:szCs w:val="18"/>
        </w:rPr>
        <w:t>2025</w:t>
      </w:r>
      <w:r w:rsidRPr="005A284F">
        <w:rPr>
          <w:rFonts w:ascii="Times New Roman" w:hAnsi="Times New Roman" w:cs="Times New Roman"/>
          <w:spacing w:val="-1"/>
          <w:sz w:val="18"/>
          <w:szCs w:val="18"/>
        </w:rPr>
        <w:t>年</w:t>
      </w:r>
      <w:r w:rsidRPr="005A284F">
        <w:rPr>
          <w:rFonts w:ascii="Times New Roman" w:hAnsi="Times New Roman" w:cs="Times New Roman"/>
          <w:spacing w:val="-1"/>
          <w:sz w:val="18"/>
          <w:szCs w:val="18"/>
        </w:rPr>
        <w:t>12</w:t>
      </w:r>
      <w:r w:rsidRPr="005A284F">
        <w:rPr>
          <w:rFonts w:ascii="Times New Roman" w:hAnsi="Times New Roman" w:cs="Times New Roman"/>
          <w:spacing w:val="-1"/>
          <w:sz w:val="18"/>
          <w:szCs w:val="18"/>
        </w:rPr>
        <w:t>月</w:t>
      </w:r>
      <w:r w:rsidRPr="005A284F">
        <w:rPr>
          <w:rFonts w:ascii="Times New Roman" w:hAnsi="Times New Roman" w:cs="Times New Roman"/>
          <w:spacing w:val="-1"/>
          <w:sz w:val="18"/>
          <w:szCs w:val="18"/>
        </w:rPr>
        <w:t>11</w:t>
      </w:r>
      <w:r w:rsidRPr="005A284F">
        <w:rPr>
          <w:rFonts w:ascii="Times New Roman" w:hAnsi="Times New Roman" w:cs="Times New Roman"/>
          <w:spacing w:val="-1"/>
          <w:sz w:val="18"/>
          <w:szCs w:val="18"/>
        </w:rPr>
        <w:t>日烟台杰科检测服务有限公司适用的所得税率为</w:t>
      </w:r>
      <w:r w:rsidRPr="005A284F">
        <w:rPr>
          <w:rFonts w:ascii="Times New Roman" w:hAnsi="Times New Roman" w:cs="Times New Roman"/>
          <w:spacing w:val="-1"/>
          <w:sz w:val="18"/>
          <w:szCs w:val="18"/>
        </w:rPr>
        <w:t>15%</w:t>
      </w:r>
      <w:r w:rsidRPr="005A284F">
        <w:rPr>
          <w:rFonts w:ascii="Times New Roman" w:hAnsi="Times New Roman" w:cs="Times New Roman"/>
          <w:spacing w:val="-1"/>
          <w:sz w:val="18"/>
          <w:szCs w:val="18"/>
        </w:rPr>
        <w:t>。</w:t>
      </w:r>
    </w:p>
    <w:p w14:paraId="5405D67A" w14:textId="77777777" w:rsidR="000309B5" w:rsidRPr="005A284F" w:rsidRDefault="00000000" w:rsidP="00D15C4E">
      <w:pPr>
        <w:pStyle w:val="a3"/>
        <w:spacing w:before="0" w:beforeAutospacing="0" w:after="0" w:afterAutospacing="0" w:line="276" w:lineRule="auto"/>
        <w:ind w:firstLineChars="200" w:firstLine="358"/>
        <w:jc w:val="both"/>
        <w:divId w:val="944969486"/>
        <w:rPr>
          <w:rFonts w:ascii="Times New Roman" w:hAnsi="Times New Roman" w:cs="Times New Roman"/>
        </w:rPr>
      </w:pPr>
      <w:r w:rsidRPr="005A284F">
        <w:rPr>
          <w:rFonts w:ascii="Times New Roman" w:hAnsi="Times New Roman" w:cs="Times New Roman"/>
          <w:spacing w:val="-1"/>
          <w:sz w:val="18"/>
          <w:szCs w:val="18"/>
        </w:rPr>
        <w:t>2024</w:t>
      </w:r>
      <w:r w:rsidRPr="005A284F">
        <w:rPr>
          <w:rFonts w:ascii="Times New Roman" w:hAnsi="Times New Roman" w:cs="Times New Roman"/>
          <w:spacing w:val="-1"/>
          <w:sz w:val="18"/>
          <w:szCs w:val="18"/>
        </w:rPr>
        <w:t>年</w:t>
      </w:r>
      <w:r w:rsidRPr="005A284F">
        <w:rPr>
          <w:rFonts w:ascii="Times New Roman" w:hAnsi="Times New Roman" w:cs="Times New Roman"/>
          <w:spacing w:val="-1"/>
          <w:sz w:val="18"/>
          <w:szCs w:val="18"/>
        </w:rPr>
        <w:t>12</w:t>
      </w:r>
      <w:r w:rsidRPr="005A284F">
        <w:rPr>
          <w:rFonts w:ascii="Times New Roman" w:hAnsi="Times New Roman" w:cs="Times New Roman"/>
          <w:spacing w:val="-1"/>
          <w:sz w:val="18"/>
          <w:szCs w:val="18"/>
        </w:rPr>
        <w:t>月</w:t>
      </w:r>
      <w:r w:rsidRPr="005A284F">
        <w:rPr>
          <w:rFonts w:ascii="Times New Roman" w:hAnsi="Times New Roman" w:cs="Times New Roman"/>
          <w:spacing w:val="-1"/>
          <w:sz w:val="18"/>
          <w:szCs w:val="18"/>
        </w:rPr>
        <w:t>7</w:t>
      </w:r>
      <w:r w:rsidRPr="005A284F">
        <w:rPr>
          <w:rFonts w:ascii="Times New Roman" w:hAnsi="Times New Roman" w:cs="Times New Roman"/>
          <w:spacing w:val="-1"/>
          <w:sz w:val="18"/>
          <w:szCs w:val="18"/>
        </w:rPr>
        <w:t>日本公司之子公司山东龙大生猪产品工程技术研究有限公司取得由山东省科学技术厅、山东省财政厅、国家税务总局山东省税务局批准的</w:t>
      </w:r>
      <w:r w:rsidRPr="005A284F">
        <w:rPr>
          <w:rFonts w:ascii="Times New Roman" w:hAnsi="Times New Roman" w:cs="Times New Roman"/>
          <w:spacing w:val="-1"/>
          <w:sz w:val="18"/>
          <w:szCs w:val="18"/>
        </w:rPr>
        <w:t>“GR202437005684”</w:t>
      </w:r>
      <w:r w:rsidRPr="005A284F">
        <w:rPr>
          <w:rFonts w:ascii="Times New Roman" w:hAnsi="Times New Roman" w:cs="Times New Roman"/>
          <w:spacing w:val="-1"/>
          <w:sz w:val="18"/>
          <w:szCs w:val="18"/>
        </w:rPr>
        <w:t>号《高新技术企业证书》，有效期为三年，</w:t>
      </w:r>
      <w:r w:rsidRPr="005A284F">
        <w:rPr>
          <w:rFonts w:ascii="Times New Roman" w:hAnsi="Times New Roman" w:cs="Times New Roman"/>
          <w:spacing w:val="-1"/>
          <w:sz w:val="18"/>
          <w:szCs w:val="18"/>
        </w:rPr>
        <w:t>2024</w:t>
      </w:r>
      <w:r w:rsidRPr="005A284F">
        <w:rPr>
          <w:rFonts w:ascii="Times New Roman" w:hAnsi="Times New Roman" w:cs="Times New Roman"/>
          <w:spacing w:val="-1"/>
          <w:sz w:val="18"/>
          <w:szCs w:val="18"/>
        </w:rPr>
        <w:t>年</w:t>
      </w:r>
      <w:r w:rsidRPr="005A284F">
        <w:rPr>
          <w:rFonts w:ascii="Times New Roman" w:hAnsi="Times New Roman" w:cs="Times New Roman"/>
          <w:spacing w:val="-1"/>
          <w:sz w:val="18"/>
          <w:szCs w:val="18"/>
        </w:rPr>
        <w:t>12</w:t>
      </w:r>
      <w:r w:rsidRPr="005A284F">
        <w:rPr>
          <w:rFonts w:ascii="Times New Roman" w:hAnsi="Times New Roman" w:cs="Times New Roman"/>
          <w:spacing w:val="-1"/>
          <w:sz w:val="18"/>
          <w:szCs w:val="18"/>
        </w:rPr>
        <w:t>月</w:t>
      </w:r>
      <w:r w:rsidRPr="005A284F">
        <w:rPr>
          <w:rFonts w:ascii="Times New Roman" w:hAnsi="Times New Roman" w:cs="Times New Roman"/>
          <w:spacing w:val="-1"/>
          <w:sz w:val="18"/>
          <w:szCs w:val="18"/>
        </w:rPr>
        <w:t>7</w:t>
      </w:r>
      <w:r w:rsidRPr="005A284F">
        <w:rPr>
          <w:rFonts w:ascii="Times New Roman" w:hAnsi="Times New Roman" w:cs="Times New Roman"/>
          <w:spacing w:val="-1"/>
          <w:sz w:val="18"/>
          <w:szCs w:val="18"/>
        </w:rPr>
        <w:t>日至</w:t>
      </w:r>
      <w:r w:rsidRPr="005A284F">
        <w:rPr>
          <w:rFonts w:ascii="Times New Roman" w:hAnsi="Times New Roman" w:cs="Times New Roman"/>
          <w:spacing w:val="-1"/>
          <w:sz w:val="18"/>
          <w:szCs w:val="18"/>
        </w:rPr>
        <w:t>2027</w:t>
      </w:r>
      <w:r w:rsidRPr="005A284F">
        <w:rPr>
          <w:rFonts w:ascii="Times New Roman" w:hAnsi="Times New Roman" w:cs="Times New Roman"/>
          <w:spacing w:val="-1"/>
          <w:sz w:val="18"/>
          <w:szCs w:val="18"/>
        </w:rPr>
        <w:t>年</w:t>
      </w:r>
      <w:r w:rsidRPr="005A284F">
        <w:rPr>
          <w:rFonts w:ascii="Times New Roman" w:hAnsi="Times New Roman" w:cs="Times New Roman"/>
          <w:spacing w:val="-1"/>
          <w:sz w:val="18"/>
          <w:szCs w:val="18"/>
        </w:rPr>
        <w:t>12</w:t>
      </w:r>
      <w:r w:rsidRPr="005A284F">
        <w:rPr>
          <w:rFonts w:ascii="Times New Roman" w:hAnsi="Times New Roman" w:cs="Times New Roman"/>
          <w:spacing w:val="-1"/>
          <w:sz w:val="18"/>
          <w:szCs w:val="18"/>
        </w:rPr>
        <w:t>月</w:t>
      </w:r>
      <w:r w:rsidRPr="005A284F">
        <w:rPr>
          <w:rFonts w:ascii="Times New Roman" w:hAnsi="Times New Roman" w:cs="Times New Roman"/>
          <w:spacing w:val="-1"/>
          <w:sz w:val="18"/>
          <w:szCs w:val="18"/>
        </w:rPr>
        <w:t>6</w:t>
      </w:r>
      <w:r w:rsidRPr="005A284F">
        <w:rPr>
          <w:rFonts w:ascii="Times New Roman" w:hAnsi="Times New Roman" w:cs="Times New Roman"/>
          <w:spacing w:val="-1"/>
          <w:sz w:val="18"/>
          <w:szCs w:val="18"/>
        </w:rPr>
        <w:t>日山东龙大生猪产品工程技术研究有限公司适用的所得税率为</w:t>
      </w:r>
      <w:r w:rsidRPr="005A284F">
        <w:rPr>
          <w:rFonts w:ascii="Times New Roman" w:hAnsi="Times New Roman" w:cs="Times New Roman"/>
          <w:spacing w:val="-1"/>
          <w:sz w:val="18"/>
          <w:szCs w:val="18"/>
        </w:rPr>
        <w:t>15%</w:t>
      </w:r>
      <w:r w:rsidRPr="005A284F">
        <w:rPr>
          <w:rFonts w:ascii="Times New Roman" w:hAnsi="Times New Roman" w:cs="Times New Roman"/>
          <w:spacing w:val="-1"/>
          <w:sz w:val="18"/>
          <w:szCs w:val="18"/>
        </w:rPr>
        <w:t>。</w:t>
      </w:r>
    </w:p>
    <w:p w14:paraId="7F01F49C" w14:textId="77777777" w:rsidR="000309B5" w:rsidRPr="005A284F" w:rsidRDefault="00000000" w:rsidP="00D15C4E">
      <w:pPr>
        <w:pStyle w:val="a3"/>
        <w:spacing w:before="0" w:beforeAutospacing="0" w:after="0" w:afterAutospacing="0" w:line="276" w:lineRule="auto"/>
        <w:ind w:firstLineChars="200" w:firstLine="358"/>
        <w:jc w:val="both"/>
        <w:divId w:val="944969486"/>
        <w:rPr>
          <w:rFonts w:ascii="Times New Roman" w:hAnsi="Times New Roman" w:cs="Times New Roman"/>
        </w:rPr>
      </w:pPr>
      <w:r w:rsidRPr="00A63401">
        <w:rPr>
          <w:rFonts w:ascii="Cambria Math" w:hAnsi="Cambria Math" w:cs="Cambria Math"/>
          <w:spacing w:val="-1"/>
          <w:sz w:val="18"/>
          <w:szCs w:val="18"/>
        </w:rPr>
        <w:t>⑤</w:t>
      </w:r>
      <w:r w:rsidRPr="005A284F">
        <w:rPr>
          <w:rFonts w:ascii="Times New Roman" w:hAnsi="Times New Roman" w:cs="Times New Roman"/>
          <w:spacing w:val="-1"/>
          <w:sz w:val="18"/>
          <w:szCs w:val="18"/>
        </w:rPr>
        <w:t>海南自由贸易港</w:t>
      </w:r>
      <w:r w:rsidRPr="005A284F">
        <w:rPr>
          <w:rFonts w:ascii="Times New Roman" w:hAnsi="Times New Roman" w:cs="Times New Roman"/>
          <w:spacing w:val="-1"/>
          <w:sz w:val="18"/>
          <w:szCs w:val="18"/>
        </w:rPr>
        <w:t>(“</w:t>
      </w:r>
      <w:r w:rsidRPr="005A284F">
        <w:rPr>
          <w:rFonts w:ascii="Times New Roman" w:hAnsi="Times New Roman" w:cs="Times New Roman"/>
          <w:spacing w:val="-1"/>
          <w:sz w:val="18"/>
          <w:szCs w:val="18"/>
        </w:rPr>
        <w:t>海南自贸港</w:t>
      </w:r>
      <w:r w:rsidRPr="005A284F">
        <w:rPr>
          <w:rFonts w:ascii="Times New Roman" w:hAnsi="Times New Roman" w:cs="Times New Roman"/>
          <w:spacing w:val="-1"/>
          <w:sz w:val="18"/>
          <w:szCs w:val="18"/>
        </w:rPr>
        <w:t>”)</w:t>
      </w:r>
      <w:r w:rsidRPr="005A284F">
        <w:rPr>
          <w:rFonts w:ascii="Times New Roman" w:hAnsi="Times New Roman" w:cs="Times New Roman"/>
          <w:spacing w:val="-1"/>
          <w:sz w:val="18"/>
          <w:szCs w:val="18"/>
        </w:rPr>
        <w:t>企业所得税优惠政策</w:t>
      </w:r>
    </w:p>
    <w:p w14:paraId="09121344" w14:textId="77777777" w:rsidR="000309B5" w:rsidRPr="005A284F" w:rsidRDefault="00000000" w:rsidP="00D15C4E">
      <w:pPr>
        <w:pStyle w:val="a3"/>
        <w:spacing w:before="0" w:beforeAutospacing="0" w:after="0" w:afterAutospacing="0" w:line="276" w:lineRule="auto"/>
        <w:ind w:firstLineChars="200" w:firstLine="358"/>
        <w:jc w:val="both"/>
        <w:divId w:val="944969486"/>
        <w:rPr>
          <w:rFonts w:ascii="Times New Roman" w:hAnsi="Times New Roman" w:cs="Times New Roman"/>
        </w:rPr>
      </w:pPr>
      <w:r w:rsidRPr="005A284F">
        <w:rPr>
          <w:rFonts w:ascii="Times New Roman" w:hAnsi="Times New Roman" w:cs="Times New Roman"/>
          <w:spacing w:val="-1"/>
          <w:sz w:val="18"/>
          <w:szCs w:val="18"/>
        </w:rPr>
        <w:t>根据《财政部税务总局关于海南自由贸易港企业所得税优惠政策的通知》</w:t>
      </w:r>
      <w:r w:rsidRPr="005A284F">
        <w:rPr>
          <w:rFonts w:ascii="Times New Roman" w:hAnsi="Times New Roman" w:cs="Times New Roman"/>
          <w:spacing w:val="-1"/>
          <w:sz w:val="18"/>
          <w:szCs w:val="18"/>
        </w:rPr>
        <w:t>(</w:t>
      </w:r>
      <w:r w:rsidRPr="005A284F">
        <w:rPr>
          <w:rFonts w:ascii="Times New Roman" w:hAnsi="Times New Roman" w:cs="Times New Roman"/>
          <w:spacing w:val="-1"/>
          <w:sz w:val="18"/>
          <w:szCs w:val="18"/>
        </w:rPr>
        <w:t>财税〔</w:t>
      </w:r>
      <w:r w:rsidRPr="005A284F">
        <w:rPr>
          <w:rFonts w:ascii="Times New Roman" w:hAnsi="Times New Roman" w:cs="Times New Roman"/>
          <w:spacing w:val="-1"/>
          <w:sz w:val="18"/>
          <w:szCs w:val="18"/>
        </w:rPr>
        <w:t>2020</w:t>
      </w:r>
      <w:r w:rsidRPr="005A284F">
        <w:rPr>
          <w:rFonts w:ascii="Times New Roman" w:hAnsi="Times New Roman" w:cs="Times New Roman"/>
          <w:spacing w:val="-1"/>
          <w:sz w:val="18"/>
          <w:szCs w:val="18"/>
        </w:rPr>
        <w:t>〕</w:t>
      </w:r>
      <w:r w:rsidRPr="005A284F">
        <w:rPr>
          <w:rFonts w:ascii="Times New Roman" w:hAnsi="Times New Roman" w:cs="Times New Roman"/>
          <w:spacing w:val="-1"/>
          <w:sz w:val="18"/>
          <w:szCs w:val="18"/>
        </w:rPr>
        <w:t>31</w:t>
      </w:r>
      <w:r w:rsidRPr="005A284F">
        <w:rPr>
          <w:rFonts w:ascii="Times New Roman" w:hAnsi="Times New Roman" w:cs="Times New Roman"/>
          <w:spacing w:val="-1"/>
          <w:sz w:val="18"/>
          <w:szCs w:val="18"/>
        </w:rPr>
        <w:t>号</w:t>
      </w:r>
      <w:r w:rsidRPr="005A284F">
        <w:rPr>
          <w:rFonts w:ascii="Times New Roman" w:hAnsi="Times New Roman" w:cs="Times New Roman"/>
          <w:spacing w:val="-1"/>
          <w:sz w:val="18"/>
          <w:szCs w:val="18"/>
        </w:rPr>
        <w:t>)</w:t>
      </w:r>
      <w:r w:rsidRPr="005A284F">
        <w:rPr>
          <w:rFonts w:ascii="Times New Roman" w:hAnsi="Times New Roman" w:cs="Times New Roman"/>
          <w:spacing w:val="-1"/>
          <w:sz w:val="18"/>
          <w:szCs w:val="18"/>
        </w:rPr>
        <w:t>，自</w:t>
      </w:r>
      <w:r w:rsidRPr="005A284F">
        <w:rPr>
          <w:rFonts w:ascii="Times New Roman" w:hAnsi="Times New Roman" w:cs="Times New Roman"/>
          <w:spacing w:val="-1"/>
          <w:sz w:val="18"/>
          <w:szCs w:val="18"/>
        </w:rPr>
        <w:t>2020</w:t>
      </w:r>
      <w:r w:rsidRPr="005A284F">
        <w:rPr>
          <w:rFonts w:ascii="Times New Roman" w:hAnsi="Times New Roman" w:cs="Times New Roman"/>
          <w:spacing w:val="-1"/>
          <w:sz w:val="18"/>
          <w:szCs w:val="18"/>
        </w:rPr>
        <w:t>年</w:t>
      </w:r>
      <w:r w:rsidRPr="005A284F">
        <w:rPr>
          <w:rFonts w:ascii="Times New Roman" w:hAnsi="Times New Roman" w:cs="Times New Roman"/>
          <w:spacing w:val="-1"/>
          <w:sz w:val="18"/>
          <w:szCs w:val="18"/>
        </w:rPr>
        <w:t>1</w:t>
      </w:r>
      <w:r w:rsidRPr="005A284F">
        <w:rPr>
          <w:rFonts w:ascii="Times New Roman" w:hAnsi="Times New Roman" w:cs="Times New Roman"/>
          <w:spacing w:val="-1"/>
          <w:sz w:val="18"/>
          <w:szCs w:val="18"/>
        </w:rPr>
        <w:t>月</w:t>
      </w:r>
      <w:r w:rsidRPr="005A284F">
        <w:rPr>
          <w:rFonts w:ascii="Times New Roman" w:hAnsi="Times New Roman" w:cs="Times New Roman"/>
          <w:spacing w:val="-1"/>
          <w:sz w:val="18"/>
          <w:szCs w:val="18"/>
        </w:rPr>
        <w:t>1</w:t>
      </w:r>
      <w:r w:rsidRPr="005A284F">
        <w:rPr>
          <w:rFonts w:ascii="Times New Roman" w:hAnsi="Times New Roman" w:cs="Times New Roman"/>
          <w:spacing w:val="-1"/>
          <w:sz w:val="18"/>
          <w:szCs w:val="18"/>
        </w:rPr>
        <w:t>日至</w:t>
      </w:r>
      <w:r w:rsidRPr="005A284F">
        <w:rPr>
          <w:rFonts w:ascii="Times New Roman" w:hAnsi="Times New Roman" w:cs="Times New Roman"/>
          <w:spacing w:val="-1"/>
          <w:sz w:val="18"/>
          <w:szCs w:val="18"/>
        </w:rPr>
        <w:t>2024</w:t>
      </w:r>
      <w:r w:rsidRPr="005A284F">
        <w:rPr>
          <w:rFonts w:ascii="Times New Roman" w:hAnsi="Times New Roman" w:cs="Times New Roman"/>
          <w:spacing w:val="-1"/>
          <w:sz w:val="18"/>
          <w:szCs w:val="18"/>
        </w:rPr>
        <w:t>年</w:t>
      </w:r>
      <w:r w:rsidRPr="005A284F">
        <w:rPr>
          <w:rFonts w:ascii="Times New Roman" w:hAnsi="Times New Roman" w:cs="Times New Roman"/>
          <w:spacing w:val="-1"/>
          <w:sz w:val="18"/>
          <w:szCs w:val="18"/>
        </w:rPr>
        <w:t>12</w:t>
      </w:r>
      <w:r w:rsidRPr="005A284F">
        <w:rPr>
          <w:rFonts w:ascii="Times New Roman" w:hAnsi="Times New Roman" w:cs="Times New Roman"/>
          <w:spacing w:val="-1"/>
          <w:sz w:val="18"/>
          <w:szCs w:val="18"/>
        </w:rPr>
        <w:t>月</w:t>
      </w:r>
      <w:r w:rsidRPr="005A284F">
        <w:rPr>
          <w:rFonts w:ascii="Times New Roman" w:hAnsi="Times New Roman" w:cs="Times New Roman"/>
          <w:spacing w:val="-1"/>
          <w:sz w:val="18"/>
          <w:szCs w:val="18"/>
        </w:rPr>
        <w:t>31</w:t>
      </w:r>
      <w:r w:rsidRPr="005A284F">
        <w:rPr>
          <w:rFonts w:ascii="Times New Roman" w:hAnsi="Times New Roman" w:cs="Times New Roman"/>
          <w:spacing w:val="-1"/>
          <w:sz w:val="18"/>
          <w:szCs w:val="18"/>
        </w:rPr>
        <w:t>日，对注册在海南自贸港并实质性运营的鼓励类产业企业减按</w:t>
      </w:r>
      <w:r w:rsidRPr="005A284F">
        <w:rPr>
          <w:rFonts w:ascii="Times New Roman" w:hAnsi="Times New Roman" w:cs="Times New Roman"/>
          <w:spacing w:val="-1"/>
          <w:sz w:val="18"/>
          <w:szCs w:val="18"/>
        </w:rPr>
        <w:t>15%</w:t>
      </w:r>
      <w:r w:rsidRPr="005A284F">
        <w:rPr>
          <w:rFonts w:ascii="Times New Roman" w:hAnsi="Times New Roman" w:cs="Times New Roman"/>
          <w:spacing w:val="-1"/>
          <w:sz w:val="18"/>
          <w:szCs w:val="18"/>
        </w:rPr>
        <w:t>的税率征收企业所得税。上述鼓励类产</w:t>
      </w:r>
      <w:r w:rsidRPr="005A284F">
        <w:rPr>
          <w:rFonts w:ascii="Times New Roman" w:hAnsi="Times New Roman" w:cs="Times New Roman"/>
          <w:spacing w:val="-1"/>
          <w:sz w:val="18"/>
          <w:szCs w:val="18"/>
        </w:rPr>
        <w:lastRenderedPageBreak/>
        <w:t>业企业是指以《产业结构调整指导目录</w:t>
      </w:r>
      <w:r w:rsidRPr="005A284F">
        <w:rPr>
          <w:rFonts w:ascii="Times New Roman" w:hAnsi="Times New Roman" w:cs="Times New Roman"/>
          <w:spacing w:val="-1"/>
          <w:sz w:val="18"/>
          <w:szCs w:val="18"/>
        </w:rPr>
        <w:t>(2019</w:t>
      </w:r>
      <w:r w:rsidRPr="005A284F">
        <w:rPr>
          <w:rFonts w:ascii="Times New Roman" w:hAnsi="Times New Roman" w:cs="Times New Roman"/>
          <w:spacing w:val="-1"/>
          <w:sz w:val="18"/>
          <w:szCs w:val="18"/>
        </w:rPr>
        <w:t>年本</w:t>
      </w:r>
      <w:r w:rsidRPr="005A284F">
        <w:rPr>
          <w:rFonts w:ascii="Times New Roman" w:hAnsi="Times New Roman" w:cs="Times New Roman"/>
          <w:spacing w:val="-1"/>
          <w:sz w:val="18"/>
          <w:szCs w:val="18"/>
        </w:rPr>
        <w:t>)</w:t>
      </w:r>
      <w:r w:rsidRPr="005A284F">
        <w:rPr>
          <w:rFonts w:ascii="Times New Roman" w:hAnsi="Times New Roman" w:cs="Times New Roman"/>
          <w:spacing w:val="-1"/>
          <w:sz w:val="18"/>
          <w:szCs w:val="18"/>
        </w:rPr>
        <w:t>》、《鼓励外商投资产业目录</w:t>
      </w:r>
      <w:r w:rsidRPr="005A284F">
        <w:rPr>
          <w:rFonts w:ascii="Times New Roman" w:hAnsi="Times New Roman" w:cs="Times New Roman"/>
          <w:spacing w:val="-1"/>
          <w:sz w:val="18"/>
          <w:szCs w:val="18"/>
        </w:rPr>
        <w:t>(2019</w:t>
      </w:r>
      <w:r w:rsidRPr="005A284F">
        <w:rPr>
          <w:rFonts w:ascii="Times New Roman" w:hAnsi="Times New Roman" w:cs="Times New Roman"/>
          <w:spacing w:val="-1"/>
          <w:sz w:val="18"/>
          <w:szCs w:val="18"/>
        </w:rPr>
        <w:t>年版</w:t>
      </w:r>
      <w:r w:rsidRPr="005A284F">
        <w:rPr>
          <w:rFonts w:ascii="Times New Roman" w:hAnsi="Times New Roman" w:cs="Times New Roman"/>
          <w:spacing w:val="-1"/>
          <w:sz w:val="18"/>
          <w:szCs w:val="18"/>
        </w:rPr>
        <w:t>)</w:t>
      </w:r>
      <w:r w:rsidRPr="005A284F">
        <w:rPr>
          <w:rFonts w:ascii="Times New Roman" w:hAnsi="Times New Roman" w:cs="Times New Roman"/>
          <w:spacing w:val="-1"/>
          <w:sz w:val="18"/>
          <w:szCs w:val="18"/>
        </w:rPr>
        <w:t>》和海南自由贸易港新增鼓励类产业目录中规定的产业项目为主营业务，且其主营业务收入占企业收入总额</w:t>
      </w:r>
      <w:r w:rsidRPr="005A284F">
        <w:rPr>
          <w:rFonts w:ascii="Times New Roman" w:hAnsi="Times New Roman" w:cs="Times New Roman"/>
          <w:spacing w:val="-1"/>
          <w:sz w:val="18"/>
          <w:szCs w:val="18"/>
        </w:rPr>
        <w:t>60%</w:t>
      </w:r>
      <w:r w:rsidRPr="005A284F">
        <w:rPr>
          <w:rFonts w:ascii="Times New Roman" w:hAnsi="Times New Roman" w:cs="Times New Roman"/>
          <w:spacing w:val="-1"/>
          <w:sz w:val="18"/>
          <w:szCs w:val="18"/>
        </w:rPr>
        <w:t>以上的企业。运营公司海南分公司符合于海南自贸港注册并实际运营，以国家规定的鼓励类产业项目为主营业务，且预计满足当年主营业务收入占企业总收入的</w:t>
      </w:r>
      <w:r w:rsidRPr="005A284F">
        <w:rPr>
          <w:rFonts w:ascii="Times New Roman" w:hAnsi="Times New Roman" w:cs="Times New Roman"/>
          <w:spacing w:val="-1"/>
          <w:sz w:val="18"/>
          <w:szCs w:val="18"/>
        </w:rPr>
        <w:t>60%</w:t>
      </w:r>
      <w:r w:rsidRPr="005A284F">
        <w:rPr>
          <w:rFonts w:ascii="Times New Roman" w:hAnsi="Times New Roman" w:cs="Times New Roman"/>
          <w:spacing w:val="-1"/>
          <w:sz w:val="18"/>
          <w:szCs w:val="18"/>
        </w:rPr>
        <w:t>以上的条件，适用海南自贸港税收优惠政策，适用于</w:t>
      </w:r>
      <w:r w:rsidRPr="005A284F">
        <w:rPr>
          <w:rFonts w:ascii="Times New Roman" w:hAnsi="Times New Roman" w:cs="Times New Roman"/>
          <w:spacing w:val="-1"/>
          <w:sz w:val="18"/>
          <w:szCs w:val="18"/>
        </w:rPr>
        <w:t>15%</w:t>
      </w:r>
      <w:r w:rsidRPr="005A284F">
        <w:rPr>
          <w:rFonts w:ascii="Times New Roman" w:hAnsi="Times New Roman" w:cs="Times New Roman"/>
          <w:spacing w:val="-1"/>
          <w:sz w:val="18"/>
          <w:szCs w:val="18"/>
        </w:rPr>
        <w:t>的所得税税率。财政部和国家税务总局于</w:t>
      </w:r>
      <w:r w:rsidRPr="005A284F">
        <w:rPr>
          <w:rFonts w:ascii="Times New Roman" w:hAnsi="Times New Roman" w:cs="Times New Roman"/>
          <w:spacing w:val="-1"/>
          <w:sz w:val="18"/>
          <w:szCs w:val="18"/>
        </w:rPr>
        <w:t>2025</w:t>
      </w:r>
      <w:r w:rsidRPr="005A284F">
        <w:rPr>
          <w:rFonts w:ascii="Times New Roman" w:hAnsi="Times New Roman" w:cs="Times New Roman"/>
          <w:spacing w:val="-1"/>
          <w:sz w:val="18"/>
          <w:szCs w:val="18"/>
        </w:rPr>
        <w:t>年</w:t>
      </w:r>
      <w:r w:rsidRPr="005A284F">
        <w:rPr>
          <w:rFonts w:ascii="Times New Roman" w:hAnsi="Times New Roman" w:cs="Times New Roman"/>
          <w:spacing w:val="-1"/>
          <w:sz w:val="18"/>
          <w:szCs w:val="18"/>
        </w:rPr>
        <w:t>1</w:t>
      </w:r>
      <w:r w:rsidRPr="005A284F">
        <w:rPr>
          <w:rFonts w:ascii="Times New Roman" w:hAnsi="Times New Roman" w:cs="Times New Roman"/>
          <w:spacing w:val="-1"/>
          <w:sz w:val="18"/>
          <w:szCs w:val="18"/>
        </w:rPr>
        <w:t>月</w:t>
      </w:r>
      <w:r w:rsidRPr="005A284F">
        <w:rPr>
          <w:rFonts w:ascii="Times New Roman" w:hAnsi="Times New Roman" w:cs="Times New Roman"/>
          <w:spacing w:val="-1"/>
          <w:sz w:val="18"/>
          <w:szCs w:val="18"/>
        </w:rPr>
        <w:t>24</w:t>
      </w:r>
      <w:r w:rsidRPr="005A284F">
        <w:rPr>
          <w:rFonts w:ascii="Times New Roman" w:hAnsi="Times New Roman" w:cs="Times New Roman"/>
          <w:spacing w:val="-1"/>
          <w:sz w:val="18"/>
          <w:szCs w:val="18"/>
        </w:rPr>
        <w:t>日发布通知，延续了该政策至</w:t>
      </w:r>
      <w:r w:rsidRPr="005A284F">
        <w:rPr>
          <w:rFonts w:ascii="Times New Roman" w:hAnsi="Times New Roman" w:cs="Times New Roman"/>
          <w:spacing w:val="-1"/>
          <w:sz w:val="18"/>
          <w:szCs w:val="18"/>
        </w:rPr>
        <w:t>2027</w:t>
      </w:r>
      <w:r w:rsidRPr="005A284F">
        <w:rPr>
          <w:rFonts w:ascii="Times New Roman" w:hAnsi="Times New Roman" w:cs="Times New Roman"/>
          <w:spacing w:val="-1"/>
          <w:sz w:val="18"/>
          <w:szCs w:val="18"/>
        </w:rPr>
        <w:t>年</w:t>
      </w:r>
      <w:r w:rsidRPr="005A284F">
        <w:rPr>
          <w:rFonts w:ascii="Times New Roman" w:hAnsi="Times New Roman" w:cs="Times New Roman"/>
          <w:spacing w:val="-1"/>
          <w:sz w:val="18"/>
          <w:szCs w:val="18"/>
        </w:rPr>
        <w:t>12</w:t>
      </w:r>
      <w:r w:rsidRPr="005A284F">
        <w:rPr>
          <w:rFonts w:ascii="Times New Roman" w:hAnsi="Times New Roman" w:cs="Times New Roman"/>
          <w:spacing w:val="-1"/>
          <w:sz w:val="18"/>
          <w:szCs w:val="18"/>
        </w:rPr>
        <w:t>月</w:t>
      </w:r>
      <w:r w:rsidRPr="005A284F">
        <w:rPr>
          <w:rFonts w:ascii="Times New Roman" w:hAnsi="Times New Roman" w:cs="Times New Roman"/>
          <w:spacing w:val="-1"/>
          <w:sz w:val="18"/>
          <w:szCs w:val="18"/>
        </w:rPr>
        <w:t>31</w:t>
      </w:r>
      <w:r w:rsidRPr="005A284F">
        <w:rPr>
          <w:rFonts w:ascii="Times New Roman" w:hAnsi="Times New Roman" w:cs="Times New Roman"/>
          <w:spacing w:val="-1"/>
          <w:sz w:val="18"/>
          <w:szCs w:val="18"/>
        </w:rPr>
        <w:t>日。</w:t>
      </w:r>
    </w:p>
    <w:p w14:paraId="1579BE4B" w14:textId="77777777" w:rsidR="000309B5" w:rsidRPr="005A284F" w:rsidRDefault="00000000" w:rsidP="00D15C4E">
      <w:pPr>
        <w:pStyle w:val="a3"/>
        <w:spacing w:before="0" w:beforeAutospacing="0" w:after="0" w:afterAutospacing="0" w:line="276" w:lineRule="auto"/>
        <w:ind w:firstLineChars="200" w:firstLine="358"/>
        <w:jc w:val="both"/>
        <w:divId w:val="944969486"/>
        <w:rPr>
          <w:rFonts w:ascii="Times New Roman" w:hAnsi="Times New Roman" w:cs="Times New Roman"/>
        </w:rPr>
      </w:pPr>
      <w:r w:rsidRPr="005A284F">
        <w:rPr>
          <w:rFonts w:ascii="Times New Roman" w:hAnsi="Times New Roman" w:cs="Times New Roman"/>
          <w:spacing w:val="-1"/>
          <w:sz w:val="18"/>
          <w:szCs w:val="18"/>
        </w:rPr>
        <w:t>（</w:t>
      </w:r>
      <w:r w:rsidRPr="005A284F">
        <w:rPr>
          <w:rFonts w:ascii="Times New Roman" w:hAnsi="Times New Roman" w:cs="Times New Roman"/>
          <w:spacing w:val="-1"/>
          <w:sz w:val="18"/>
          <w:szCs w:val="18"/>
        </w:rPr>
        <w:t>2</w:t>
      </w:r>
      <w:r w:rsidRPr="005A284F">
        <w:rPr>
          <w:rFonts w:ascii="Times New Roman" w:hAnsi="Times New Roman" w:cs="Times New Roman"/>
          <w:spacing w:val="-1"/>
          <w:sz w:val="18"/>
          <w:szCs w:val="18"/>
        </w:rPr>
        <w:t>）增值税优惠</w:t>
      </w:r>
    </w:p>
    <w:p w14:paraId="7A860BA0" w14:textId="77777777" w:rsidR="000309B5" w:rsidRPr="005A284F" w:rsidRDefault="00000000" w:rsidP="00D15C4E">
      <w:pPr>
        <w:pStyle w:val="a3"/>
        <w:spacing w:before="0" w:beforeAutospacing="0" w:after="0" w:afterAutospacing="0" w:line="276" w:lineRule="auto"/>
        <w:ind w:firstLineChars="200" w:firstLine="358"/>
        <w:jc w:val="both"/>
        <w:divId w:val="944969486"/>
        <w:rPr>
          <w:rFonts w:ascii="Times New Roman" w:hAnsi="Times New Roman" w:cs="Times New Roman"/>
        </w:rPr>
      </w:pPr>
      <w:r w:rsidRPr="00A63401">
        <w:rPr>
          <w:rFonts w:ascii="Cambria Math" w:hAnsi="Cambria Math" w:cs="Cambria Math"/>
          <w:spacing w:val="-1"/>
          <w:sz w:val="18"/>
          <w:szCs w:val="18"/>
        </w:rPr>
        <w:t>①</w:t>
      </w:r>
      <w:r w:rsidRPr="005A284F">
        <w:rPr>
          <w:rFonts w:ascii="Times New Roman" w:hAnsi="Times New Roman" w:cs="Times New Roman"/>
          <w:spacing w:val="-1"/>
          <w:sz w:val="18"/>
          <w:szCs w:val="18"/>
        </w:rPr>
        <w:t>农业生产者销售自产农产品</w:t>
      </w:r>
    </w:p>
    <w:p w14:paraId="0378E4CD" w14:textId="77777777" w:rsidR="000309B5" w:rsidRPr="005A284F" w:rsidRDefault="00000000" w:rsidP="00D15C4E">
      <w:pPr>
        <w:pStyle w:val="a3"/>
        <w:spacing w:before="0" w:beforeAutospacing="0" w:after="0" w:afterAutospacing="0" w:line="276" w:lineRule="auto"/>
        <w:ind w:firstLineChars="200" w:firstLine="358"/>
        <w:jc w:val="both"/>
        <w:divId w:val="944969486"/>
        <w:rPr>
          <w:rFonts w:ascii="Times New Roman" w:hAnsi="Times New Roman" w:cs="Times New Roman"/>
        </w:rPr>
      </w:pPr>
      <w:r w:rsidRPr="005A284F">
        <w:rPr>
          <w:rFonts w:ascii="Times New Roman" w:hAnsi="Times New Roman" w:cs="Times New Roman"/>
          <w:spacing w:val="-1"/>
          <w:sz w:val="18"/>
          <w:szCs w:val="18"/>
        </w:rPr>
        <w:t>根据《中华人民共和国增值税暂行条例》（中华人民共和国国务院令第</w:t>
      </w:r>
      <w:r w:rsidRPr="005A284F">
        <w:rPr>
          <w:rFonts w:ascii="Times New Roman" w:hAnsi="Times New Roman" w:cs="Times New Roman"/>
          <w:spacing w:val="-1"/>
          <w:sz w:val="18"/>
          <w:szCs w:val="18"/>
        </w:rPr>
        <w:t>538</w:t>
      </w:r>
      <w:r w:rsidRPr="005A284F">
        <w:rPr>
          <w:rFonts w:ascii="Times New Roman" w:hAnsi="Times New Roman" w:cs="Times New Roman"/>
          <w:spacing w:val="-1"/>
          <w:sz w:val="18"/>
          <w:szCs w:val="18"/>
        </w:rPr>
        <w:t>号）第十五条第（一）项规定，农业生产者销售自产农产品免征增值税，报告期内本公司下属子公司烟台龙大养殖有限公司、安丘龙大养殖有限公司、莱阳龙大养殖有限公司、莱州龙大养殖有限公司销售自产生猪，免征增值税。</w:t>
      </w:r>
    </w:p>
    <w:p w14:paraId="4FEE40B2" w14:textId="77777777" w:rsidR="000309B5" w:rsidRPr="005A284F" w:rsidRDefault="00000000" w:rsidP="00D15C4E">
      <w:pPr>
        <w:pStyle w:val="a3"/>
        <w:spacing w:before="0" w:beforeAutospacing="0" w:after="0" w:afterAutospacing="0" w:line="276" w:lineRule="auto"/>
        <w:ind w:firstLineChars="200" w:firstLine="358"/>
        <w:jc w:val="both"/>
        <w:divId w:val="944969486"/>
        <w:rPr>
          <w:rFonts w:ascii="Times New Roman" w:hAnsi="Times New Roman" w:cs="Times New Roman"/>
        </w:rPr>
      </w:pPr>
      <w:r w:rsidRPr="005A284F">
        <w:rPr>
          <w:rFonts w:ascii="Cambria Math" w:hAnsi="Cambria Math" w:cs="Cambria Math"/>
          <w:spacing w:val="-1"/>
          <w:sz w:val="18"/>
          <w:szCs w:val="18"/>
        </w:rPr>
        <w:t>②</w:t>
      </w:r>
      <w:r w:rsidRPr="005A284F">
        <w:rPr>
          <w:rFonts w:ascii="Times New Roman" w:hAnsi="Times New Roman" w:cs="Times New Roman"/>
          <w:spacing w:val="-1"/>
          <w:sz w:val="18"/>
          <w:szCs w:val="18"/>
        </w:rPr>
        <w:t>符合条件的饲料产品</w:t>
      </w:r>
    </w:p>
    <w:p w14:paraId="0234DDA9" w14:textId="77777777" w:rsidR="000309B5" w:rsidRPr="005A284F" w:rsidRDefault="00000000" w:rsidP="00D15C4E">
      <w:pPr>
        <w:pStyle w:val="a3"/>
        <w:spacing w:before="0" w:beforeAutospacing="0" w:after="0" w:afterAutospacing="0" w:line="276" w:lineRule="auto"/>
        <w:ind w:firstLineChars="200" w:firstLine="358"/>
        <w:jc w:val="both"/>
        <w:divId w:val="944969486"/>
        <w:rPr>
          <w:rFonts w:ascii="Times New Roman" w:hAnsi="Times New Roman" w:cs="Times New Roman"/>
        </w:rPr>
      </w:pPr>
      <w:r w:rsidRPr="005A284F">
        <w:rPr>
          <w:rFonts w:ascii="Times New Roman" w:hAnsi="Times New Roman" w:cs="Times New Roman"/>
          <w:spacing w:val="-1"/>
          <w:sz w:val="18"/>
          <w:szCs w:val="18"/>
        </w:rPr>
        <w:t>根据《财政部国家税务总局关于饲料产品免征增值税问题的通知》（财税〔</w:t>
      </w:r>
      <w:r w:rsidRPr="005A284F">
        <w:rPr>
          <w:rFonts w:ascii="Times New Roman" w:hAnsi="Times New Roman" w:cs="Times New Roman"/>
          <w:spacing w:val="-1"/>
          <w:sz w:val="18"/>
          <w:szCs w:val="18"/>
        </w:rPr>
        <w:t>2001</w:t>
      </w:r>
      <w:r w:rsidRPr="005A284F">
        <w:rPr>
          <w:rFonts w:ascii="Times New Roman" w:hAnsi="Times New Roman" w:cs="Times New Roman"/>
          <w:spacing w:val="-1"/>
          <w:sz w:val="18"/>
          <w:szCs w:val="18"/>
        </w:rPr>
        <w:t>〕</w:t>
      </w:r>
      <w:r w:rsidRPr="005A284F">
        <w:rPr>
          <w:rFonts w:ascii="Times New Roman" w:hAnsi="Times New Roman" w:cs="Times New Roman"/>
          <w:spacing w:val="-1"/>
          <w:sz w:val="18"/>
          <w:szCs w:val="18"/>
        </w:rPr>
        <w:t>121</w:t>
      </w:r>
      <w:r w:rsidRPr="005A284F">
        <w:rPr>
          <w:rFonts w:ascii="Times New Roman" w:hAnsi="Times New Roman" w:cs="Times New Roman"/>
          <w:spacing w:val="-1"/>
          <w:sz w:val="18"/>
          <w:szCs w:val="18"/>
        </w:rPr>
        <w:t>号）规定，报告期内本公司下属子公司烟台龙大饲料有限公司生产销售符合条件的饲料产品，免征增值税。</w:t>
      </w:r>
    </w:p>
    <w:p w14:paraId="41284C93" w14:textId="77777777" w:rsidR="000309B5" w:rsidRPr="005A284F" w:rsidRDefault="00000000" w:rsidP="00D15C4E">
      <w:pPr>
        <w:pStyle w:val="a3"/>
        <w:spacing w:before="0" w:beforeAutospacing="0" w:after="0" w:afterAutospacing="0" w:line="276" w:lineRule="auto"/>
        <w:ind w:firstLineChars="200" w:firstLine="358"/>
        <w:jc w:val="both"/>
        <w:divId w:val="944969486"/>
        <w:rPr>
          <w:rFonts w:ascii="Times New Roman" w:hAnsi="Times New Roman" w:cs="Times New Roman"/>
        </w:rPr>
      </w:pPr>
      <w:r w:rsidRPr="005A284F">
        <w:rPr>
          <w:rFonts w:ascii="Cambria Math" w:hAnsi="Cambria Math" w:cs="Cambria Math"/>
          <w:spacing w:val="-1"/>
          <w:sz w:val="18"/>
          <w:szCs w:val="18"/>
        </w:rPr>
        <w:t>③</w:t>
      </w:r>
      <w:r w:rsidRPr="005A284F">
        <w:rPr>
          <w:rFonts w:ascii="Times New Roman" w:hAnsi="Times New Roman" w:cs="Times New Roman"/>
          <w:spacing w:val="-1"/>
          <w:sz w:val="18"/>
          <w:szCs w:val="18"/>
        </w:rPr>
        <w:t>流通环节的鲜活肉蛋产品</w:t>
      </w:r>
    </w:p>
    <w:p w14:paraId="420E7560" w14:textId="77777777" w:rsidR="000309B5" w:rsidRPr="005A284F" w:rsidRDefault="00000000" w:rsidP="00D15C4E">
      <w:pPr>
        <w:pStyle w:val="a3"/>
        <w:spacing w:before="0" w:beforeAutospacing="0" w:after="0" w:afterAutospacing="0" w:line="276" w:lineRule="auto"/>
        <w:ind w:firstLineChars="200" w:firstLine="358"/>
        <w:jc w:val="both"/>
        <w:divId w:val="944969486"/>
        <w:rPr>
          <w:rFonts w:ascii="Times New Roman" w:hAnsi="Times New Roman" w:cs="Times New Roman"/>
        </w:rPr>
      </w:pPr>
      <w:r w:rsidRPr="005A284F">
        <w:rPr>
          <w:rFonts w:ascii="Times New Roman" w:hAnsi="Times New Roman" w:cs="Times New Roman"/>
          <w:spacing w:val="-1"/>
          <w:sz w:val="18"/>
          <w:szCs w:val="18"/>
        </w:rPr>
        <w:t>根据《财政部国家税务总局关于免征部分鲜活肉蛋产品流通环节增值税政策的通知》（财税〔</w:t>
      </w:r>
      <w:r w:rsidRPr="005A284F">
        <w:rPr>
          <w:rFonts w:ascii="Times New Roman" w:hAnsi="Times New Roman" w:cs="Times New Roman"/>
          <w:spacing w:val="-1"/>
          <w:sz w:val="18"/>
          <w:szCs w:val="18"/>
        </w:rPr>
        <w:t>2012</w:t>
      </w:r>
      <w:r w:rsidRPr="005A284F">
        <w:rPr>
          <w:rFonts w:ascii="Times New Roman" w:hAnsi="Times New Roman" w:cs="Times New Roman"/>
          <w:spacing w:val="-1"/>
          <w:sz w:val="18"/>
          <w:szCs w:val="18"/>
        </w:rPr>
        <w:t>〕</w:t>
      </w:r>
      <w:r w:rsidRPr="005A284F">
        <w:rPr>
          <w:rFonts w:ascii="Times New Roman" w:hAnsi="Times New Roman" w:cs="Times New Roman"/>
          <w:spacing w:val="-1"/>
          <w:sz w:val="18"/>
          <w:szCs w:val="18"/>
        </w:rPr>
        <w:t>75</w:t>
      </w:r>
      <w:r w:rsidRPr="005A284F">
        <w:rPr>
          <w:rFonts w:ascii="Times New Roman" w:hAnsi="Times New Roman" w:cs="Times New Roman"/>
          <w:spacing w:val="-1"/>
          <w:sz w:val="18"/>
          <w:szCs w:val="18"/>
        </w:rPr>
        <w:t>号）规定，报告期内本公司下属子公司青岛新胜锦食品商贸有限公司销售的鲜活肉产品，免征流通环节增值税。</w:t>
      </w:r>
    </w:p>
    <w:p w14:paraId="3FB9C9C7" w14:textId="77777777" w:rsidR="000309B5" w:rsidRPr="005A284F" w:rsidRDefault="00000000" w:rsidP="00D15C4E">
      <w:pPr>
        <w:pStyle w:val="a3"/>
        <w:spacing w:before="0" w:beforeAutospacing="0" w:after="0" w:afterAutospacing="0" w:line="276" w:lineRule="auto"/>
        <w:ind w:firstLineChars="200" w:firstLine="358"/>
        <w:jc w:val="both"/>
        <w:divId w:val="944969486"/>
        <w:rPr>
          <w:rFonts w:ascii="Times New Roman" w:hAnsi="Times New Roman" w:cs="Times New Roman"/>
        </w:rPr>
      </w:pPr>
      <w:r w:rsidRPr="005A284F">
        <w:rPr>
          <w:rFonts w:ascii="Cambria Math" w:hAnsi="Cambria Math" w:cs="Cambria Math"/>
          <w:spacing w:val="-1"/>
          <w:sz w:val="18"/>
          <w:szCs w:val="18"/>
        </w:rPr>
        <w:t>④</w:t>
      </w:r>
      <w:r w:rsidRPr="005A284F">
        <w:rPr>
          <w:rFonts w:ascii="Times New Roman" w:hAnsi="Times New Roman" w:cs="Times New Roman"/>
          <w:spacing w:val="-1"/>
          <w:sz w:val="18"/>
          <w:szCs w:val="18"/>
        </w:rPr>
        <w:t>技术转让、技术开发等</w:t>
      </w:r>
    </w:p>
    <w:p w14:paraId="557EB254" w14:textId="77777777" w:rsidR="000309B5" w:rsidRPr="005A284F" w:rsidRDefault="00000000" w:rsidP="00D15C4E">
      <w:pPr>
        <w:pStyle w:val="a3"/>
        <w:spacing w:before="0" w:beforeAutospacing="0" w:after="0" w:afterAutospacing="0" w:line="276" w:lineRule="auto"/>
        <w:ind w:firstLineChars="200" w:firstLine="358"/>
        <w:jc w:val="both"/>
        <w:divId w:val="944969486"/>
        <w:rPr>
          <w:rFonts w:ascii="Times New Roman" w:hAnsi="Times New Roman" w:cs="Times New Roman"/>
        </w:rPr>
      </w:pPr>
      <w:r w:rsidRPr="005A284F">
        <w:rPr>
          <w:rFonts w:ascii="Times New Roman" w:hAnsi="Times New Roman" w:cs="Times New Roman"/>
          <w:spacing w:val="-1"/>
          <w:sz w:val="18"/>
          <w:szCs w:val="18"/>
        </w:rPr>
        <w:t>根据《财政部、国家税务总局关于全面推开营业税改征增值税试点的通知》（财税〔</w:t>
      </w:r>
      <w:r w:rsidRPr="005A284F">
        <w:rPr>
          <w:rFonts w:ascii="Times New Roman" w:hAnsi="Times New Roman" w:cs="Times New Roman"/>
          <w:spacing w:val="-1"/>
          <w:sz w:val="18"/>
          <w:szCs w:val="18"/>
        </w:rPr>
        <w:t>2016</w:t>
      </w:r>
      <w:r w:rsidRPr="005A284F">
        <w:rPr>
          <w:rFonts w:ascii="Times New Roman" w:hAnsi="Times New Roman" w:cs="Times New Roman"/>
          <w:spacing w:val="-1"/>
          <w:sz w:val="18"/>
          <w:szCs w:val="18"/>
        </w:rPr>
        <w:t>〕</w:t>
      </w:r>
      <w:r w:rsidRPr="005A284F">
        <w:rPr>
          <w:rFonts w:ascii="Times New Roman" w:hAnsi="Times New Roman" w:cs="Times New Roman"/>
          <w:spacing w:val="-1"/>
          <w:sz w:val="18"/>
          <w:szCs w:val="18"/>
        </w:rPr>
        <w:t>36</w:t>
      </w:r>
      <w:r w:rsidRPr="005A284F">
        <w:rPr>
          <w:rFonts w:ascii="Times New Roman" w:hAnsi="Times New Roman" w:cs="Times New Roman"/>
          <w:spacing w:val="-1"/>
          <w:sz w:val="18"/>
          <w:szCs w:val="18"/>
        </w:rPr>
        <w:t>号）规定，纳税人提供技术转让、技术开发和与之相关的技术咨询、技术服务免征增值税。报告期内本公司下属子公司山东龙大生猪产品工程技术研究有限公司业务范围内的畜禽领域内的技术开发、技术咨询、技术转让及技术服务免征增值税。</w:t>
      </w:r>
    </w:p>
    <w:p w14:paraId="788C34F3" w14:textId="77777777" w:rsidR="006C011D" w:rsidRPr="005A284F" w:rsidRDefault="00000000" w:rsidP="00D15C4E">
      <w:pPr>
        <w:pStyle w:val="3"/>
        <w:spacing w:before="0" w:after="0" w:line="276" w:lineRule="auto"/>
        <w:ind w:firstLineChars="200" w:firstLine="422"/>
        <w:jc w:val="left"/>
        <w:rPr>
          <w:rFonts w:ascii="Times New Roman" w:hAnsi="Times New Roman" w:cs="Times New Roman"/>
          <w:b/>
          <w:bCs/>
        </w:rPr>
      </w:pPr>
      <w:bookmarkStart w:id="175" w:name="_Toc989064"/>
      <w:r w:rsidRPr="005A284F">
        <w:rPr>
          <w:rFonts w:ascii="Times New Roman" w:hAnsi="Times New Roman" w:cs="Times New Roman"/>
          <w:b/>
          <w:bCs/>
        </w:rPr>
        <w:t>3</w:t>
      </w:r>
      <w:r w:rsidRPr="005A284F">
        <w:rPr>
          <w:rFonts w:ascii="Times New Roman" w:hAnsi="Times New Roman" w:cs="Times New Roman"/>
          <w:b/>
          <w:bCs/>
        </w:rPr>
        <w:t>、其他</w:t>
      </w:r>
      <w:bookmarkEnd w:id="175"/>
    </w:p>
    <w:p w14:paraId="35D858D2" w14:textId="77777777" w:rsidR="000309B5" w:rsidRPr="00D15C4E" w:rsidRDefault="00000000" w:rsidP="00D15C4E">
      <w:pPr>
        <w:pStyle w:val="a3"/>
        <w:spacing w:before="0" w:beforeAutospacing="0" w:after="0" w:afterAutospacing="0" w:line="276" w:lineRule="auto"/>
        <w:ind w:firstLineChars="200" w:firstLine="358"/>
        <w:jc w:val="both"/>
        <w:divId w:val="1897549289"/>
        <w:rPr>
          <w:rFonts w:ascii="Times New Roman" w:hAnsi="Times New Roman" w:cs="Times New Roman"/>
          <w:spacing w:val="-1"/>
          <w:sz w:val="18"/>
          <w:szCs w:val="18"/>
        </w:rPr>
      </w:pPr>
      <w:r w:rsidRPr="005A284F">
        <w:rPr>
          <w:rFonts w:ascii="Times New Roman" w:hAnsi="Times New Roman" w:cs="Times New Roman"/>
          <w:spacing w:val="-1"/>
          <w:sz w:val="18"/>
          <w:szCs w:val="18"/>
        </w:rPr>
        <w:t>根据《财政部税务总局公告</w:t>
      </w:r>
      <w:r w:rsidRPr="005A284F">
        <w:rPr>
          <w:rFonts w:ascii="Times New Roman" w:hAnsi="Times New Roman" w:cs="Times New Roman"/>
          <w:spacing w:val="-1"/>
          <w:sz w:val="18"/>
          <w:szCs w:val="18"/>
        </w:rPr>
        <w:t>2023</w:t>
      </w:r>
      <w:r w:rsidRPr="005A284F">
        <w:rPr>
          <w:rFonts w:ascii="Times New Roman" w:hAnsi="Times New Roman" w:cs="Times New Roman"/>
          <w:spacing w:val="-1"/>
          <w:sz w:val="18"/>
          <w:szCs w:val="18"/>
        </w:rPr>
        <w:t>年第</w:t>
      </w:r>
      <w:r w:rsidRPr="005A284F">
        <w:rPr>
          <w:rFonts w:ascii="Times New Roman" w:hAnsi="Times New Roman" w:cs="Times New Roman"/>
          <w:spacing w:val="-1"/>
          <w:sz w:val="18"/>
          <w:szCs w:val="18"/>
        </w:rPr>
        <w:t>37</w:t>
      </w:r>
      <w:r w:rsidRPr="005A284F">
        <w:rPr>
          <w:rFonts w:ascii="Times New Roman" w:hAnsi="Times New Roman" w:cs="Times New Roman"/>
          <w:spacing w:val="-1"/>
          <w:sz w:val="18"/>
          <w:szCs w:val="18"/>
        </w:rPr>
        <w:t>号关于设备、器具扣除有关企业所得税政策的公告》，企业在</w:t>
      </w:r>
      <w:r w:rsidRPr="005A284F">
        <w:rPr>
          <w:rFonts w:ascii="Times New Roman" w:hAnsi="Times New Roman" w:cs="Times New Roman"/>
          <w:spacing w:val="-1"/>
          <w:sz w:val="18"/>
          <w:szCs w:val="18"/>
        </w:rPr>
        <w:t>2024</w:t>
      </w:r>
      <w:r w:rsidRPr="005A284F">
        <w:rPr>
          <w:rFonts w:ascii="Times New Roman" w:hAnsi="Times New Roman" w:cs="Times New Roman"/>
          <w:spacing w:val="-1"/>
          <w:sz w:val="18"/>
          <w:szCs w:val="18"/>
        </w:rPr>
        <w:t>年</w:t>
      </w:r>
      <w:r w:rsidRPr="005A284F">
        <w:rPr>
          <w:rFonts w:ascii="Times New Roman" w:hAnsi="Times New Roman" w:cs="Times New Roman"/>
          <w:spacing w:val="-1"/>
          <w:sz w:val="18"/>
          <w:szCs w:val="18"/>
        </w:rPr>
        <w:t>1</w:t>
      </w:r>
      <w:r w:rsidRPr="005A284F">
        <w:rPr>
          <w:rFonts w:ascii="Times New Roman" w:hAnsi="Times New Roman" w:cs="Times New Roman"/>
          <w:spacing w:val="-1"/>
          <w:sz w:val="18"/>
          <w:szCs w:val="18"/>
        </w:rPr>
        <w:t>月</w:t>
      </w:r>
      <w:r w:rsidRPr="005A284F">
        <w:rPr>
          <w:rFonts w:ascii="Times New Roman" w:hAnsi="Times New Roman" w:cs="Times New Roman"/>
          <w:spacing w:val="-1"/>
          <w:sz w:val="18"/>
          <w:szCs w:val="18"/>
        </w:rPr>
        <w:t>1</w:t>
      </w:r>
      <w:r w:rsidRPr="005A284F">
        <w:rPr>
          <w:rFonts w:ascii="Times New Roman" w:hAnsi="Times New Roman" w:cs="Times New Roman"/>
          <w:spacing w:val="-1"/>
          <w:sz w:val="18"/>
          <w:szCs w:val="18"/>
        </w:rPr>
        <w:t>日至</w:t>
      </w:r>
      <w:r w:rsidRPr="005A284F">
        <w:rPr>
          <w:rFonts w:ascii="Times New Roman" w:hAnsi="Times New Roman" w:cs="Times New Roman"/>
          <w:spacing w:val="-1"/>
          <w:sz w:val="18"/>
          <w:szCs w:val="18"/>
        </w:rPr>
        <w:t>2027</w:t>
      </w:r>
      <w:r w:rsidRPr="005A284F">
        <w:rPr>
          <w:rFonts w:ascii="Times New Roman" w:hAnsi="Times New Roman" w:cs="Times New Roman"/>
          <w:spacing w:val="-1"/>
          <w:sz w:val="18"/>
          <w:szCs w:val="18"/>
        </w:rPr>
        <w:t>年</w:t>
      </w:r>
      <w:r w:rsidRPr="005A284F">
        <w:rPr>
          <w:rFonts w:ascii="Times New Roman" w:hAnsi="Times New Roman" w:cs="Times New Roman"/>
          <w:spacing w:val="-1"/>
          <w:sz w:val="18"/>
          <w:szCs w:val="18"/>
        </w:rPr>
        <w:t>12</w:t>
      </w:r>
      <w:r w:rsidRPr="005A284F">
        <w:rPr>
          <w:rFonts w:ascii="Times New Roman" w:hAnsi="Times New Roman" w:cs="Times New Roman"/>
          <w:spacing w:val="-1"/>
          <w:sz w:val="18"/>
          <w:szCs w:val="18"/>
        </w:rPr>
        <w:t>月</w:t>
      </w:r>
      <w:r w:rsidRPr="005A284F">
        <w:rPr>
          <w:rFonts w:ascii="Times New Roman" w:hAnsi="Times New Roman" w:cs="Times New Roman"/>
          <w:spacing w:val="-1"/>
          <w:sz w:val="18"/>
          <w:szCs w:val="18"/>
        </w:rPr>
        <w:t>31</w:t>
      </w:r>
      <w:r w:rsidRPr="005A284F">
        <w:rPr>
          <w:rFonts w:ascii="Times New Roman" w:hAnsi="Times New Roman" w:cs="Times New Roman"/>
          <w:spacing w:val="-1"/>
          <w:sz w:val="18"/>
          <w:szCs w:val="18"/>
        </w:rPr>
        <w:t>日期间新购进的设备、器具，单位价值不超过</w:t>
      </w:r>
      <w:r w:rsidRPr="005A284F">
        <w:rPr>
          <w:rFonts w:ascii="Times New Roman" w:hAnsi="Times New Roman" w:cs="Times New Roman"/>
          <w:spacing w:val="-1"/>
          <w:sz w:val="18"/>
          <w:szCs w:val="18"/>
        </w:rPr>
        <w:t>500</w:t>
      </w:r>
      <w:r w:rsidRPr="005A284F">
        <w:rPr>
          <w:rFonts w:ascii="Times New Roman" w:hAnsi="Times New Roman" w:cs="Times New Roman"/>
          <w:spacing w:val="-1"/>
          <w:sz w:val="18"/>
          <w:szCs w:val="18"/>
        </w:rPr>
        <w:t>万元的，允许一次性计入当期成本费用在计算应纳税所得额时扣除，不再分年度计算折旧</w:t>
      </w:r>
      <w:r w:rsidRPr="005A284F">
        <w:rPr>
          <w:rFonts w:ascii="Times New Roman" w:hAnsi="Times New Roman" w:cs="Times New Roman"/>
          <w:spacing w:val="-1"/>
          <w:sz w:val="18"/>
          <w:szCs w:val="18"/>
        </w:rPr>
        <w:t>;</w:t>
      </w:r>
      <w:r w:rsidRPr="005A284F">
        <w:rPr>
          <w:rFonts w:ascii="Times New Roman" w:hAnsi="Times New Roman" w:cs="Times New Roman"/>
          <w:spacing w:val="-1"/>
          <w:sz w:val="18"/>
          <w:szCs w:val="18"/>
        </w:rPr>
        <w:t>单位价值超过</w:t>
      </w:r>
      <w:r w:rsidRPr="005A284F">
        <w:rPr>
          <w:rFonts w:ascii="Times New Roman" w:hAnsi="Times New Roman" w:cs="Times New Roman"/>
          <w:spacing w:val="-1"/>
          <w:sz w:val="18"/>
          <w:szCs w:val="18"/>
        </w:rPr>
        <w:t>500</w:t>
      </w:r>
      <w:r w:rsidRPr="005A284F">
        <w:rPr>
          <w:rFonts w:ascii="Times New Roman" w:hAnsi="Times New Roman" w:cs="Times New Roman"/>
          <w:spacing w:val="-1"/>
          <w:sz w:val="18"/>
          <w:szCs w:val="18"/>
        </w:rPr>
        <w:t>万元的，仍按</w:t>
      </w:r>
      <w:hyperlink r:id="rId10" w:history="1">
        <w:r w:rsidR="000309B5" w:rsidRPr="00D15C4E">
          <w:rPr>
            <w:rFonts w:ascii="Times New Roman" w:hAnsi="Times New Roman" w:cs="Times New Roman" w:hint="eastAsia"/>
            <w:spacing w:val="-1"/>
            <w:sz w:val="18"/>
            <w:szCs w:val="18"/>
          </w:rPr>
          <w:t>企业所得税法实施条例</w:t>
        </w:r>
      </w:hyperlink>
      <w:r w:rsidRPr="005A284F">
        <w:rPr>
          <w:rFonts w:ascii="Times New Roman" w:hAnsi="Times New Roman" w:cs="Times New Roman"/>
          <w:spacing w:val="-1"/>
          <w:sz w:val="18"/>
          <w:szCs w:val="18"/>
        </w:rPr>
        <w:t>、《</w:t>
      </w:r>
      <w:hyperlink r:id="rId11" w:history="1">
        <w:r w:rsidR="000309B5" w:rsidRPr="00D15C4E">
          <w:rPr>
            <w:rFonts w:ascii="Times New Roman" w:hAnsi="Times New Roman" w:cs="Times New Roman" w:hint="eastAsia"/>
            <w:spacing w:val="-1"/>
            <w:sz w:val="18"/>
            <w:szCs w:val="18"/>
          </w:rPr>
          <w:t>财政部</w:t>
        </w:r>
        <w:r w:rsidR="000309B5" w:rsidRPr="00D15C4E">
          <w:rPr>
            <w:rFonts w:ascii="Times New Roman" w:hAnsi="Times New Roman" w:cs="Times New Roman"/>
            <w:spacing w:val="-1"/>
            <w:sz w:val="18"/>
            <w:szCs w:val="18"/>
          </w:rPr>
          <w:t xml:space="preserve"> </w:t>
        </w:r>
        <w:r w:rsidR="000309B5" w:rsidRPr="00D15C4E">
          <w:rPr>
            <w:rFonts w:ascii="Times New Roman" w:hAnsi="Times New Roman" w:cs="Times New Roman" w:hint="eastAsia"/>
            <w:spacing w:val="-1"/>
            <w:sz w:val="18"/>
            <w:szCs w:val="18"/>
          </w:rPr>
          <w:t>国家税务总局关于完善固定资产加速折旧企业所得税政策的通知》</w:t>
        </w:r>
        <w:r w:rsidR="000309B5" w:rsidRPr="00D15C4E">
          <w:rPr>
            <w:rFonts w:ascii="Times New Roman" w:hAnsi="Times New Roman" w:cs="Times New Roman"/>
            <w:spacing w:val="-1"/>
            <w:sz w:val="18"/>
            <w:szCs w:val="18"/>
          </w:rPr>
          <w:t>(</w:t>
        </w:r>
        <w:r w:rsidR="000309B5" w:rsidRPr="00D15C4E">
          <w:rPr>
            <w:rFonts w:ascii="Times New Roman" w:hAnsi="Times New Roman" w:cs="Times New Roman" w:hint="eastAsia"/>
            <w:spacing w:val="-1"/>
            <w:sz w:val="18"/>
            <w:szCs w:val="18"/>
          </w:rPr>
          <w:t>财税〔</w:t>
        </w:r>
        <w:r w:rsidR="000309B5" w:rsidRPr="00D15C4E">
          <w:rPr>
            <w:rFonts w:ascii="Times New Roman" w:hAnsi="Times New Roman" w:cs="Times New Roman"/>
            <w:spacing w:val="-1"/>
            <w:sz w:val="18"/>
            <w:szCs w:val="18"/>
          </w:rPr>
          <w:t>2014</w:t>
        </w:r>
        <w:r w:rsidR="000309B5" w:rsidRPr="00D15C4E">
          <w:rPr>
            <w:rFonts w:ascii="Times New Roman" w:hAnsi="Times New Roman" w:cs="Times New Roman" w:hint="eastAsia"/>
            <w:spacing w:val="-1"/>
            <w:sz w:val="18"/>
            <w:szCs w:val="18"/>
          </w:rPr>
          <w:t>〕</w:t>
        </w:r>
        <w:r w:rsidR="000309B5" w:rsidRPr="00D15C4E">
          <w:rPr>
            <w:rFonts w:ascii="Times New Roman" w:hAnsi="Times New Roman" w:cs="Times New Roman"/>
            <w:spacing w:val="-1"/>
            <w:sz w:val="18"/>
            <w:szCs w:val="18"/>
          </w:rPr>
          <w:t>75</w:t>
        </w:r>
        <w:r w:rsidR="000309B5" w:rsidRPr="00D15C4E">
          <w:rPr>
            <w:rFonts w:ascii="Times New Roman" w:hAnsi="Times New Roman" w:cs="Times New Roman" w:hint="eastAsia"/>
            <w:spacing w:val="-1"/>
            <w:sz w:val="18"/>
            <w:szCs w:val="18"/>
          </w:rPr>
          <w:t>号</w:t>
        </w:r>
      </w:hyperlink>
      <w:r w:rsidRPr="005A284F">
        <w:rPr>
          <w:rFonts w:ascii="Times New Roman" w:hAnsi="Times New Roman" w:cs="Times New Roman"/>
          <w:spacing w:val="-1"/>
          <w:sz w:val="18"/>
          <w:szCs w:val="18"/>
        </w:rPr>
        <w:t>)</w:t>
      </w:r>
      <w:r w:rsidRPr="005A284F">
        <w:rPr>
          <w:rFonts w:ascii="Times New Roman" w:hAnsi="Times New Roman" w:cs="Times New Roman"/>
          <w:spacing w:val="-1"/>
          <w:sz w:val="18"/>
          <w:szCs w:val="18"/>
        </w:rPr>
        <w:t>、《</w:t>
      </w:r>
      <w:hyperlink r:id="rId12" w:history="1">
        <w:r w:rsidR="000309B5" w:rsidRPr="00D15C4E">
          <w:rPr>
            <w:rFonts w:ascii="Times New Roman" w:hAnsi="Times New Roman" w:cs="Times New Roman" w:hint="eastAsia"/>
            <w:spacing w:val="-1"/>
            <w:sz w:val="18"/>
            <w:szCs w:val="18"/>
          </w:rPr>
          <w:t>财政部</w:t>
        </w:r>
        <w:r w:rsidR="000309B5" w:rsidRPr="00D15C4E">
          <w:rPr>
            <w:rFonts w:ascii="Times New Roman" w:hAnsi="Times New Roman" w:cs="Times New Roman"/>
            <w:spacing w:val="-1"/>
            <w:sz w:val="18"/>
            <w:szCs w:val="18"/>
          </w:rPr>
          <w:t xml:space="preserve"> </w:t>
        </w:r>
        <w:r w:rsidR="000309B5" w:rsidRPr="00D15C4E">
          <w:rPr>
            <w:rFonts w:ascii="Times New Roman" w:hAnsi="Times New Roman" w:cs="Times New Roman" w:hint="eastAsia"/>
            <w:spacing w:val="-1"/>
            <w:sz w:val="18"/>
            <w:szCs w:val="18"/>
          </w:rPr>
          <w:t>国家税务总局关于进一步完善固定资产加速折旧企业所得税政策的通知》</w:t>
        </w:r>
        <w:r w:rsidR="000309B5" w:rsidRPr="00D15C4E">
          <w:rPr>
            <w:rFonts w:ascii="Times New Roman" w:hAnsi="Times New Roman" w:cs="Times New Roman"/>
            <w:spacing w:val="-1"/>
            <w:sz w:val="18"/>
            <w:szCs w:val="18"/>
          </w:rPr>
          <w:t>(</w:t>
        </w:r>
        <w:r w:rsidR="000309B5" w:rsidRPr="00D15C4E">
          <w:rPr>
            <w:rFonts w:ascii="Times New Roman" w:hAnsi="Times New Roman" w:cs="Times New Roman" w:hint="eastAsia"/>
            <w:spacing w:val="-1"/>
            <w:sz w:val="18"/>
            <w:szCs w:val="18"/>
          </w:rPr>
          <w:t>财税〔</w:t>
        </w:r>
        <w:r w:rsidR="000309B5" w:rsidRPr="00D15C4E">
          <w:rPr>
            <w:rFonts w:ascii="Times New Roman" w:hAnsi="Times New Roman" w:cs="Times New Roman"/>
            <w:spacing w:val="-1"/>
            <w:sz w:val="18"/>
            <w:szCs w:val="18"/>
          </w:rPr>
          <w:t>2015</w:t>
        </w:r>
        <w:r w:rsidR="000309B5" w:rsidRPr="00D15C4E">
          <w:rPr>
            <w:rFonts w:ascii="Times New Roman" w:hAnsi="Times New Roman" w:cs="Times New Roman" w:hint="eastAsia"/>
            <w:spacing w:val="-1"/>
            <w:sz w:val="18"/>
            <w:szCs w:val="18"/>
          </w:rPr>
          <w:t>〕</w:t>
        </w:r>
        <w:r w:rsidR="000309B5" w:rsidRPr="00D15C4E">
          <w:rPr>
            <w:rFonts w:ascii="Times New Roman" w:hAnsi="Times New Roman" w:cs="Times New Roman"/>
            <w:spacing w:val="-1"/>
            <w:sz w:val="18"/>
            <w:szCs w:val="18"/>
          </w:rPr>
          <w:t>106</w:t>
        </w:r>
        <w:r w:rsidR="000309B5" w:rsidRPr="00D15C4E">
          <w:rPr>
            <w:rFonts w:ascii="Times New Roman" w:hAnsi="Times New Roman" w:cs="Times New Roman" w:hint="eastAsia"/>
            <w:spacing w:val="-1"/>
            <w:sz w:val="18"/>
            <w:szCs w:val="18"/>
          </w:rPr>
          <w:t>号</w:t>
        </w:r>
      </w:hyperlink>
      <w:r w:rsidRPr="005A284F">
        <w:rPr>
          <w:rFonts w:ascii="Times New Roman" w:hAnsi="Times New Roman" w:cs="Times New Roman"/>
          <w:spacing w:val="-1"/>
          <w:sz w:val="18"/>
          <w:szCs w:val="18"/>
        </w:rPr>
        <w:t>)</w:t>
      </w:r>
      <w:r w:rsidRPr="005A284F">
        <w:rPr>
          <w:rFonts w:ascii="Times New Roman" w:hAnsi="Times New Roman" w:cs="Times New Roman"/>
          <w:spacing w:val="-1"/>
          <w:sz w:val="18"/>
          <w:szCs w:val="18"/>
        </w:rPr>
        <w:t>等相关规定执行。</w:t>
      </w:r>
    </w:p>
    <w:p w14:paraId="47D44495"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176" w:name="_Toc989065"/>
      <w:r w:rsidRPr="005A284F">
        <w:rPr>
          <w:rFonts w:ascii="Times New Roman" w:eastAsia="宋体" w:hAnsi="Times New Roman" w:cs="Times New Roman"/>
          <w:b/>
          <w:bCs/>
          <w:sz w:val="24"/>
          <w:szCs w:val="24"/>
        </w:rPr>
        <w:t>七、合并财务报表项目注释</w:t>
      </w:r>
      <w:bookmarkEnd w:id="176"/>
    </w:p>
    <w:p w14:paraId="3557EF3B" w14:textId="77777777" w:rsidR="006C011D" w:rsidRPr="005A284F" w:rsidRDefault="00000000">
      <w:pPr>
        <w:pStyle w:val="3"/>
        <w:spacing w:line="280" w:lineRule="exact"/>
        <w:jc w:val="left"/>
        <w:rPr>
          <w:rFonts w:ascii="Times New Roman" w:hAnsi="Times New Roman" w:cs="Times New Roman"/>
          <w:b/>
          <w:bCs/>
        </w:rPr>
      </w:pPr>
      <w:bookmarkStart w:id="177" w:name="_Toc989066"/>
      <w:r w:rsidRPr="005A284F">
        <w:rPr>
          <w:rFonts w:ascii="Times New Roman" w:hAnsi="Times New Roman" w:cs="Times New Roman"/>
          <w:b/>
          <w:bCs/>
        </w:rPr>
        <w:t>1</w:t>
      </w:r>
      <w:r w:rsidRPr="005A284F">
        <w:rPr>
          <w:rFonts w:ascii="Times New Roman" w:hAnsi="Times New Roman" w:cs="Times New Roman"/>
          <w:b/>
          <w:bCs/>
        </w:rPr>
        <w:t>、货币资金</w:t>
      </w:r>
      <w:bookmarkEnd w:id="177"/>
    </w:p>
    <w:p w14:paraId="098181E1"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66EE8A0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60473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99D95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337A7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r>
      <w:tr w:rsidR="006C011D" w:rsidRPr="005A284F" w14:paraId="1AD34AE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3274CD"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库存现金</w:t>
            </w:r>
          </w:p>
        </w:tc>
        <w:tc>
          <w:tcPr>
            <w:tcW w:w="3213" w:type="dxa"/>
            <w:tcBorders>
              <w:top w:val="single" w:sz="2" w:space="0" w:color="auto"/>
              <w:left w:val="single" w:sz="2" w:space="0" w:color="auto"/>
              <w:bottom w:val="single" w:sz="2" w:space="0" w:color="auto"/>
              <w:right w:val="single" w:sz="2" w:space="0" w:color="auto"/>
            </w:tcBorders>
            <w:vAlign w:val="center"/>
          </w:tcPr>
          <w:p w14:paraId="72B7CE2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6,936.07</w:t>
            </w:r>
          </w:p>
        </w:tc>
        <w:tc>
          <w:tcPr>
            <w:tcW w:w="3213" w:type="dxa"/>
            <w:tcBorders>
              <w:top w:val="single" w:sz="2" w:space="0" w:color="auto"/>
              <w:left w:val="single" w:sz="2" w:space="0" w:color="auto"/>
              <w:bottom w:val="single" w:sz="2" w:space="0" w:color="auto"/>
              <w:right w:val="single" w:sz="2" w:space="0" w:color="auto"/>
            </w:tcBorders>
            <w:vAlign w:val="center"/>
          </w:tcPr>
          <w:p w14:paraId="106C039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5,599.86</w:t>
            </w:r>
          </w:p>
        </w:tc>
      </w:tr>
      <w:tr w:rsidR="006C011D" w:rsidRPr="005A284F" w14:paraId="7F3B872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EDEBA5"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银行存款</w:t>
            </w:r>
          </w:p>
        </w:tc>
        <w:tc>
          <w:tcPr>
            <w:tcW w:w="3213" w:type="dxa"/>
            <w:tcBorders>
              <w:top w:val="single" w:sz="2" w:space="0" w:color="auto"/>
              <w:left w:val="single" w:sz="2" w:space="0" w:color="auto"/>
              <w:bottom w:val="single" w:sz="2" w:space="0" w:color="auto"/>
              <w:right w:val="single" w:sz="2" w:space="0" w:color="auto"/>
            </w:tcBorders>
            <w:vAlign w:val="center"/>
          </w:tcPr>
          <w:p w14:paraId="6075DD5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660,038,975.08</w:t>
            </w:r>
          </w:p>
        </w:tc>
        <w:tc>
          <w:tcPr>
            <w:tcW w:w="3213" w:type="dxa"/>
            <w:tcBorders>
              <w:top w:val="single" w:sz="2" w:space="0" w:color="auto"/>
              <w:left w:val="single" w:sz="2" w:space="0" w:color="auto"/>
              <w:bottom w:val="single" w:sz="2" w:space="0" w:color="auto"/>
              <w:right w:val="single" w:sz="2" w:space="0" w:color="auto"/>
            </w:tcBorders>
            <w:vAlign w:val="center"/>
          </w:tcPr>
          <w:p w14:paraId="24B9995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628,153,339.03</w:t>
            </w:r>
          </w:p>
        </w:tc>
      </w:tr>
      <w:tr w:rsidR="006C011D" w:rsidRPr="005A284F" w14:paraId="49E0656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BD9F84"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其他货币资金</w:t>
            </w:r>
          </w:p>
        </w:tc>
        <w:tc>
          <w:tcPr>
            <w:tcW w:w="3213" w:type="dxa"/>
            <w:tcBorders>
              <w:top w:val="single" w:sz="2" w:space="0" w:color="auto"/>
              <w:left w:val="single" w:sz="2" w:space="0" w:color="auto"/>
              <w:bottom w:val="single" w:sz="2" w:space="0" w:color="auto"/>
              <w:right w:val="single" w:sz="2" w:space="0" w:color="auto"/>
            </w:tcBorders>
            <w:vAlign w:val="center"/>
          </w:tcPr>
          <w:p w14:paraId="6A9D609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312,513,622.85</w:t>
            </w:r>
          </w:p>
        </w:tc>
        <w:tc>
          <w:tcPr>
            <w:tcW w:w="3213" w:type="dxa"/>
            <w:tcBorders>
              <w:top w:val="single" w:sz="2" w:space="0" w:color="auto"/>
              <w:left w:val="single" w:sz="2" w:space="0" w:color="auto"/>
              <w:bottom w:val="single" w:sz="2" w:space="0" w:color="auto"/>
              <w:right w:val="single" w:sz="2" w:space="0" w:color="auto"/>
            </w:tcBorders>
            <w:vAlign w:val="center"/>
          </w:tcPr>
          <w:p w14:paraId="328F98A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341,958,640.88</w:t>
            </w:r>
          </w:p>
        </w:tc>
      </w:tr>
      <w:tr w:rsidR="006C011D" w:rsidRPr="005A284F" w14:paraId="2C03C76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9E4036"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121228C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972,559,534.00</w:t>
            </w:r>
          </w:p>
        </w:tc>
        <w:tc>
          <w:tcPr>
            <w:tcW w:w="3213" w:type="dxa"/>
            <w:tcBorders>
              <w:top w:val="single" w:sz="2" w:space="0" w:color="auto"/>
              <w:left w:val="single" w:sz="2" w:space="0" w:color="auto"/>
              <w:bottom w:val="single" w:sz="2" w:space="0" w:color="auto"/>
              <w:right w:val="single" w:sz="2" w:space="0" w:color="auto"/>
            </w:tcBorders>
            <w:vAlign w:val="center"/>
          </w:tcPr>
          <w:p w14:paraId="5DB2B62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970,117,579.77</w:t>
            </w:r>
          </w:p>
        </w:tc>
      </w:tr>
    </w:tbl>
    <w:p w14:paraId="2806435E"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w:t>
      </w:r>
    </w:p>
    <w:p w14:paraId="13532B6B" w14:textId="77777777" w:rsidR="000309B5" w:rsidRPr="005A284F" w:rsidRDefault="00000000">
      <w:pPr>
        <w:pStyle w:val="a3"/>
        <w:divId w:val="722022722"/>
        <w:rPr>
          <w:rFonts w:ascii="Times New Roman" w:hAnsi="Times New Roman" w:cs="Times New Roman"/>
          <w:sz w:val="18"/>
          <w:szCs w:val="18"/>
        </w:rPr>
      </w:pPr>
      <w:r w:rsidRPr="005A284F">
        <w:rPr>
          <w:rFonts w:ascii="Times New Roman" w:hAnsi="Times New Roman" w:cs="Times New Roman"/>
          <w:sz w:val="18"/>
          <w:szCs w:val="18"/>
        </w:rPr>
        <w:t>无</w:t>
      </w:r>
    </w:p>
    <w:p w14:paraId="78B5592C"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酒制造企业应详细披露是否存在与相关方建立资金共管账户等特殊利益安排的情形</w:t>
      </w:r>
    </w:p>
    <w:p w14:paraId="602ADAC1" w14:textId="77777777" w:rsidR="006C011D" w:rsidRPr="00D15C4E" w:rsidRDefault="00000000">
      <w:pPr>
        <w:spacing w:before="40" w:after="40" w:line="240" w:lineRule="exact"/>
        <w:rPr>
          <w:rFonts w:ascii="宋体" w:eastAsia="宋体" w:hAnsi="宋体" w:cs="Times New Roman" w:hint="eastAsia"/>
          <w:sz w:val="18"/>
          <w:szCs w:val="18"/>
        </w:rPr>
      </w:pPr>
      <w:r w:rsidRPr="00D15C4E">
        <w:rPr>
          <w:rFonts w:ascii="宋体" w:eastAsia="宋体" w:hAnsi="宋体" w:cs="Times New Roman"/>
          <w:sz w:val="18"/>
          <w:szCs w:val="18"/>
        </w:rPr>
        <w:t xml:space="preserve">□适用 </w:t>
      </w:r>
      <w:r w:rsidRPr="00D15C4E">
        <w:rPr>
          <w:rFonts w:ascii="宋体" w:eastAsia="宋体" w:hAnsi="宋体" w:cs="Times New Roman"/>
          <w:sz w:val="18"/>
          <w:szCs w:val="18"/>
        </w:rPr>
        <w:sym w:font="Wingdings 2" w:char="F052"/>
      </w:r>
      <w:r w:rsidRPr="00D15C4E">
        <w:rPr>
          <w:rFonts w:ascii="宋体" w:eastAsia="宋体" w:hAnsi="宋体" w:cs="Times New Roman"/>
          <w:sz w:val="18"/>
          <w:szCs w:val="18"/>
        </w:rPr>
        <w:t>不适用</w:t>
      </w:r>
    </w:p>
    <w:p w14:paraId="6716FBFF" w14:textId="77777777" w:rsidR="006C011D" w:rsidRPr="005A284F" w:rsidRDefault="00000000">
      <w:pPr>
        <w:pStyle w:val="3"/>
        <w:spacing w:line="280" w:lineRule="exact"/>
        <w:jc w:val="left"/>
        <w:rPr>
          <w:rFonts w:ascii="Times New Roman" w:hAnsi="Times New Roman" w:cs="Times New Roman"/>
          <w:b/>
          <w:bCs/>
        </w:rPr>
      </w:pPr>
      <w:bookmarkStart w:id="178" w:name="_Toc989067"/>
      <w:r w:rsidRPr="005A284F">
        <w:rPr>
          <w:rFonts w:ascii="Times New Roman" w:hAnsi="Times New Roman" w:cs="Times New Roman"/>
          <w:b/>
          <w:bCs/>
        </w:rPr>
        <w:t>2</w:t>
      </w:r>
      <w:r w:rsidRPr="005A284F">
        <w:rPr>
          <w:rFonts w:ascii="Times New Roman" w:hAnsi="Times New Roman" w:cs="Times New Roman"/>
          <w:b/>
          <w:bCs/>
        </w:rPr>
        <w:t>、交易性金融资产</w:t>
      </w:r>
      <w:bookmarkEnd w:id="178"/>
    </w:p>
    <w:p w14:paraId="77CE5653"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5B6738B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D2B58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8B9E6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4836B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r>
      <w:tr w:rsidR="006C011D" w:rsidRPr="005A284F" w14:paraId="257C28A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F8579F"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以公允价值计量且其变动计入当期损益的金融资产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4F4621A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08550D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1,293,700.05</w:t>
            </w:r>
          </w:p>
        </w:tc>
      </w:tr>
      <w:tr w:rsidR="006C011D" w:rsidRPr="005A284F" w14:paraId="7288EF1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300D2C" w14:textId="77777777" w:rsidR="006C011D" w:rsidRPr="005A284F" w:rsidRDefault="00000000">
            <w:pPr>
              <w:spacing w:before="40" w:after="4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其中：</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76128B" w14:textId="77777777" w:rsidR="006C011D" w:rsidRPr="005A284F" w:rsidRDefault="006C011D">
            <w:pPr>
              <w:rPr>
                <w:rFonts w:ascii="Times New Roman" w:eastAsia="宋体"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B25C3A" w14:textId="77777777" w:rsidR="006C011D" w:rsidRPr="005A284F" w:rsidRDefault="006C011D">
            <w:pPr>
              <w:rPr>
                <w:rFonts w:ascii="Times New Roman" w:eastAsia="宋体" w:hAnsi="Times New Roman" w:cs="Times New Roman"/>
              </w:rPr>
            </w:pPr>
          </w:p>
        </w:tc>
      </w:tr>
      <w:tr w:rsidR="006C011D" w:rsidRPr="005A284F" w14:paraId="1252F754"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A4A27C5" w14:textId="77777777" w:rsidR="006C011D" w:rsidRPr="005A284F" w:rsidRDefault="00000000" w:rsidP="00A63401">
            <w:pPr>
              <w:spacing w:after="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股票</w:t>
            </w:r>
          </w:p>
        </w:tc>
        <w:tc>
          <w:tcPr>
            <w:tcW w:w="3213" w:type="dxa"/>
            <w:tcBorders>
              <w:top w:val="single" w:sz="2" w:space="0" w:color="auto"/>
              <w:left w:val="single" w:sz="2" w:space="0" w:color="auto"/>
              <w:bottom w:val="single" w:sz="2" w:space="0" w:color="auto"/>
              <w:right w:val="single" w:sz="2" w:space="0" w:color="auto"/>
            </w:tcBorders>
            <w:vAlign w:val="center"/>
          </w:tcPr>
          <w:p w14:paraId="59E46A5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AD040C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1,293,700.05</w:t>
            </w:r>
          </w:p>
        </w:tc>
      </w:tr>
      <w:tr w:rsidR="006C011D" w:rsidRPr="005A284F" w14:paraId="24EFCA4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E718DA" w14:textId="77777777" w:rsidR="006C011D" w:rsidRPr="005A284F" w:rsidRDefault="00000000">
            <w:pPr>
              <w:spacing w:before="40" w:after="4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其中：</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B113AD" w14:textId="77777777" w:rsidR="006C011D" w:rsidRPr="005A284F" w:rsidRDefault="006C011D">
            <w:pPr>
              <w:rPr>
                <w:rFonts w:ascii="Times New Roman" w:eastAsia="宋体"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4C9B54" w14:textId="77777777" w:rsidR="006C011D" w:rsidRPr="005A284F" w:rsidRDefault="006C011D">
            <w:pPr>
              <w:rPr>
                <w:rFonts w:ascii="Times New Roman" w:eastAsia="宋体" w:hAnsi="Times New Roman" w:cs="Times New Roman"/>
              </w:rPr>
            </w:pPr>
          </w:p>
        </w:tc>
      </w:tr>
      <w:tr w:rsidR="006C011D" w:rsidRPr="005A284F" w14:paraId="26A7F8D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3084D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6655E5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14:paraId="39E1CDF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1,293,700.05</w:t>
            </w:r>
          </w:p>
        </w:tc>
      </w:tr>
    </w:tbl>
    <w:p w14:paraId="15031898"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w:t>
      </w:r>
    </w:p>
    <w:p w14:paraId="32D33EAF" w14:textId="77777777" w:rsidR="000309B5" w:rsidRPr="005A284F" w:rsidRDefault="00000000">
      <w:pPr>
        <w:pStyle w:val="a3"/>
        <w:spacing w:before="0" w:beforeAutospacing="0" w:after="0" w:afterAutospacing="0" w:line="273" w:lineRule="auto"/>
        <w:ind w:firstLine="356"/>
        <w:jc w:val="both"/>
        <w:divId w:val="809205451"/>
        <w:rPr>
          <w:rFonts w:ascii="Times New Roman" w:hAnsi="Times New Roman" w:cs="Times New Roman"/>
        </w:rPr>
      </w:pPr>
      <w:r w:rsidRPr="005A284F">
        <w:rPr>
          <w:rFonts w:ascii="Times New Roman" w:hAnsi="Times New Roman" w:cs="Times New Roman"/>
          <w:spacing w:val="-1"/>
          <w:sz w:val="18"/>
          <w:szCs w:val="18"/>
        </w:rPr>
        <w:t>2024</w:t>
      </w:r>
      <w:r w:rsidRPr="005A284F">
        <w:rPr>
          <w:rFonts w:ascii="Times New Roman" w:hAnsi="Times New Roman" w:cs="Times New Roman"/>
          <w:spacing w:val="-1"/>
          <w:sz w:val="18"/>
          <w:szCs w:val="18"/>
        </w:rPr>
        <w:t>年</w:t>
      </w:r>
      <w:r w:rsidRPr="005A284F">
        <w:rPr>
          <w:rFonts w:ascii="Times New Roman" w:hAnsi="Times New Roman" w:cs="Times New Roman"/>
          <w:spacing w:val="-1"/>
          <w:sz w:val="18"/>
          <w:szCs w:val="18"/>
        </w:rPr>
        <w:t>10</w:t>
      </w:r>
      <w:r w:rsidRPr="005A284F">
        <w:rPr>
          <w:rFonts w:ascii="Times New Roman" w:hAnsi="Times New Roman" w:cs="Times New Roman"/>
          <w:spacing w:val="-1"/>
          <w:sz w:val="18"/>
          <w:szCs w:val="18"/>
        </w:rPr>
        <w:t>月</w:t>
      </w:r>
      <w:r w:rsidRPr="005A284F">
        <w:rPr>
          <w:rFonts w:ascii="Times New Roman" w:hAnsi="Times New Roman" w:cs="Times New Roman"/>
          <w:spacing w:val="-1"/>
          <w:sz w:val="18"/>
          <w:szCs w:val="18"/>
        </w:rPr>
        <w:t>18</w:t>
      </w:r>
      <w:r w:rsidRPr="005A284F">
        <w:rPr>
          <w:rFonts w:ascii="Times New Roman" w:hAnsi="Times New Roman" w:cs="Times New Roman"/>
          <w:spacing w:val="-1"/>
          <w:sz w:val="18"/>
          <w:szCs w:val="18"/>
        </w:rPr>
        <w:t>日，根据步步高商业连锁股份有限公司重整方案，公司作为其债权人，通过以股抵债，获得其股票</w:t>
      </w:r>
      <w:r w:rsidRPr="005A284F">
        <w:rPr>
          <w:rFonts w:ascii="Times New Roman" w:hAnsi="Times New Roman" w:cs="Times New Roman"/>
          <w:spacing w:val="-1"/>
          <w:sz w:val="18"/>
          <w:szCs w:val="18"/>
        </w:rPr>
        <w:t>647,519</w:t>
      </w:r>
      <w:r w:rsidRPr="005A284F">
        <w:rPr>
          <w:rFonts w:ascii="Times New Roman" w:hAnsi="Times New Roman" w:cs="Times New Roman"/>
          <w:spacing w:val="-1"/>
          <w:sz w:val="18"/>
          <w:szCs w:val="18"/>
        </w:rPr>
        <w:t>股。截至报告期末，该交易性金融资产已全部卖出。</w:t>
      </w:r>
    </w:p>
    <w:p w14:paraId="6D1893A4" w14:textId="77777777" w:rsidR="006C011D" w:rsidRPr="005A284F" w:rsidRDefault="00000000">
      <w:pPr>
        <w:pStyle w:val="3"/>
        <w:spacing w:line="280" w:lineRule="exact"/>
        <w:jc w:val="left"/>
        <w:rPr>
          <w:rFonts w:ascii="Times New Roman" w:hAnsi="Times New Roman" w:cs="Times New Roman"/>
          <w:b/>
          <w:bCs/>
        </w:rPr>
      </w:pPr>
      <w:bookmarkStart w:id="179" w:name="_Toc989068"/>
      <w:r w:rsidRPr="005A284F">
        <w:rPr>
          <w:rFonts w:ascii="Times New Roman" w:hAnsi="Times New Roman" w:cs="Times New Roman"/>
          <w:b/>
          <w:bCs/>
        </w:rPr>
        <w:t>3</w:t>
      </w:r>
      <w:r w:rsidRPr="005A284F">
        <w:rPr>
          <w:rFonts w:ascii="Times New Roman" w:hAnsi="Times New Roman" w:cs="Times New Roman"/>
          <w:b/>
          <w:bCs/>
        </w:rPr>
        <w:t>、衍生金融资产</w:t>
      </w:r>
      <w:bookmarkEnd w:id="179"/>
    </w:p>
    <w:p w14:paraId="47FBB8EE" w14:textId="77777777" w:rsidR="000309B5" w:rsidRPr="005A284F" w:rsidRDefault="00000000">
      <w:pPr>
        <w:pStyle w:val="a3"/>
        <w:divId w:val="269826577"/>
        <w:rPr>
          <w:rFonts w:ascii="Times New Roman" w:hAnsi="Times New Roman" w:cs="Times New Roman"/>
          <w:sz w:val="18"/>
          <w:szCs w:val="18"/>
        </w:rPr>
      </w:pPr>
      <w:r w:rsidRPr="005A284F">
        <w:rPr>
          <w:rFonts w:ascii="Times New Roman" w:hAnsi="Times New Roman" w:cs="Times New Roman"/>
          <w:sz w:val="18"/>
          <w:szCs w:val="18"/>
        </w:rPr>
        <w:t>无</w:t>
      </w:r>
    </w:p>
    <w:p w14:paraId="1EF251D0" w14:textId="77777777" w:rsidR="006C011D" w:rsidRPr="005A284F" w:rsidRDefault="00000000">
      <w:pPr>
        <w:pStyle w:val="3"/>
        <w:spacing w:line="280" w:lineRule="exact"/>
        <w:jc w:val="left"/>
        <w:rPr>
          <w:rFonts w:ascii="Times New Roman" w:hAnsi="Times New Roman" w:cs="Times New Roman"/>
          <w:b/>
          <w:bCs/>
        </w:rPr>
      </w:pPr>
      <w:bookmarkStart w:id="180" w:name="_Toc989069"/>
      <w:r w:rsidRPr="005A284F">
        <w:rPr>
          <w:rFonts w:ascii="Times New Roman" w:hAnsi="Times New Roman" w:cs="Times New Roman"/>
          <w:b/>
          <w:bCs/>
        </w:rPr>
        <w:t>4</w:t>
      </w:r>
      <w:r w:rsidRPr="005A284F">
        <w:rPr>
          <w:rFonts w:ascii="Times New Roman" w:hAnsi="Times New Roman" w:cs="Times New Roman"/>
          <w:b/>
          <w:bCs/>
        </w:rPr>
        <w:t>、应收票据</w:t>
      </w:r>
      <w:bookmarkEnd w:id="180"/>
    </w:p>
    <w:p w14:paraId="513959C0" w14:textId="26DE6795"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181" w:name="_Toc989070"/>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1</w:t>
      </w:r>
      <w:r w:rsidRPr="005A284F">
        <w:rPr>
          <w:rFonts w:ascii="Times New Roman" w:eastAsia="宋体" w:hAnsi="Times New Roman" w:cs="Times New Roman"/>
          <w:b/>
          <w:bCs/>
          <w:sz w:val="21"/>
          <w:szCs w:val="21"/>
        </w:rPr>
        <w:t>）应收票据分类列示</w:t>
      </w:r>
      <w:bookmarkEnd w:id="181"/>
    </w:p>
    <w:p w14:paraId="2034F5A4" w14:textId="5A7FB149"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1D24862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C054B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7EDCE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ED5D6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r>
      <w:tr w:rsidR="006C011D" w:rsidRPr="005A284F" w14:paraId="044B90B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3AF17D"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银行承兑票据</w:t>
            </w:r>
          </w:p>
        </w:tc>
        <w:tc>
          <w:tcPr>
            <w:tcW w:w="3213" w:type="dxa"/>
            <w:tcBorders>
              <w:top w:val="single" w:sz="2" w:space="0" w:color="auto"/>
              <w:left w:val="single" w:sz="2" w:space="0" w:color="auto"/>
              <w:bottom w:val="single" w:sz="2" w:space="0" w:color="auto"/>
              <w:right w:val="single" w:sz="2" w:space="0" w:color="auto"/>
            </w:tcBorders>
            <w:vAlign w:val="center"/>
          </w:tcPr>
          <w:p w14:paraId="794F1D2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3,053,839.61</w:t>
            </w:r>
          </w:p>
        </w:tc>
        <w:tc>
          <w:tcPr>
            <w:tcW w:w="3213" w:type="dxa"/>
            <w:tcBorders>
              <w:top w:val="single" w:sz="2" w:space="0" w:color="auto"/>
              <w:left w:val="single" w:sz="2" w:space="0" w:color="auto"/>
              <w:bottom w:val="single" w:sz="2" w:space="0" w:color="auto"/>
              <w:right w:val="single" w:sz="2" w:space="0" w:color="auto"/>
            </w:tcBorders>
            <w:vAlign w:val="center"/>
          </w:tcPr>
          <w:p w14:paraId="6B1E4BB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4,765,410.11</w:t>
            </w:r>
          </w:p>
        </w:tc>
      </w:tr>
      <w:tr w:rsidR="006C011D" w:rsidRPr="005A284F" w14:paraId="7AAC54E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FB58E0"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28D838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3,053,839.61</w:t>
            </w:r>
          </w:p>
        </w:tc>
        <w:tc>
          <w:tcPr>
            <w:tcW w:w="3213" w:type="dxa"/>
            <w:tcBorders>
              <w:top w:val="single" w:sz="2" w:space="0" w:color="auto"/>
              <w:left w:val="single" w:sz="2" w:space="0" w:color="auto"/>
              <w:bottom w:val="single" w:sz="2" w:space="0" w:color="auto"/>
              <w:right w:val="single" w:sz="2" w:space="0" w:color="auto"/>
            </w:tcBorders>
            <w:vAlign w:val="center"/>
          </w:tcPr>
          <w:p w14:paraId="09FAEEE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4,765,410.11</w:t>
            </w:r>
          </w:p>
        </w:tc>
      </w:tr>
    </w:tbl>
    <w:p w14:paraId="40434210" w14:textId="5D53B9F9"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182" w:name="_Toc989071"/>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2</w:t>
      </w:r>
      <w:r w:rsidRPr="005A284F">
        <w:rPr>
          <w:rFonts w:ascii="Times New Roman" w:eastAsia="宋体" w:hAnsi="Times New Roman" w:cs="Times New Roman"/>
          <w:b/>
          <w:bCs/>
          <w:sz w:val="21"/>
          <w:szCs w:val="21"/>
        </w:rPr>
        <w:t>）按坏账计提方法分类披露</w:t>
      </w:r>
      <w:bookmarkEnd w:id="182"/>
    </w:p>
    <w:p w14:paraId="455BBF00" w14:textId="77777777" w:rsidR="006C011D" w:rsidRPr="00EC4E04" w:rsidRDefault="00000000">
      <w:pPr>
        <w:spacing w:before="100" w:after="100" w:line="240" w:lineRule="exact"/>
        <w:rPr>
          <w:rFonts w:ascii="宋体" w:eastAsia="宋体" w:hAnsi="宋体" w:cs="Times New Roman" w:hint="eastAsia"/>
          <w:sz w:val="18"/>
          <w:szCs w:val="18"/>
        </w:rPr>
      </w:pPr>
      <w:r w:rsidRPr="00EC4E04">
        <w:rPr>
          <w:rFonts w:ascii="宋体" w:eastAsia="宋体" w:hAnsi="宋体" w:cs="Times New Roman"/>
          <w:sz w:val="18"/>
          <w:szCs w:val="18"/>
        </w:rPr>
        <w:t xml:space="preserve">□适用 </w:t>
      </w:r>
      <w:r w:rsidRPr="00EC4E04">
        <w:rPr>
          <w:rFonts w:ascii="宋体" w:eastAsia="宋体" w:hAnsi="宋体" w:cs="Times New Roman"/>
          <w:sz w:val="18"/>
          <w:szCs w:val="18"/>
        </w:rPr>
        <w:sym w:font="Wingdings 2" w:char="F052"/>
      </w:r>
      <w:r w:rsidRPr="00EC4E04">
        <w:rPr>
          <w:rFonts w:ascii="宋体" w:eastAsia="宋体" w:hAnsi="宋体" w:cs="Times New Roman"/>
          <w:sz w:val="18"/>
          <w:szCs w:val="18"/>
        </w:rPr>
        <w:t>不适用</w:t>
      </w:r>
    </w:p>
    <w:p w14:paraId="6BBB405C" w14:textId="29ECDE2A"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183" w:name="_Toc989072"/>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3</w:t>
      </w:r>
      <w:r w:rsidRPr="005A284F">
        <w:rPr>
          <w:rFonts w:ascii="Times New Roman" w:eastAsia="宋体" w:hAnsi="Times New Roman" w:cs="Times New Roman"/>
          <w:b/>
          <w:bCs/>
          <w:sz w:val="21"/>
          <w:szCs w:val="21"/>
        </w:rPr>
        <w:t>）本期计提、收回或转回的坏账准备情况</w:t>
      </w:r>
      <w:bookmarkEnd w:id="183"/>
    </w:p>
    <w:p w14:paraId="1003A569" w14:textId="77777777" w:rsidR="006C011D" w:rsidRPr="00EC4E04" w:rsidRDefault="00000000" w:rsidP="00EC4E04">
      <w:pPr>
        <w:spacing w:before="100" w:after="100" w:line="240" w:lineRule="exact"/>
        <w:rPr>
          <w:rFonts w:ascii="宋体" w:eastAsia="宋体" w:hAnsi="宋体" w:cs="Times New Roman" w:hint="eastAsia"/>
          <w:sz w:val="18"/>
          <w:szCs w:val="18"/>
        </w:rPr>
      </w:pPr>
      <w:r w:rsidRPr="00EC4E04">
        <w:rPr>
          <w:rFonts w:ascii="宋体" w:eastAsia="宋体" w:hAnsi="宋体" w:cs="Times New Roman"/>
          <w:sz w:val="18"/>
          <w:szCs w:val="18"/>
        </w:rPr>
        <w:t xml:space="preserve">□适用 </w:t>
      </w:r>
      <w:r w:rsidRPr="00EC4E04">
        <w:rPr>
          <w:rFonts w:ascii="宋体" w:eastAsia="宋体" w:hAnsi="宋体" w:cs="Times New Roman"/>
          <w:sz w:val="18"/>
          <w:szCs w:val="18"/>
        </w:rPr>
        <w:sym w:font="Wingdings 2" w:char="F052"/>
      </w:r>
      <w:r w:rsidRPr="00EC4E04">
        <w:rPr>
          <w:rFonts w:ascii="宋体" w:eastAsia="宋体" w:hAnsi="宋体" w:cs="Times New Roman"/>
          <w:sz w:val="18"/>
          <w:szCs w:val="18"/>
        </w:rPr>
        <w:t>不适用</w:t>
      </w:r>
    </w:p>
    <w:p w14:paraId="2A8DC667" w14:textId="70EC079C" w:rsidR="00EC4E04" w:rsidRDefault="00000000" w:rsidP="00EC4E04">
      <w:pPr>
        <w:pStyle w:val="a3"/>
        <w:rPr>
          <w:rFonts w:ascii="Times New Roman" w:hAnsi="Times New Roman" w:cs="Times New Roman"/>
          <w:b/>
          <w:bCs/>
          <w:sz w:val="21"/>
          <w:szCs w:val="21"/>
        </w:rPr>
      </w:pPr>
      <w:bookmarkStart w:id="184" w:name="_Toc989073"/>
      <w:r w:rsidRPr="005A284F">
        <w:rPr>
          <w:rFonts w:ascii="Times New Roman" w:hAnsi="Times New Roman" w:cs="Times New Roman"/>
          <w:b/>
          <w:bCs/>
          <w:sz w:val="21"/>
          <w:szCs w:val="21"/>
        </w:rPr>
        <w:t>（</w:t>
      </w:r>
      <w:r w:rsidRPr="005A284F">
        <w:rPr>
          <w:rFonts w:ascii="Times New Roman" w:hAnsi="Times New Roman" w:cs="Times New Roman"/>
          <w:b/>
          <w:bCs/>
          <w:sz w:val="21"/>
          <w:szCs w:val="21"/>
        </w:rPr>
        <w:t>4</w:t>
      </w:r>
      <w:r w:rsidRPr="005A284F">
        <w:rPr>
          <w:rFonts w:ascii="Times New Roman" w:hAnsi="Times New Roman" w:cs="Times New Roman"/>
          <w:b/>
          <w:bCs/>
          <w:sz w:val="21"/>
          <w:szCs w:val="21"/>
        </w:rPr>
        <w:t>）期末公司已质押的应收票据</w:t>
      </w:r>
      <w:bookmarkStart w:id="185" w:name="_Toc989074"/>
      <w:bookmarkEnd w:id="184"/>
    </w:p>
    <w:p w14:paraId="5C94CC4F" w14:textId="55654ED3" w:rsidR="00EC4E04" w:rsidRPr="005A284F" w:rsidRDefault="00EC4E04" w:rsidP="00EC4E04">
      <w:pPr>
        <w:pStyle w:val="a3"/>
        <w:rPr>
          <w:rFonts w:ascii="Times New Roman" w:hAnsi="Times New Roman" w:cs="Times New Roman"/>
          <w:sz w:val="18"/>
          <w:szCs w:val="18"/>
        </w:rPr>
      </w:pPr>
      <w:r w:rsidRPr="005A284F">
        <w:rPr>
          <w:rFonts w:ascii="Times New Roman" w:hAnsi="Times New Roman" w:cs="Times New Roman"/>
          <w:sz w:val="18"/>
          <w:szCs w:val="18"/>
        </w:rPr>
        <w:t>无</w:t>
      </w:r>
    </w:p>
    <w:p w14:paraId="2741ADA2" w14:textId="1C01176A" w:rsidR="006C011D" w:rsidRPr="005A284F" w:rsidRDefault="00000000" w:rsidP="00EC4E04">
      <w:pPr>
        <w:keepNext/>
        <w:keepLines/>
        <w:spacing w:before="300" w:after="300" w:line="280" w:lineRule="exact"/>
        <w:outlineLvl w:val="3"/>
        <w:rPr>
          <w:rFonts w:ascii="Times New Roman" w:eastAsia="宋体" w:hAnsi="Times New Roman" w:cs="Times New Roman"/>
          <w:b/>
          <w:bCs/>
          <w:sz w:val="21"/>
          <w:szCs w:val="21"/>
        </w:rPr>
      </w:pPr>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5</w:t>
      </w:r>
      <w:r w:rsidRPr="005A284F">
        <w:rPr>
          <w:rFonts w:ascii="Times New Roman" w:eastAsia="宋体" w:hAnsi="Times New Roman" w:cs="Times New Roman"/>
          <w:b/>
          <w:bCs/>
          <w:sz w:val="21"/>
          <w:szCs w:val="21"/>
        </w:rPr>
        <w:t>）期末公司已背书或贴现且在资产负债表日尚未到期的应收票据</w:t>
      </w:r>
      <w:bookmarkEnd w:id="185"/>
    </w:p>
    <w:p w14:paraId="3EAEE835" w14:textId="77777777" w:rsidR="00EE3DD0" w:rsidRDefault="00EE3DD0">
      <w:pPr>
        <w:spacing w:before="40" w:after="40" w:line="240" w:lineRule="exact"/>
        <w:jc w:val="right"/>
        <w:rPr>
          <w:rFonts w:ascii="Times New Roman" w:eastAsia="宋体" w:hAnsi="Times New Roman" w:cs="Times New Roman"/>
          <w:sz w:val="18"/>
          <w:szCs w:val="18"/>
        </w:rPr>
      </w:pPr>
    </w:p>
    <w:p w14:paraId="1DAEF56C" w14:textId="62B46C62"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6F746B2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09F45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EFB21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期末终止确认金额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8F887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期末未终止确认金额</w:t>
            </w:r>
          </w:p>
        </w:tc>
      </w:tr>
      <w:tr w:rsidR="006C011D" w:rsidRPr="005A284F" w14:paraId="017C049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403459"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银行承兑票据</w:t>
            </w:r>
          </w:p>
        </w:tc>
        <w:tc>
          <w:tcPr>
            <w:tcW w:w="3213" w:type="dxa"/>
            <w:tcBorders>
              <w:top w:val="single" w:sz="2" w:space="0" w:color="auto"/>
              <w:left w:val="single" w:sz="2" w:space="0" w:color="auto"/>
              <w:bottom w:val="single" w:sz="2" w:space="0" w:color="auto"/>
              <w:right w:val="single" w:sz="2" w:space="0" w:color="auto"/>
            </w:tcBorders>
            <w:vAlign w:val="center"/>
          </w:tcPr>
          <w:p w14:paraId="1A25318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2,744,826.20</w:t>
            </w:r>
          </w:p>
        </w:tc>
        <w:tc>
          <w:tcPr>
            <w:tcW w:w="3213" w:type="dxa"/>
            <w:tcBorders>
              <w:top w:val="single" w:sz="2" w:space="0" w:color="auto"/>
              <w:left w:val="single" w:sz="2" w:space="0" w:color="auto"/>
              <w:bottom w:val="single" w:sz="2" w:space="0" w:color="auto"/>
              <w:right w:val="single" w:sz="2" w:space="0" w:color="auto"/>
            </w:tcBorders>
            <w:vAlign w:val="center"/>
          </w:tcPr>
          <w:p w14:paraId="1FEA7AF6"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5E31393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C7CFF3"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581434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2,744,826.20</w:t>
            </w:r>
          </w:p>
        </w:tc>
        <w:tc>
          <w:tcPr>
            <w:tcW w:w="3213" w:type="dxa"/>
            <w:tcBorders>
              <w:top w:val="single" w:sz="2" w:space="0" w:color="auto"/>
              <w:left w:val="single" w:sz="2" w:space="0" w:color="auto"/>
              <w:bottom w:val="single" w:sz="2" w:space="0" w:color="auto"/>
              <w:right w:val="single" w:sz="2" w:space="0" w:color="auto"/>
            </w:tcBorders>
            <w:vAlign w:val="center"/>
          </w:tcPr>
          <w:p w14:paraId="0AFE7092" w14:textId="77777777" w:rsidR="006C011D" w:rsidRPr="005A284F" w:rsidRDefault="006C011D">
            <w:pPr>
              <w:spacing w:after="0" w:line="240" w:lineRule="exact"/>
              <w:jc w:val="right"/>
              <w:rPr>
                <w:rFonts w:ascii="Times New Roman" w:eastAsia="宋体" w:hAnsi="Times New Roman" w:cs="Times New Roman"/>
                <w:sz w:val="18"/>
                <w:szCs w:val="18"/>
              </w:rPr>
            </w:pPr>
          </w:p>
        </w:tc>
      </w:tr>
    </w:tbl>
    <w:p w14:paraId="216C4128" w14:textId="7F13B9B6"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186" w:name="_Toc989075"/>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6</w:t>
      </w:r>
      <w:r w:rsidRPr="005A284F">
        <w:rPr>
          <w:rFonts w:ascii="Times New Roman" w:eastAsia="宋体" w:hAnsi="Times New Roman" w:cs="Times New Roman"/>
          <w:b/>
          <w:bCs/>
          <w:sz w:val="21"/>
          <w:szCs w:val="21"/>
        </w:rPr>
        <w:t>）本期实际核销的应收票据情况</w:t>
      </w:r>
      <w:bookmarkEnd w:id="186"/>
    </w:p>
    <w:p w14:paraId="277B5FAB" w14:textId="77777777" w:rsidR="000309B5" w:rsidRPr="005A284F" w:rsidRDefault="00000000">
      <w:pPr>
        <w:pStyle w:val="a3"/>
        <w:divId w:val="1492939543"/>
        <w:rPr>
          <w:rFonts w:ascii="Times New Roman" w:hAnsi="Times New Roman" w:cs="Times New Roman"/>
          <w:sz w:val="18"/>
          <w:szCs w:val="18"/>
        </w:rPr>
      </w:pPr>
      <w:r w:rsidRPr="005A284F">
        <w:rPr>
          <w:rFonts w:ascii="Times New Roman" w:hAnsi="Times New Roman" w:cs="Times New Roman"/>
          <w:sz w:val="18"/>
          <w:szCs w:val="18"/>
        </w:rPr>
        <w:t>无</w:t>
      </w:r>
    </w:p>
    <w:p w14:paraId="4311F2EB" w14:textId="77777777" w:rsidR="006C011D" w:rsidRPr="005A284F" w:rsidRDefault="00000000">
      <w:pPr>
        <w:pStyle w:val="3"/>
        <w:spacing w:line="280" w:lineRule="exact"/>
        <w:jc w:val="left"/>
        <w:rPr>
          <w:rFonts w:ascii="Times New Roman" w:hAnsi="Times New Roman" w:cs="Times New Roman"/>
          <w:b/>
          <w:bCs/>
        </w:rPr>
      </w:pPr>
      <w:bookmarkStart w:id="187" w:name="_Toc989076"/>
      <w:r w:rsidRPr="005A284F">
        <w:rPr>
          <w:rFonts w:ascii="Times New Roman" w:hAnsi="Times New Roman" w:cs="Times New Roman"/>
          <w:b/>
          <w:bCs/>
        </w:rPr>
        <w:t>5</w:t>
      </w:r>
      <w:r w:rsidRPr="005A284F">
        <w:rPr>
          <w:rFonts w:ascii="Times New Roman" w:hAnsi="Times New Roman" w:cs="Times New Roman"/>
          <w:b/>
          <w:bCs/>
        </w:rPr>
        <w:t>、应收账款</w:t>
      </w:r>
      <w:bookmarkEnd w:id="187"/>
    </w:p>
    <w:p w14:paraId="22A10C5F" w14:textId="32C86DC2"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188" w:name="_Toc989077"/>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1</w:t>
      </w:r>
      <w:r w:rsidRPr="005A284F">
        <w:rPr>
          <w:rFonts w:ascii="Times New Roman" w:eastAsia="宋体" w:hAnsi="Times New Roman" w:cs="Times New Roman"/>
          <w:b/>
          <w:bCs/>
          <w:sz w:val="21"/>
          <w:szCs w:val="21"/>
        </w:rPr>
        <w:t>）按账龄披露</w:t>
      </w:r>
      <w:bookmarkEnd w:id="188"/>
    </w:p>
    <w:p w14:paraId="17645AAD" w14:textId="77777777" w:rsidR="006C011D" w:rsidRPr="005A284F" w:rsidRDefault="00000000">
      <w:pPr>
        <w:spacing w:before="120" w:after="12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5D10E77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F7613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5A121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74C75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期初账面余额</w:t>
            </w:r>
          </w:p>
        </w:tc>
      </w:tr>
      <w:tr w:rsidR="006C011D" w:rsidRPr="005A284F" w14:paraId="41BCF98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8BBDC7"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年以内（含</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47FC726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391,012,831.75</w:t>
            </w:r>
          </w:p>
        </w:tc>
        <w:tc>
          <w:tcPr>
            <w:tcW w:w="3213" w:type="dxa"/>
            <w:tcBorders>
              <w:top w:val="single" w:sz="2" w:space="0" w:color="auto"/>
              <w:left w:val="single" w:sz="2" w:space="0" w:color="auto"/>
              <w:bottom w:val="single" w:sz="2" w:space="0" w:color="auto"/>
              <w:right w:val="single" w:sz="2" w:space="0" w:color="auto"/>
            </w:tcBorders>
            <w:vAlign w:val="center"/>
          </w:tcPr>
          <w:p w14:paraId="3ABEB89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402,662,121.70</w:t>
            </w:r>
          </w:p>
        </w:tc>
      </w:tr>
      <w:tr w:rsidR="006C011D" w:rsidRPr="005A284F" w14:paraId="18CAFAD9"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9BEC85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1-3</w:t>
            </w:r>
            <w:r w:rsidRPr="005A284F">
              <w:rPr>
                <w:rFonts w:ascii="Times New Roman" w:eastAsia="宋体" w:hAnsi="Times New Roman" w:cs="Times New Roman"/>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77180F2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336,974,641.13</w:t>
            </w:r>
          </w:p>
        </w:tc>
        <w:tc>
          <w:tcPr>
            <w:tcW w:w="3213" w:type="dxa"/>
            <w:tcBorders>
              <w:top w:val="single" w:sz="2" w:space="0" w:color="auto"/>
              <w:left w:val="single" w:sz="2" w:space="0" w:color="auto"/>
              <w:bottom w:val="single" w:sz="2" w:space="0" w:color="auto"/>
              <w:right w:val="single" w:sz="2" w:space="0" w:color="auto"/>
            </w:tcBorders>
            <w:vAlign w:val="center"/>
          </w:tcPr>
          <w:p w14:paraId="71099CA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369,427,226.14</w:t>
            </w:r>
          </w:p>
        </w:tc>
      </w:tr>
      <w:tr w:rsidR="006C011D" w:rsidRPr="005A284F" w14:paraId="73332DB4"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E06246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4-6</w:t>
            </w:r>
            <w:r w:rsidRPr="005A284F">
              <w:rPr>
                <w:rFonts w:ascii="Times New Roman" w:eastAsia="宋体" w:hAnsi="Times New Roman" w:cs="Times New Roman"/>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0CAE9D5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41,582,880.83</w:t>
            </w:r>
          </w:p>
        </w:tc>
        <w:tc>
          <w:tcPr>
            <w:tcW w:w="3213" w:type="dxa"/>
            <w:tcBorders>
              <w:top w:val="single" w:sz="2" w:space="0" w:color="auto"/>
              <w:left w:val="single" w:sz="2" w:space="0" w:color="auto"/>
              <w:bottom w:val="single" w:sz="2" w:space="0" w:color="auto"/>
              <w:right w:val="single" w:sz="2" w:space="0" w:color="auto"/>
            </w:tcBorders>
            <w:vAlign w:val="center"/>
          </w:tcPr>
          <w:p w14:paraId="21D7E9D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27,407,176.98</w:t>
            </w:r>
          </w:p>
        </w:tc>
      </w:tr>
      <w:tr w:rsidR="006C011D" w:rsidRPr="005A284F" w14:paraId="13B2E20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D6D469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7-9</w:t>
            </w:r>
            <w:r w:rsidRPr="005A284F">
              <w:rPr>
                <w:rFonts w:ascii="Times New Roman" w:eastAsia="宋体" w:hAnsi="Times New Roman" w:cs="Times New Roman"/>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343A77A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11,363,521.48</w:t>
            </w:r>
          </w:p>
        </w:tc>
        <w:tc>
          <w:tcPr>
            <w:tcW w:w="3213" w:type="dxa"/>
            <w:tcBorders>
              <w:top w:val="single" w:sz="2" w:space="0" w:color="auto"/>
              <w:left w:val="single" w:sz="2" w:space="0" w:color="auto"/>
              <w:bottom w:val="single" w:sz="2" w:space="0" w:color="auto"/>
              <w:right w:val="single" w:sz="2" w:space="0" w:color="auto"/>
            </w:tcBorders>
            <w:vAlign w:val="center"/>
          </w:tcPr>
          <w:p w14:paraId="420D4F9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1,728,056.18</w:t>
            </w:r>
          </w:p>
        </w:tc>
      </w:tr>
      <w:tr w:rsidR="006C011D" w:rsidRPr="005A284F" w14:paraId="65AD885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09599F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10-12</w:t>
            </w:r>
            <w:r w:rsidRPr="005A284F">
              <w:rPr>
                <w:rFonts w:ascii="Times New Roman" w:eastAsia="宋体" w:hAnsi="Times New Roman" w:cs="Times New Roman"/>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1640121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1,091,788.31</w:t>
            </w:r>
          </w:p>
        </w:tc>
        <w:tc>
          <w:tcPr>
            <w:tcW w:w="3213" w:type="dxa"/>
            <w:tcBorders>
              <w:top w:val="single" w:sz="2" w:space="0" w:color="auto"/>
              <w:left w:val="single" w:sz="2" w:space="0" w:color="auto"/>
              <w:bottom w:val="single" w:sz="2" w:space="0" w:color="auto"/>
              <w:right w:val="single" w:sz="2" w:space="0" w:color="auto"/>
            </w:tcBorders>
            <w:vAlign w:val="center"/>
          </w:tcPr>
          <w:p w14:paraId="3301C34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4,099,662.40</w:t>
            </w:r>
          </w:p>
        </w:tc>
      </w:tr>
      <w:tr w:rsidR="006C011D" w:rsidRPr="005A284F" w14:paraId="52A8119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54034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至</w:t>
            </w: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2B0F02A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15,821,401.40</w:t>
            </w:r>
          </w:p>
        </w:tc>
        <w:tc>
          <w:tcPr>
            <w:tcW w:w="3213" w:type="dxa"/>
            <w:tcBorders>
              <w:top w:val="single" w:sz="2" w:space="0" w:color="auto"/>
              <w:left w:val="single" w:sz="2" w:space="0" w:color="auto"/>
              <w:bottom w:val="single" w:sz="2" w:space="0" w:color="auto"/>
              <w:right w:val="single" w:sz="2" w:space="0" w:color="auto"/>
            </w:tcBorders>
            <w:vAlign w:val="center"/>
          </w:tcPr>
          <w:p w14:paraId="79E49EA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17,426,348.15</w:t>
            </w:r>
          </w:p>
        </w:tc>
      </w:tr>
      <w:tr w:rsidR="006C011D" w:rsidRPr="005A284F" w14:paraId="57775F0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B69C81"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至</w:t>
            </w: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3C9EB68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44,638,465.15</w:t>
            </w:r>
          </w:p>
        </w:tc>
        <w:tc>
          <w:tcPr>
            <w:tcW w:w="3213" w:type="dxa"/>
            <w:tcBorders>
              <w:top w:val="single" w:sz="2" w:space="0" w:color="auto"/>
              <w:left w:val="single" w:sz="2" w:space="0" w:color="auto"/>
              <w:bottom w:val="single" w:sz="2" w:space="0" w:color="auto"/>
              <w:right w:val="single" w:sz="2" w:space="0" w:color="auto"/>
            </w:tcBorders>
            <w:vAlign w:val="center"/>
          </w:tcPr>
          <w:p w14:paraId="2FCC9B8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47,666,285.30</w:t>
            </w:r>
          </w:p>
        </w:tc>
      </w:tr>
      <w:tr w:rsidR="006C011D" w:rsidRPr="005A284F" w14:paraId="0066193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84CF2F"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年以上</w:t>
            </w:r>
          </w:p>
        </w:tc>
        <w:tc>
          <w:tcPr>
            <w:tcW w:w="3213" w:type="dxa"/>
            <w:tcBorders>
              <w:top w:val="single" w:sz="2" w:space="0" w:color="auto"/>
              <w:left w:val="single" w:sz="2" w:space="0" w:color="auto"/>
              <w:bottom w:val="single" w:sz="2" w:space="0" w:color="auto"/>
              <w:right w:val="single" w:sz="2" w:space="0" w:color="auto"/>
            </w:tcBorders>
            <w:vAlign w:val="center"/>
          </w:tcPr>
          <w:p w14:paraId="170CF06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14,793,408.02</w:t>
            </w:r>
          </w:p>
        </w:tc>
        <w:tc>
          <w:tcPr>
            <w:tcW w:w="3213" w:type="dxa"/>
            <w:tcBorders>
              <w:top w:val="single" w:sz="2" w:space="0" w:color="auto"/>
              <w:left w:val="single" w:sz="2" w:space="0" w:color="auto"/>
              <w:bottom w:val="single" w:sz="2" w:space="0" w:color="auto"/>
              <w:right w:val="single" w:sz="2" w:space="0" w:color="auto"/>
            </w:tcBorders>
            <w:vAlign w:val="center"/>
          </w:tcPr>
          <w:p w14:paraId="667061D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13,524,754.91</w:t>
            </w:r>
          </w:p>
        </w:tc>
      </w:tr>
      <w:tr w:rsidR="006C011D" w:rsidRPr="005A284F" w14:paraId="168AD3F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E2684F"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至</w:t>
            </w: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73C89F4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14,629,116.05</w:t>
            </w:r>
          </w:p>
        </w:tc>
        <w:tc>
          <w:tcPr>
            <w:tcW w:w="3213" w:type="dxa"/>
            <w:tcBorders>
              <w:top w:val="single" w:sz="2" w:space="0" w:color="auto"/>
              <w:left w:val="single" w:sz="2" w:space="0" w:color="auto"/>
              <w:bottom w:val="single" w:sz="2" w:space="0" w:color="auto"/>
              <w:right w:val="single" w:sz="2" w:space="0" w:color="auto"/>
            </w:tcBorders>
            <w:vAlign w:val="center"/>
          </w:tcPr>
          <w:p w14:paraId="7293435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13,341,499.94</w:t>
            </w:r>
          </w:p>
        </w:tc>
      </w:tr>
      <w:tr w:rsidR="006C011D" w:rsidRPr="005A284F" w14:paraId="5B90532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F1AA14"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至</w:t>
            </w:r>
            <w:r w:rsidRPr="005A284F">
              <w:rPr>
                <w:rFonts w:ascii="Times New Roman" w:eastAsia="宋体" w:hAnsi="Times New Roman" w:cs="Times New Roman"/>
                <w:sz w:val="18"/>
                <w:szCs w:val="18"/>
              </w:rPr>
              <w:t>5</w:t>
            </w:r>
            <w:r w:rsidRPr="005A284F">
              <w:rPr>
                <w:rFonts w:ascii="Times New Roman" w:eastAsia="宋体" w:hAnsi="Times New Roman" w:cs="Times New Roman"/>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60169FD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164,291.97</w:t>
            </w:r>
          </w:p>
        </w:tc>
        <w:tc>
          <w:tcPr>
            <w:tcW w:w="3213" w:type="dxa"/>
            <w:tcBorders>
              <w:top w:val="single" w:sz="2" w:space="0" w:color="auto"/>
              <w:left w:val="single" w:sz="2" w:space="0" w:color="auto"/>
              <w:bottom w:val="single" w:sz="2" w:space="0" w:color="auto"/>
              <w:right w:val="single" w:sz="2" w:space="0" w:color="auto"/>
            </w:tcBorders>
            <w:vAlign w:val="center"/>
          </w:tcPr>
          <w:p w14:paraId="5EFE445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183,254.97</w:t>
            </w:r>
          </w:p>
        </w:tc>
      </w:tr>
      <w:tr w:rsidR="006C011D" w:rsidRPr="005A284F" w14:paraId="4F30679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D417E7"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5A5CCF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466,266,106.32</w:t>
            </w:r>
          </w:p>
        </w:tc>
        <w:tc>
          <w:tcPr>
            <w:tcW w:w="3213" w:type="dxa"/>
            <w:tcBorders>
              <w:top w:val="single" w:sz="2" w:space="0" w:color="auto"/>
              <w:left w:val="single" w:sz="2" w:space="0" w:color="auto"/>
              <w:bottom w:val="single" w:sz="2" w:space="0" w:color="auto"/>
              <w:right w:val="single" w:sz="2" w:space="0" w:color="auto"/>
            </w:tcBorders>
            <w:vAlign w:val="center"/>
          </w:tcPr>
          <w:p w14:paraId="04B5D81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481,279,510.06</w:t>
            </w:r>
          </w:p>
        </w:tc>
      </w:tr>
    </w:tbl>
    <w:p w14:paraId="0F03C9C8" w14:textId="37F03F54"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189" w:name="_Toc989078"/>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2</w:t>
      </w:r>
      <w:r w:rsidRPr="005A284F">
        <w:rPr>
          <w:rFonts w:ascii="Times New Roman" w:eastAsia="宋体" w:hAnsi="Times New Roman" w:cs="Times New Roman"/>
          <w:b/>
          <w:bCs/>
          <w:sz w:val="21"/>
          <w:szCs w:val="21"/>
        </w:rPr>
        <w:t>）按坏账计提方法分类披露</w:t>
      </w:r>
      <w:bookmarkEnd w:id="189"/>
    </w:p>
    <w:p w14:paraId="1F60A5AC"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10694"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0" w:type="dxa"/>
          <w:right w:w="0" w:type="dxa"/>
        </w:tblCellMar>
        <w:tblLook w:val="04A0" w:firstRow="1" w:lastRow="0" w:firstColumn="1" w:lastColumn="0" w:noHBand="0" w:noVBand="1"/>
      </w:tblPr>
      <w:tblGrid>
        <w:gridCol w:w="947"/>
        <w:gridCol w:w="1160"/>
        <w:gridCol w:w="738"/>
        <w:gridCol w:w="1105"/>
        <w:gridCol w:w="793"/>
        <w:gridCol w:w="950"/>
        <w:gridCol w:w="1234"/>
        <w:gridCol w:w="666"/>
        <w:gridCol w:w="1177"/>
        <w:gridCol w:w="723"/>
        <w:gridCol w:w="1201"/>
      </w:tblGrid>
      <w:tr w:rsidR="006C011D" w:rsidRPr="005A284F" w14:paraId="14A8E201" w14:textId="77777777" w:rsidTr="00EC4E04">
        <w:trPr>
          <w:trHeight w:val="241"/>
          <w:jc w:val="center"/>
        </w:trPr>
        <w:tc>
          <w:tcPr>
            <w:tcW w:w="94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9C06AC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类别</w:t>
            </w:r>
          </w:p>
        </w:tc>
        <w:tc>
          <w:tcPr>
            <w:tcW w:w="4746"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45CE714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500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1BDD523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r>
      <w:tr w:rsidR="006C011D" w:rsidRPr="005A284F" w14:paraId="62DC1F46" w14:textId="77777777" w:rsidTr="00EC4E04">
        <w:trPr>
          <w:trHeight w:val="241"/>
          <w:jc w:val="center"/>
        </w:trPr>
        <w:tc>
          <w:tcPr>
            <w:tcW w:w="94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DF2ECCC" w14:textId="77777777" w:rsidR="006C011D" w:rsidRPr="005A284F" w:rsidRDefault="006C011D">
            <w:pPr>
              <w:rPr>
                <w:rFonts w:ascii="Times New Roman" w:eastAsia="宋体" w:hAnsi="Times New Roman" w:cs="Times New Roman"/>
              </w:rPr>
            </w:pPr>
          </w:p>
        </w:tc>
        <w:tc>
          <w:tcPr>
            <w:tcW w:w="189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B731CE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账面余额</w:t>
            </w:r>
          </w:p>
        </w:tc>
        <w:tc>
          <w:tcPr>
            <w:tcW w:w="189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A29D9F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坏账准备</w:t>
            </w:r>
          </w:p>
        </w:tc>
        <w:tc>
          <w:tcPr>
            <w:tcW w:w="95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29B83B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账面价值</w:t>
            </w:r>
          </w:p>
        </w:tc>
        <w:tc>
          <w:tcPr>
            <w:tcW w:w="190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319CD8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账面余额</w:t>
            </w:r>
          </w:p>
        </w:tc>
        <w:tc>
          <w:tcPr>
            <w:tcW w:w="190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FEF05D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坏账准备</w:t>
            </w:r>
          </w:p>
        </w:tc>
        <w:tc>
          <w:tcPr>
            <w:tcW w:w="1201" w:type="dxa"/>
            <w:tcBorders>
              <w:top w:val="single" w:sz="2" w:space="0" w:color="auto"/>
              <w:left w:val="single" w:sz="2" w:space="0" w:color="auto"/>
              <w:bottom w:val="single" w:sz="2" w:space="0" w:color="auto"/>
              <w:right w:val="single" w:sz="2" w:space="0" w:color="auto"/>
            </w:tcBorders>
            <w:shd w:val="clear" w:color="auto" w:fill="D3D3D3"/>
            <w:vAlign w:val="center"/>
          </w:tcPr>
          <w:p w14:paraId="5FBFF9B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账面价值</w:t>
            </w:r>
          </w:p>
        </w:tc>
      </w:tr>
      <w:tr w:rsidR="006C011D" w:rsidRPr="005A284F" w14:paraId="327D372B" w14:textId="77777777" w:rsidTr="00EC4E04">
        <w:trPr>
          <w:trHeight w:val="241"/>
          <w:jc w:val="center"/>
        </w:trPr>
        <w:tc>
          <w:tcPr>
            <w:tcW w:w="94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1A89DF1" w14:textId="77777777" w:rsidR="006C011D" w:rsidRPr="005A284F" w:rsidRDefault="006C011D">
            <w:pPr>
              <w:rPr>
                <w:rFonts w:ascii="Times New Roman" w:eastAsia="宋体" w:hAnsi="Times New Roman" w:cs="Times New Roman"/>
              </w:rPr>
            </w:pPr>
          </w:p>
        </w:tc>
        <w:tc>
          <w:tcPr>
            <w:tcW w:w="1160" w:type="dxa"/>
            <w:tcBorders>
              <w:top w:val="single" w:sz="2" w:space="0" w:color="auto"/>
              <w:left w:val="single" w:sz="2" w:space="0" w:color="auto"/>
              <w:bottom w:val="single" w:sz="2" w:space="0" w:color="auto"/>
              <w:right w:val="single" w:sz="2" w:space="0" w:color="auto"/>
            </w:tcBorders>
            <w:shd w:val="clear" w:color="auto" w:fill="D3D3D3"/>
            <w:vAlign w:val="center"/>
          </w:tcPr>
          <w:p w14:paraId="2CBFF46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金额</w:t>
            </w:r>
          </w:p>
        </w:tc>
        <w:tc>
          <w:tcPr>
            <w:tcW w:w="738" w:type="dxa"/>
            <w:tcBorders>
              <w:top w:val="single" w:sz="2" w:space="0" w:color="auto"/>
              <w:left w:val="single" w:sz="2" w:space="0" w:color="auto"/>
              <w:bottom w:val="single" w:sz="2" w:space="0" w:color="auto"/>
              <w:right w:val="single" w:sz="2" w:space="0" w:color="auto"/>
            </w:tcBorders>
            <w:shd w:val="clear" w:color="auto" w:fill="D3D3D3"/>
            <w:vAlign w:val="center"/>
          </w:tcPr>
          <w:p w14:paraId="5B0FE2B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比例</w:t>
            </w:r>
          </w:p>
        </w:tc>
        <w:tc>
          <w:tcPr>
            <w:tcW w:w="1105" w:type="dxa"/>
            <w:tcBorders>
              <w:top w:val="single" w:sz="2" w:space="0" w:color="auto"/>
              <w:left w:val="single" w:sz="2" w:space="0" w:color="auto"/>
              <w:bottom w:val="single" w:sz="2" w:space="0" w:color="auto"/>
              <w:right w:val="single" w:sz="2" w:space="0" w:color="auto"/>
            </w:tcBorders>
            <w:shd w:val="clear" w:color="auto" w:fill="D3D3D3"/>
            <w:vAlign w:val="center"/>
          </w:tcPr>
          <w:p w14:paraId="0B7880E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金额</w:t>
            </w:r>
          </w:p>
        </w:tc>
        <w:tc>
          <w:tcPr>
            <w:tcW w:w="793" w:type="dxa"/>
            <w:tcBorders>
              <w:top w:val="single" w:sz="2" w:space="0" w:color="auto"/>
              <w:left w:val="single" w:sz="2" w:space="0" w:color="auto"/>
              <w:bottom w:val="single" w:sz="2" w:space="0" w:color="auto"/>
              <w:right w:val="single" w:sz="2" w:space="0" w:color="auto"/>
            </w:tcBorders>
            <w:shd w:val="clear" w:color="auto" w:fill="D3D3D3"/>
            <w:vAlign w:val="center"/>
          </w:tcPr>
          <w:p w14:paraId="28F53D1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计提比例</w:t>
            </w:r>
          </w:p>
        </w:tc>
        <w:tc>
          <w:tcPr>
            <w:tcW w:w="95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336414C" w14:textId="77777777" w:rsidR="006C011D" w:rsidRPr="005A284F" w:rsidRDefault="006C011D">
            <w:pPr>
              <w:rPr>
                <w:rFonts w:ascii="Times New Roman" w:eastAsia="宋体" w:hAnsi="Times New Roman" w:cs="Times New Roman"/>
              </w:rPr>
            </w:pPr>
          </w:p>
        </w:tc>
        <w:tc>
          <w:tcPr>
            <w:tcW w:w="1234" w:type="dxa"/>
            <w:tcBorders>
              <w:top w:val="single" w:sz="2" w:space="0" w:color="auto"/>
              <w:left w:val="single" w:sz="2" w:space="0" w:color="auto"/>
              <w:bottom w:val="single" w:sz="2" w:space="0" w:color="auto"/>
              <w:right w:val="single" w:sz="2" w:space="0" w:color="auto"/>
            </w:tcBorders>
            <w:shd w:val="clear" w:color="auto" w:fill="D3D3D3"/>
            <w:vAlign w:val="center"/>
          </w:tcPr>
          <w:p w14:paraId="3373F08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金额</w:t>
            </w:r>
          </w:p>
        </w:tc>
        <w:tc>
          <w:tcPr>
            <w:tcW w:w="666" w:type="dxa"/>
            <w:tcBorders>
              <w:top w:val="single" w:sz="2" w:space="0" w:color="auto"/>
              <w:left w:val="single" w:sz="2" w:space="0" w:color="auto"/>
              <w:bottom w:val="single" w:sz="2" w:space="0" w:color="auto"/>
              <w:right w:val="single" w:sz="2" w:space="0" w:color="auto"/>
            </w:tcBorders>
            <w:shd w:val="clear" w:color="auto" w:fill="D3D3D3"/>
            <w:vAlign w:val="center"/>
          </w:tcPr>
          <w:p w14:paraId="01E0394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比例</w:t>
            </w:r>
          </w:p>
        </w:tc>
        <w:tc>
          <w:tcPr>
            <w:tcW w:w="1177" w:type="dxa"/>
            <w:tcBorders>
              <w:top w:val="single" w:sz="2" w:space="0" w:color="auto"/>
              <w:left w:val="single" w:sz="2" w:space="0" w:color="auto"/>
              <w:bottom w:val="single" w:sz="2" w:space="0" w:color="auto"/>
              <w:right w:val="single" w:sz="2" w:space="0" w:color="auto"/>
            </w:tcBorders>
            <w:shd w:val="clear" w:color="auto" w:fill="D3D3D3"/>
            <w:vAlign w:val="center"/>
          </w:tcPr>
          <w:p w14:paraId="1202FDE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金额</w:t>
            </w:r>
          </w:p>
        </w:tc>
        <w:tc>
          <w:tcPr>
            <w:tcW w:w="723" w:type="dxa"/>
            <w:tcBorders>
              <w:top w:val="single" w:sz="2" w:space="0" w:color="auto"/>
              <w:left w:val="single" w:sz="2" w:space="0" w:color="auto"/>
              <w:bottom w:val="single" w:sz="2" w:space="0" w:color="auto"/>
              <w:right w:val="single" w:sz="2" w:space="0" w:color="auto"/>
            </w:tcBorders>
            <w:shd w:val="clear" w:color="auto" w:fill="D3D3D3"/>
            <w:vAlign w:val="center"/>
          </w:tcPr>
          <w:p w14:paraId="17D3C3A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计提比例</w:t>
            </w:r>
          </w:p>
        </w:tc>
        <w:tc>
          <w:tcPr>
            <w:tcW w:w="1201" w:type="dxa"/>
            <w:tcBorders>
              <w:top w:val="single" w:sz="2" w:space="0" w:color="auto"/>
              <w:left w:val="single" w:sz="2" w:space="0" w:color="auto"/>
              <w:bottom w:val="single" w:sz="2" w:space="0" w:color="auto"/>
              <w:right w:val="single" w:sz="2" w:space="0" w:color="auto"/>
            </w:tcBorders>
            <w:shd w:val="clear" w:color="auto" w:fill="D3D3D3"/>
            <w:vAlign w:val="center"/>
          </w:tcPr>
          <w:p w14:paraId="32063071" w14:textId="77777777" w:rsidR="006C011D" w:rsidRPr="005A284F" w:rsidRDefault="006C011D">
            <w:pPr>
              <w:rPr>
                <w:rFonts w:ascii="Times New Roman" w:eastAsia="宋体" w:hAnsi="Times New Roman" w:cs="Times New Roman"/>
              </w:rPr>
            </w:pPr>
          </w:p>
        </w:tc>
      </w:tr>
      <w:tr w:rsidR="006C011D" w:rsidRPr="005A284F" w14:paraId="503A470A" w14:textId="77777777" w:rsidTr="00EC4E04">
        <w:trPr>
          <w:trHeight w:val="241"/>
          <w:jc w:val="center"/>
        </w:trPr>
        <w:tc>
          <w:tcPr>
            <w:tcW w:w="947" w:type="dxa"/>
            <w:tcBorders>
              <w:top w:val="single" w:sz="2" w:space="0" w:color="auto"/>
              <w:left w:val="single" w:sz="2" w:space="0" w:color="auto"/>
              <w:bottom w:val="single" w:sz="2" w:space="0" w:color="auto"/>
              <w:right w:val="single" w:sz="2" w:space="0" w:color="auto"/>
            </w:tcBorders>
            <w:shd w:val="clear" w:color="auto" w:fill="D3D3D3"/>
            <w:vAlign w:val="center"/>
          </w:tcPr>
          <w:p w14:paraId="08BA377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按单项计提坏账准备的应收账款</w:t>
            </w:r>
          </w:p>
        </w:tc>
        <w:tc>
          <w:tcPr>
            <w:tcW w:w="1160" w:type="dxa"/>
            <w:tcBorders>
              <w:top w:val="single" w:sz="2" w:space="0" w:color="auto"/>
              <w:left w:val="single" w:sz="2" w:space="0" w:color="auto"/>
              <w:bottom w:val="single" w:sz="2" w:space="0" w:color="auto"/>
              <w:right w:val="single" w:sz="2" w:space="0" w:color="auto"/>
            </w:tcBorders>
            <w:vAlign w:val="center"/>
          </w:tcPr>
          <w:p w14:paraId="6AEF086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31,073,538.88</w:t>
            </w:r>
          </w:p>
        </w:tc>
        <w:tc>
          <w:tcPr>
            <w:tcW w:w="738" w:type="dxa"/>
            <w:tcBorders>
              <w:top w:val="single" w:sz="2" w:space="0" w:color="auto"/>
              <w:left w:val="single" w:sz="2" w:space="0" w:color="auto"/>
              <w:bottom w:val="single" w:sz="2" w:space="0" w:color="auto"/>
              <w:right w:val="single" w:sz="2" w:space="0" w:color="auto"/>
            </w:tcBorders>
            <w:vAlign w:val="center"/>
          </w:tcPr>
          <w:p w14:paraId="6F22436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6.66%</w:t>
            </w:r>
          </w:p>
        </w:tc>
        <w:tc>
          <w:tcPr>
            <w:tcW w:w="1105" w:type="dxa"/>
            <w:tcBorders>
              <w:top w:val="single" w:sz="2" w:space="0" w:color="auto"/>
              <w:left w:val="single" w:sz="2" w:space="0" w:color="auto"/>
              <w:bottom w:val="single" w:sz="2" w:space="0" w:color="auto"/>
              <w:right w:val="single" w:sz="2" w:space="0" w:color="auto"/>
            </w:tcBorders>
            <w:vAlign w:val="center"/>
          </w:tcPr>
          <w:p w14:paraId="1080236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23,973,538.88</w:t>
            </w:r>
          </w:p>
        </w:tc>
        <w:tc>
          <w:tcPr>
            <w:tcW w:w="793" w:type="dxa"/>
            <w:tcBorders>
              <w:top w:val="single" w:sz="2" w:space="0" w:color="auto"/>
              <w:left w:val="single" w:sz="2" w:space="0" w:color="auto"/>
              <w:bottom w:val="single" w:sz="2" w:space="0" w:color="auto"/>
              <w:right w:val="single" w:sz="2" w:space="0" w:color="auto"/>
            </w:tcBorders>
            <w:vAlign w:val="center"/>
          </w:tcPr>
          <w:p w14:paraId="1EDBED2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77.15%</w:t>
            </w:r>
          </w:p>
        </w:tc>
        <w:tc>
          <w:tcPr>
            <w:tcW w:w="950" w:type="dxa"/>
            <w:tcBorders>
              <w:top w:val="single" w:sz="2" w:space="0" w:color="auto"/>
              <w:left w:val="single" w:sz="2" w:space="0" w:color="auto"/>
              <w:bottom w:val="single" w:sz="2" w:space="0" w:color="auto"/>
              <w:right w:val="single" w:sz="2" w:space="0" w:color="auto"/>
            </w:tcBorders>
            <w:vAlign w:val="center"/>
          </w:tcPr>
          <w:p w14:paraId="7626DCB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7,100,000.00</w:t>
            </w:r>
          </w:p>
        </w:tc>
        <w:tc>
          <w:tcPr>
            <w:tcW w:w="1234" w:type="dxa"/>
            <w:tcBorders>
              <w:top w:val="single" w:sz="2" w:space="0" w:color="auto"/>
              <w:left w:val="single" w:sz="2" w:space="0" w:color="auto"/>
              <w:bottom w:val="single" w:sz="2" w:space="0" w:color="auto"/>
              <w:right w:val="single" w:sz="2" w:space="0" w:color="auto"/>
            </w:tcBorders>
            <w:vAlign w:val="center"/>
          </w:tcPr>
          <w:p w14:paraId="4BEE64F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30,938,932.05</w:t>
            </w:r>
          </w:p>
        </w:tc>
        <w:tc>
          <w:tcPr>
            <w:tcW w:w="666" w:type="dxa"/>
            <w:tcBorders>
              <w:top w:val="single" w:sz="2" w:space="0" w:color="auto"/>
              <w:left w:val="single" w:sz="2" w:space="0" w:color="auto"/>
              <w:bottom w:val="single" w:sz="2" w:space="0" w:color="auto"/>
              <w:right w:val="single" w:sz="2" w:space="0" w:color="auto"/>
            </w:tcBorders>
            <w:vAlign w:val="center"/>
          </w:tcPr>
          <w:p w14:paraId="13A46E1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6.43%</w:t>
            </w:r>
          </w:p>
        </w:tc>
        <w:tc>
          <w:tcPr>
            <w:tcW w:w="1177" w:type="dxa"/>
            <w:tcBorders>
              <w:top w:val="single" w:sz="2" w:space="0" w:color="auto"/>
              <w:left w:val="single" w:sz="2" w:space="0" w:color="auto"/>
              <w:bottom w:val="single" w:sz="2" w:space="0" w:color="auto"/>
              <w:right w:val="single" w:sz="2" w:space="0" w:color="auto"/>
            </w:tcBorders>
            <w:vAlign w:val="center"/>
          </w:tcPr>
          <w:p w14:paraId="2621173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23,838,932.05</w:t>
            </w:r>
          </w:p>
        </w:tc>
        <w:tc>
          <w:tcPr>
            <w:tcW w:w="723" w:type="dxa"/>
            <w:tcBorders>
              <w:top w:val="single" w:sz="2" w:space="0" w:color="auto"/>
              <w:left w:val="single" w:sz="2" w:space="0" w:color="auto"/>
              <w:bottom w:val="single" w:sz="2" w:space="0" w:color="auto"/>
              <w:right w:val="single" w:sz="2" w:space="0" w:color="auto"/>
            </w:tcBorders>
            <w:vAlign w:val="center"/>
          </w:tcPr>
          <w:p w14:paraId="5E847A2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77.05%</w:t>
            </w:r>
          </w:p>
        </w:tc>
        <w:tc>
          <w:tcPr>
            <w:tcW w:w="1201" w:type="dxa"/>
            <w:tcBorders>
              <w:top w:val="single" w:sz="2" w:space="0" w:color="auto"/>
              <w:left w:val="single" w:sz="2" w:space="0" w:color="auto"/>
              <w:bottom w:val="single" w:sz="2" w:space="0" w:color="auto"/>
              <w:right w:val="single" w:sz="2" w:space="0" w:color="auto"/>
            </w:tcBorders>
            <w:vAlign w:val="center"/>
          </w:tcPr>
          <w:p w14:paraId="1B4F674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7,100,000.00</w:t>
            </w:r>
          </w:p>
        </w:tc>
      </w:tr>
      <w:tr w:rsidR="006C011D" w:rsidRPr="005A284F" w14:paraId="5D8E9B46" w14:textId="77777777" w:rsidTr="00EC4E04">
        <w:trPr>
          <w:trHeight w:val="241"/>
          <w:jc w:val="center"/>
        </w:trPr>
        <w:tc>
          <w:tcPr>
            <w:tcW w:w="947" w:type="dxa"/>
            <w:tcBorders>
              <w:top w:val="single" w:sz="2" w:space="0" w:color="auto"/>
              <w:left w:val="single" w:sz="2" w:space="0" w:color="auto"/>
              <w:bottom w:val="single" w:sz="2" w:space="0" w:color="auto"/>
              <w:right w:val="single" w:sz="2" w:space="0" w:color="auto"/>
            </w:tcBorders>
            <w:shd w:val="clear" w:color="auto" w:fill="D3D3D3"/>
            <w:vAlign w:val="center"/>
          </w:tcPr>
          <w:p w14:paraId="66C43D92"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其中：</w:t>
            </w:r>
          </w:p>
        </w:tc>
        <w:tc>
          <w:tcPr>
            <w:tcW w:w="1160" w:type="dxa"/>
            <w:tcBorders>
              <w:top w:val="single" w:sz="2" w:space="0" w:color="auto"/>
              <w:left w:val="single" w:sz="2" w:space="0" w:color="auto"/>
              <w:bottom w:val="single" w:sz="2" w:space="0" w:color="auto"/>
              <w:right w:val="single" w:sz="2" w:space="0" w:color="auto"/>
            </w:tcBorders>
            <w:shd w:val="clear" w:color="auto" w:fill="D3D3D3"/>
            <w:vAlign w:val="center"/>
          </w:tcPr>
          <w:p w14:paraId="117AFC4F" w14:textId="77777777" w:rsidR="006C011D" w:rsidRPr="005A284F" w:rsidRDefault="006C011D">
            <w:pPr>
              <w:rPr>
                <w:rFonts w:ascii="Times New Roman" w:eastAsia="宋体" w:hAnsi="Times New Roman" w:cs="Times New Roman"/>
              </w:rPr>
            </w:pPr>
          </w:p>
        </w:tc>
        <w:tc>
          <w:tcPr>
            <w:tcW w:w="738" w:type="dxa"/>
            <w:tcBorders>
              <w:top w:val="single" w:sz="2" w:space="0" w:color="auto"/>
              <w:left w:val="single" w:sz="2" w:space="0" w:color="auto"/>
              <w:bottom w:val="single" w:sz="2" w:space="0" w:color="auto"/>
              <w:right w:val="single" w:sz="2" w:space="0" w:color="auto"/>
            </w:tcBorders>
            <w:shd w:val="clear" w:color="auto" w:fill="D3D3D3"/>
            <w:vAlign w:val="center"/>
          </w:tcPr>
          <w:p w14:paraId="362E1640" w14:textId="77777777" w:rsidR="006C011D" w:rsidRPr="005A284F" w:rsidRDefault="006C011D">
            <w:pPr>
              <w:rPr>
                <w:rFonts w:ascii="Times New Roman" w:eastAsia="宋体" w:hAnsi="Times New Roman" w:cs="Times New Roman"/>
              </w:rPr>
            </w:pPr>
          </w:p>
        </w:tc>
        <w:tc>
          <w:tcPr>
            <w:tcW w:w="1105" w:type="dxa"/>
            <w:tcBorders>
              <w:top w:val="single" w:sz="2" w:space="0" w:color="auto"/>
              <w:left w:val="single" w:sz="2" w:space="0" w:color="auto"/>
              <w:bottom w:val="single" w:sz="2" w:space="0" w:color="auto"/>
              <w:right w:val="single" w:sz="2" w:space="0" w:color="auto"/>
            </w:tcBorders>
            <w:shd w:val="clear" w:color="auto" w:fill="D3D3D3"/>
            <w:vAlign w:val="center"/>
          </w:tcPr>
          <w:p w14:paraId="21186DE4" w14:textId="77777777" w:rsidR="006C011D" w:rsidRPr="005A284F" w:rsidRDefault="006C011D">
            <w:pPr>
              <w:rPr>
                <w:rFonts w:ascii="Times New Roman" w:eastAsia="宋体" w:hAnsi="Times New Roman" w:cs="Times New Roman"/>
              </w:rPr>
            </w:pPr>
          </w:p>
        </w:tc>
        <w:tc>
          <w:tcPr>
            <w:tcW w:w="793" w:type="dxa"/>
            <w:tcBorders>
              <w:top w:val="single" w:sz="2" w:space="0" w:color="auto"/>
              <w:left w:val="single" w:sz="2" w:space="0" w:color="auto"/>
              <w:bottom w:val="single" w:sz="2" w:space="0" w:color="auto"/>
              <w:right w:val="single" w:sz="2" w:space="0" w:color="auto"/>
            </w:tcBorders>
            <w:shd w:val="clear" w:color="auto" w:fill="D3D3D3"/>
            <w:vAlign w:val="center"/>
          </w:tcPr>
          <w:p w14:paraId="413C9919" w14:textId="77777777" w:rsidR="006C011D" w:rsidRPr="005A284F" w:rsidRDefault="006C011D">
            <w:pPr>
              <w:rPr>
                <w:rFonts w:ascii="Times New Roman" w:eastAsia="宋体" w:hAnsi="Times New Roman" w:cs="Times New Roman"/>
              </w:rPr>
            </w:pPr>
          </w:p>
        </w:tc>
        <w:tc>
          <w:tcPr>
            <w:tcW w:w="950" w:type="dxa"/>
            <w:tcBorders>
              <w:top w:val="single" w:sz="2" w:space="0" w:color="auto"/>
              <w:left w:val="single" w:sz="2" w:space="0" w:color="auto"/>
              <w:bottom w:val="single" w:sz="2" w:space="0" w:color="auto"/>
              <w:right w:val="single" w:sz="2" w:space="0" w:color="auto"/>
            </w:tcBorders>
            <w:shd w:val="clear" w:color="auto" w:fill="D3D3D3"/>
            <w:vAlign w:val="center"/>
          </w:tcPr>
          <w:p w14:paraId="4CCA22AE" w14:textId="77777777" w:rsidR="006C011D" w:rsidRPr="005A284F" w:rsidRDefault="006C011D">
            <w:pPr>
              <w:rPr>
                <w:rFonts w:ascii="Times New Roman" w:eastAsia="宋体" w:hAnsi="Times New Roman" w:cs="Times New Roman"/>
              </w:rPr>
            </w:pPr>
          </w:p>
        </w:tc>
        <w:tc>
          <w:tcPr>
            <w:tcW w:w="1234" w:type="dxa"/>
            <w:tcBorders>
              <w:top w:val="single" w:sz="2" w:space="0" w:color="auto"/>
              <w:left w:val="single" w:sz="2" w:space="0" w:color="auto"/>
              <w:bottom w:val="single" w:sz="2" w:space="0" w:color="auto"/>
              <w:right w:val="single" w:sz="2" w:space="0" w:color="auto"/>
            </w:tcBorders>
            <w:shd w:val="clear" w:color="auto" w:fill="D3D3D3"/>
            <w:vAlign w:val="center"/>
          </w:tcPr>
          <w:p w14:paraId="01A15BCF" w14:textId="77777777" w:rsidR="006C011D" w:rsidRPr="005A284F" w:rsidRDefault="006C011D">
            <w:pPr>
              <w:rPr>
                <w:rFonts w:ascii="Times New Roman" w:eastAsia="宋体" w:hAnsi="Times New Roman" w:cs="Times New Roman"/>
              </w:rPr>
            </w:pPr>
          </w:p>
        </w:tc>
        <w:tc>
          <w:tcPr>
            <w:tcW w:w="666" w:type="dxa"/>
            <w:tcBorders>
              <w:top w:val="single" w:sz="2" w:space="0" w:color="auto"/>
              <w:left w:val="single" w:sz="2" w:space="0" w:color="auto"/>
              <w:bottom w:val="single" w:sz="2" w:space="0" w:color="auto"/>
              <w:right w:val="single" w:sz="2" w:space="0" w:color="auto"/>
            </w:tcBorders>
            <w:shd w:val="clear" w:color="auto" w:fill="D3D3D3"/>
            <w:vAlign w:val="center"/>
          </w:tcPr>
          <w:p w14:paraId="264BCB93" w14:textId="77777777" w:rsidR="006C011D" w:rsidRPr="005A284F" w:rsidRDefault="006C011D">
            <w:pPr>
              <w:rPr>
                <w:rFonts w:ascii="Times New Roman" w:eastAsia="宋体" w:hAnsi="Times New Roman" w:cs="Times New Roman"/>
              </w:rPr>
            </w:pPr>
          </w:p>
        </w:tc>
        <w:tc>
          <w:tcPr>
            <w:tcW w:w="1177" w:type="dxa"/>
            <w:tcBorders>
              <w:top w:val="single" w:sz="2" w:space="0" w:color="auto"/>
              <w:left w:val="single" w:sz="2" w:space="0" w:color="auto"/>
              <w:bottom w:val="single" w:sz="2" w:space="0" w:color="auto"/>
              <w:right w:val="single" w:sz="2" w:space="0" w:color="auto"/>
            </w:tcBorders>
            <w:shd w:val="clear" w:color="auto" w:fill="D3D3D3"/>
            <w:vAlign w:val="center"/>
          </w:tcPr>
          <w:p w14:paraId="44CD82CC" w14:textId="77777777" w:rsidR="006C011D" w:rsidRPr="005A284F" w:rsidRDefault="006C011D">
            <w:pPr>
              <w:rPr>
                <w:rFonts w:ascii="Times New Roman" w:eastAsia="宋体" w:hAnsi="Times New Roman" w:cs="Times New Roman"/>
              </w:rPr>
            </w:pPr>
          </w:p>
        </w:tc>
        <w:tc>
          <w:tcPr>
            <w:tcW w:w="723" w:type="dxa"/>
            <w:tcBorders>
              <w:top w:val="single" w:sz="2" w:space="0" w:color="auto"/>
              <w:left w:val="single" w:sz="2" w:space="0" w:color="auto"/>
              <w:bottom w:val="single" w:sz="2" w:space="0" w:color="auto"/>
              <w:right w:val="single" w:sz="2" w:space="0" w:color="auto"/>
            </w:tcBorders>
            <w:shd w:val="clear" w:color="auto" w:fill="D3D3D3"/>
            <w:vAlign w:val="center"/>
          </w:tcPr>
          <w:p w14:paraId="1B1F9A86" w14:textId="77777777" w:rsidR="006C011D" w:rsidRPr="005A284F" w:rsidRDefault="006C011D">
            <w:pPr>
              <w:rPr>
                <w:rFonts w:ascii="Times New Roman" w:eastAsia="宋体" w:hAnsi="Times New Roman" w:cs="Times New Roman"/>
              </w:rPr>
            </w:pPr>
          </w:p>
        </w:tc>
        <w:tc>
          <w:tcPr>
            <w:tcW w:w="1201" w:type="dxa"/>
            <w:tcBorders>
              <w:top w:val="single" w:sz="2" w:space="0" w:color="auto"/>
              <w:left w:val="single" w:sz="2" w:space="0" w:color="auto"/>
              <w:bottom w:val="single" w:sz="2" w:space="0" w:color="auto"/>
              <w:right w:val="single" w:sz="2" w:space="0" w:color="auto"/>
            </w:tcBorders>
            <w:shd w:val="clear" w:color="auto" w:fill="D3D3D3"/>
            <w:vAlign w:val="center"/>
          </w:tcPr>
          <w:p w14:paraId="2677D0B6" w14:textId="77777777" w:rsidR="006C011D" w:rsidRPr="005A284F" w:rsidRDefault="006C011D">
            <w:pPr>
              <w:rPr>
                <w:rFonts w:ascii="Times New Roman" w:eastAsia="宋体" w:hAnsi="Times New Roman" w:cs="Times New Roman"/>
              </w:rPr>
            </w:pPr>
          </w:p>
        </w:tc>
      </w:tr>
      <w:tr w:rsidR="006C011D" w:rsidRPr="005A284F" w14:paraId="74B619E3" w14:textId="77777777" w:rsidTr="00EC4E04">
        <w:trPr>
          <w:trHeight w:val="241"/>
          <w:jc w:val="center"/>
        </w:trPr>
        <w:tc>
          <w:tcPr>
            <w:tcW w:w="947" w:type="dxa"/>
            <w:tcBorders>
              <w:top w:val="single" w:sz="2" w:space="0" w:color="auto"/>
              <w:left w:val="single" w:sz="2" w:space="0" w:color="auto"/>
              <w:bottom w:val="single" w:sz="2" w:space="0" w:color="auto"/>
              <w:right w:val="single" w:sz="2" w:space="0" w:color="auto"/>
            </w:tcBorders>
            <w:vAlign w:val="center"/>
          </w:tcPr>
          <w:p w14:paraId="42E7BF5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按单项计提坏账准备</w:t>
            </w:r>
          </w:p>
        </w:tc>
        <w:tc>
          <w:tcPr>
            <w:tcW w:w="1160" w:type="dxa"/>
            <w:tcBorders>
              <w:top w:val="single" w:sz="2" w:space="0" w:color="auto"/>
              <w:left w:val="single" w:sz="2" w:space="0" w:color="auto"/>
              <w:bottom w:val="single" w:sz="2" w:space="0" w:color="auto"/>
              <w:right w:val="single" w:sz="2" w:space="0" w:color="auto"/>
            </w:tcBorders>
            <w:vAlign w:val="center"/>
          </w:tcPr>
          <w:p w14:paraId="4FA56B6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31,073,538.88</w:t>
            </w:r>
          </w:p>
        </w:tc>
        <w:tc>
          <w:tcPr>
            <w:tcW w:w="738" w:type="dxa"/>
            <w:tcBorders>
              <w:top w:val="single" w:sz="2" w:space="0" w:color="auto"/>
              <w:left w:val="single" w:sz="2" w:space="0" w:color="auto"/>
              <w:bottom w:val="single" w:sz="2" w:space="0" w:color="auto"/>
              <w:right w:val="single" w:sz="2" w:space="0" w:color="auto"/>
            </w:tcBorders>
            <w:vAlign w:val="center"/>
          </w:tcPr>
          <w:p w14:paraId="18169B6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6.66%</w:t>
            </w:r>
          </w:p>
        </w:tc>
        <w:tc>
          <w:tcPr>
            <w:tcW w:w="1105" w:type="dxa"/>
            <w:tcBorders>
              <w:top w:val="single" w:sz="2" w:space="0" w:color="auto"/>
              <w:left w:val="single" w:sz="2" w:space="0" w:color="auto"/>
              <w:bottom w:val="single" w:sz="2" w:space="0" w:color="auto"/>
              <w:right w:val="single" w:sz="2" w:space="0" w:color="auto"/>
            </w:tcBorders>
            <w:vAlign w:val="center"/>
          </w:tcPr>
          <w:p w14:paraId="365556E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23,973,538.88</w:t>
            </w:r>
          </w:p>
        </w:tc>
        <w:tc>
          <w:tcPr>
            <w:tcW w:w="793" w:type="dxa"/>
            <w:tcBorders>
              <w:top w:val="single" w:sz="2" w:space="0" w:color="auto"/>
              <w:left w:val="single" w:sz="2" w:space="0" w:color="auto"/>
              <w:bottom w:val="single" w:sz="2" w:space="0" w:color="auto"/>
              <w:right w:val="single" w:sz="2" w:space="0" w:color="auto"/>
            </w:tcBorders>
            <w:vAlign w:val="center"/>
          </w:tcPr>
          <w:p w14:paraId="02F2A4A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77.15%</w:t>
            </w:r>
          </w:p>
        </w:tc>
        <w:tc>
          <w:tcPr>
            <w:tcW w:w="950" w:type="dxa"/>
            <w:tcBorders>
              <w:top w:val="single" w:sz="2" w:space="0" w:color="auto"/>
              <w:left w:val="single" w:sz="2" w:space="0" w:color="auto"/>
              <w:bottom w:val="single" w:sz="2" w:space="0" w:color="auto"/>
              <w:right w:val="single" w:sz="2" w:space="0" w:color="auto"/>
            </w:tcBorders>
            <w:vAlign w:val="center"/>
          </w:tcPr>
          <w:p w14:paraId="31A31C8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7,100,000.00</w:t>
            </w:r>
          </w:p>
        </w:tc>
        <w:tc>
          <w:tcPr>
            <w:tcW w:w="1234" w:type="dxa"/>
            <w:tcBorders>
              <w:top w:val="single" w:sz="2" w:space="0" w:color="auto"/>
              <w:left w:val="single" w:sz="2" w:space="0" w:color="auto"/>
              <w:bottom w:val="single" w:sz="2" w:space="0" w:color="auto"/>
              <w:right w:val="single" w:sz="2" w:space="0" w:color="auto"/>
            </w:tcBorders>
            <w:vAlign w:val="center"/>
          </w:tcPr>
          <w:p w14:paraId="598AC8B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30,938,932.05</w:t>
            </w:r>
          </w:p>
        </w:tc>
        <w:tc>
          <w:tcPr>
            <w:tcW w:w="666" w:type="dxa"/>
            <w:tcBorders>
              <w:top w:val="single" w:sz="2" w:space="0" w:color="auto"/>
              <w:left w:val="single" w:sz="2" w:space="0" w:color="auto"/>
              <w:bottom w:val="single" w:sz="2" w:space="0" w:color="auto"/>
              <w:right w:val="single" w:sz="2" w:space="0" w:color="auto"/>
            </w:tcBorders>
            <w:vAlign w:val="center"/>
          </w:tcPr>
          <w:p w14:paraId="3C437C4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6.43%</w:t>
            </w:r>
          </w:p>
        </w:tc>
        <w:tc>
          <w:tcPr>
            <w:tcW w:w="1177" w:type="dxa"/>
            <w:tcBorders>
              <w:top w:val="single" w:sz="2" w:space="0" w:color="auto"/>
              <w:left w:val="single" w:sz="2" w:space="0" w:color="auto"/>
              <w:bottom w:val="single" w:sz="2" w:space="0" w:color="auto"/>
              <w:right w:val="single" w:sz="2" w:space="0" w:color="auto"/>
            </w:tcBorders>
            <w:vAlign w:val="center"/>
          </w:tcPr>
          <w:p w14:paraId="0404BC6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23,838,932.05</w:t>
            </w:r>
          </w:p>
        </w:tc>
        <w:tc>
          <w:tcPr>
            <w:tcW w:w="723" w:type="dxa"/>
            <w:tcBorders>
              <w:top w:val="single" w:sz="2" w:space="0" w:color="auto"/>
              <w:left w:val="single" w:sz="2" w:space="0" w:color="auto"/>
              <w:bottom w:val="single" w:sz="2" w:space="0" w:color="auto"/>
              <w:right w:val="single" w:sz="2" w:space="0" w:color="auto"/>
            </w:tcBorders>
            <w:vAlign w:val="center"/>
          </w:tcPr>
          <w:p w14:paraId="44BC0C1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77.05%</w:t>
            </w:r>
          </w:p>
        </w:tc>
        <w:tc>
          <w:tcPr>
            <w:tcW w:w="1201" w:type="dxa"/>
            <w:tcBorders>
              <w:top w:val="single" w:sz="2" w:space="0" w:color="auto"/>
              <w:left w:val="single" w:sz="2" w:space="0" w:color="auto"/>
              <w:bottom w:val="single" w:sz="2" w:space="0" w:color="auto"/>
              <w:right w:val="single" w:sz="2" w:space="0" w:color="auto"/>
            </w:tcBorders>
            <w:vAlign w:val="center"/>
          </w:tcPr>
          <w:p w14:paraId="7D27A37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7,100,000.00</w:t>
            </w:r>
          </w:p>
        </w:tc>
      </w:tr>
      <w:tr w:rsidR="006C011D" w:rsidRPr="005A284F" w14:paraId="4245387E" w14:textId="77777777" w:rsidTr="00EC4E04">
        <w:trPr>
          <w:trHeight w:val="241"/>
          <w:jc w:val="center"/>
        </w:trPr>
        <w:tc>
          <w:tcPr>
            <w:tcW w:w="947" w:type="dxa"/>
            <w:tcBorders>
              <w:top w:val="single" w:sz="2" w:space="0" w:color="auto"/>
              <w:left w:val="single" w:sz="2" w:space="0" w:color="auto"/>
              <w:bottom w:val="single" w:sz="2" w:space="0" w:color="auto"/>
              <w:right w:val="single" w:sz="2" w:space="0" w:color="auto"/>
            </w:tcBorders>
            <w:shd w:val="clear" w:color="auto" w:fill="D3D3D3"/>
            <w:vAlign w:val="center"/>
          </w:tcPr>
          <w:p w14:paraId="090C12C7"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按组合计提坏账准备的应收账款</w:t>
            </w:r>
          </w:p>
        </w:tc>
        <w:tc>
          <w:tcPr>
            <w:tcW w:w="1160" w:type="dxa"/>
            <w:tcBorders>
              <w:top w:val="single" w:sz="2" w:space="0" w:color="auto"/>
              <w:left w:val="single" w:sz="2" w:space="0" w:color="auto"/>
              <w:bottom w:val="single" w:sz="2" w:space="0" w:color="auto"/>
              <w:right w:val="single" w:sz="2" w:space="0" w:color="auto"/>
            </w:tcBorders>
            <w:vAlign w:val="center"/>
          </w:tcPr>
          <w:p w14:paraId="2F3912C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435,192,567.44</w:t>
            </w:r>
          </w:p>
        </w:tc>
        <w:tc>
          <w:tcPr>
            <w:tcW w:w="738" w:type="dxa"/>
            <w:tcBorders>
              <w:top w:val="single" w:sz="2" w:space="0" w:color="auto"/>
              <w:left w:val="single" w:sz="2" w:space="0" w:color="auto"/>
              <w:bottom w:val="single" w:sz="2" w:space="0" w:color="auto"/>
              <w:right w:val="single" w:sz="2" w:space="0" w:color="auto"/>
            </w:tcBorders>
            <w:vAlign w:val="center"/>
          </w:tcPr>
          <w:p w14:paraId="3B91C51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93.34%</w:t>
            </w:r>
          </w:p>
        </w:tc>
        <w:tc>
          <w:tcPr>
            <w:tcW w:w="1105" w:type="dxa"/>
            <w:tcBorders>
              <w:top w:val="single" w:sz="2" w:space="0" w:color="auto"/>
              <w:left w:val="single" w:sz="2" w:space="0" w:color="auto"/>
              <w:bottom w:val="single" w:sz="2" w:space="0" w:color="auto"/>
              <w:right w:val="single" w:sz="2" w:space="0" w:color="auto"/>
            </w:tcBorders>
            <w:vAlign w:val="center"/>
          </w:tcPr>
          <w:p w14:paraId="6241EB2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26,733,350.67</w:t>
            </w:r>
          </w:p>
        </w:tc>
        <w:tc>
          <w:tcPr>
            <w:tcW w:w="793" w:type="dxa"/>
            <w:tcBorders>
              <w:top w:val="single" w:sz="2" w:space="0" w:color="auto"/>
              <w:left w:val="single" w:sz="2" w:space="0" w:color="auto"/>
              <w:bottom w:val="single" w:sz="2" w:space="0" w:color="auto"/>
              <w:right w:val="single" w:sz="2" w:space="0" w:color="auto"/>
            </w:tcBorders>
            <w:vAlign w:val="center"/>
          </w:tcPr>
          <w:p w14:paraId="15E7FA9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6.14%</w:t>
            </w:r>
          </w:p>
        </w:tc>
        <w:tc>
          <w:tcPr>
            <w:tcW w:w="950" w:type="dxa"/>
            <w:tcBorders>
              <w:top w:val="single" w:sz="2" w:space="0" w:color="auto"/>
              <w:left w:val="single" w:sz="2" w:space="0" w:color="auto"/>
              <w:bottom w:val="single" w:sz="2" w:space="0" w:color="auto"/>
              <w:right w:val="single" w:sz="2" w:space="0" w:color="auto"/>
            </w:tcBorders>
            <w:vAlign w:val="center"/>
          </w:tcPr>
          <w:p w14:paraId="7F84184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408,459,216.77</w:t>
            </w:r>
          </w:p>
        </w:tc>
        <w:tc>
          <w:tcPr>
            <w:tcW w:w="1234" w:type="dxa"/>
            <w:tcBorders>
              <w:top w:val="single" w:sz="2" w:space="0" w:color="auto"/>
              <w:left w:val="single" w:sz="2" w:space="0" w:color="auto"/>
              <w:bottom w:val="single" w:sz="2" w:space="0" w:color="auto"/>
              <w:right w:val="single" w:sz="2" w:space="0" w:color="auto"/>
            </w:tcBorders>
            <w:vAlign w:val="center"/>
          </w:tcPr>
          <w:p w14:paraId="09A4AEA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450,340,578.01</w:t>
            </w:r>
          </w:p>
        </w:tc>
        <w:tc>
          <w:tcPr>
            <w:tcW w:w="666" w:type="dxa"/>
            <w:tcBorders>
              <w:top w:val="single" w:sz="2" w:space="0" w:color="auto"/>
              <w:left w:val="single" w:sz="2" w:space="0" w:color="auto"/>
              <w:bottom w:val="single" w:sz="2" w:space="0" w:color="auto"/>
              <w:right w:val="single" w:sz="2" w:space="0" w:color="auto"/>
            </w:tcBorders>
            <w:vAlign w:val="center"/>
          </w:tcPr>
          <w:p w14:paraId="0DCCA8D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93.57%</w:t>
            </w:r>
          </w:p>
        </w:tc>
        <w:tc>
          <w:tcPr>
            <w:tcW w:w="1177" w:type="dxa"/>
            <w:tcBorders>
              <w:top w:val="single" w:sz="2" w:space="0" w:color="auto"/>
              <w:left w:val="single" w:sz="2" w:space="0" w:color="auto"/>
              <w:bottom w:val="single" w:sz="2" w:space="0" w:color="auto"/>
              <w:right w:val="single" w:sz="2" w:space="0" w:color="auto"/>
            </w:tcBorders>
            <w:vAlign w:val="center"/>
          </w:tcPr>
          <w:p w14:paraId="7F75083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28,706,522.69</w:t>
            </w:r>
          </w:p>
        </w:tc>
        <w:tc>
          <w:tcPr>
            <w:tcW w:w="723" w:type="dxa"/>
            <w:tcBorders>
              <w:top w:val="single" w:sz="2" w:space="0" w:color="auto"/>
              <w:left w:val="single" w:sz="2" w:space="0" w:color="auto"/>
              <w:bottom w:val="single" w:sz="2" w:space="0" w:color="auto"/>
              <w:right w:val="single" w:sz="2" w:space="0" w:color="auto"/>
            </w:tcBorders>
            <w:vAlign w:val="center"/>
          </w:tcPr>
          <w:p w14:paraId="47C9A30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6.37%</w:t>
            </w:r>
          </w:p>
        </w:tc>
        <w:tc>
          <w:tcPr>
            <w:tcW w:w="1201" w:type="dxa"/>
            <w:tcBorders>
              <w:top w:val="single" w:sz="2" w:space="0" w:color="auto"/>
              <w:left w:val="single" w:sz="2" w:space="0" w:color="auto"/>
              <w:bottom w:val="single" w:sz="2" w:space="0" w:color="auto"/>
              <w:right w:val="single" w:sz="2" w:space="0" w:color="auto"/>
            </w:tcBorders>
            <w:vAlign w:val="center"/>
          </w:tcPr>
          <w:p w14:paraId="1D7F935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421,634,055.32</w:t>
            </w:r>
          </w:p>
        </w:tc>
      </w:tr>
      <w:tr w:rsidR="006C011D" w:rsidRPr="005A284F" w14:paraId="72D23A26" w14:textId="77777777" w:rsidTr="00EC4E04">
        <w:trPr>
          <w:trHeight w:val="241"/>
          <w:jc w:val="center"/>
        </w:trPr>
        <w:tc>
          <w:tcPr>
            <w:tcW w:w="947" w:type="dxa"/>
            <w:tcBorders>
              <w:top w:val="single" w:sz="2" w:space="0" w:color="auto"/>
              <w:left w:val="single" w:sz="2" w:space="0" w:color="auto"/>
              <w:bottom w:val="single" w:sz="2" w:space="0" w:color="auto"/>
              <w:right w:val="single" w:sz="2" w:space="0" w:color="auto"/>
            </w:tcBorders>
            <w:shd w:val="clear" w:color="auto" w:fill="D3D3D3"/>
            <w:vAlign w:val="center"/>
          </w:tcPr>
          <w:p w14:paraId="74950E37"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其中：</w:t>
            </w:r>
          </w:p>
        </w:tc>
        <w:tc>
          <w:tcPr>
            <w:tcW w:w="1160" w:type="dxa"/>
            <w:tcBorders>
              <w:top w:val="single" w:sz="2" w:space="0" w:color="auto"/>
              <w:left w:val="single" w:sz="2" w:space="0" w:color="auto"/>
              <w:bottom w:val="single" w:sz="2" w:space="0" w:color="auto"/>
              <w:right w:val="single" w:sz="2" w:space="0" w:color="auto"/>
            </w:tcBorders>
            <w:shd w:val="clear" w:color="auto" w:fill="D3D3D3"/>
            <w:vAlign w:val="center"/>
          </w:tcPr>
          <w:p w14:paraId="154F4905" w14:textId="77777777" w:rsidR="006C011D" w:rsidRPr="005A284F" w:rsidRDefault="006C011D">
            <w:pPr>
              <w:rPr>
                <w:rFonts w:ascii="Times New Roman" w:eastAsia="宋体" w:hAnsi="Times New Roman" w:cs="Times New Roman"/>
              </w:rPr>
            </w:pPr>
          </w:p>
        </w:tc>
        <w:tc>
          <w:tcPr>
            <w:tcW w:w="738" w:type="dxa"/>
            <w:tcBorders>
              <w:top w:val="single" w:sz="2" w:space="0" w:color="auto"/>
              <w:left w:val="single" w:sz="2" w:space="0" w:color="auto"/>
              <w:bottom w:val="single" w:sz="2" w:space="0" w:color="auto"/>
              <w:right w:val="single" w:sz="2" w:space="0" w:color="auto"/>
            </w:tcBorders>
            <w:shd w:val="clear" w:color="auto" w:fill="D3D3D3"/>
            <w:vAlign w:val="center"/>
          </w:tcPr>
          <w:p w14:paraId="1DB1142B" w14:textId="77777777" w:rsidR="006C011D" w:rsidRPr="005A284F" w:rsidRDefault="006C011D">
            <w:pPr>
              <w:rPr>
                <w:rFonts w:ascii="Times New Roman" w:eastAsia="宋体" w:hAnsi="Times New Roman" w:cs="Times New Roman"/>
              </w:rPr>
            </w:pPr>
          </w:p>
        </w:tc>
        <w:tc>
          <w:tcPr>
            <w:tcW w:w="1105" w:type="dxa"/>
            <w:tcBorders>
              <w:top w:val="single" w:sz="2" w:space="0" w:color="auto"/>
              <w:left w:val="single" w:sz="2" w:space="0" w:color="auto"/>
              <w:bottom w:val="single" w:sz="2" w:space="0" w:color="auto"/>
              <w:right w:val="single" w:sz="2" w:space="0" w:color="auto"/>
            </w:tcBorders>
            <w:shd w:val="clear" w:color="auto" w:fill="D3D3D3"/>
            <w:vAlign w:val="center"/>
          </w:tcPr>
          <w:p w14:paraId="2D5F76CF" w14:textId="77777777" w:rsidR="006C011D" w:rsidRPr="005A284F" w:rsidRDefault="006C011D">
            <w:pPr>
              <w:rPr>
                <w:rFonts w:ascii="Times New Roman" w:eastAsia="宋体" w:hAnsi="Times New Roman" w:cs="Times New Roman"/>
              </w:rPr>
            </w:pPr>
          </w:p>
        </w:tc>
        <w:tc>
          <w:tcPr>
            <w:tcW w:w="793" w:type="dxa"/>
            <w:tcBorders>
              <w:top w:val="single" w:sz="2" w:space="0" w:color="auto"/>
              <w:left w:val="single" w:sz="2" w:space="0" w:color="auto"/>
              <w:bottom w:val="single" w:sz="2" w:space="0" w:color="auto"/>
              <w:right w:val="single" w:sz="2" w:space="0" w:color="auto"/>
            </w:tcBorders>
            <w:shd w:val="clear" w:color="auto" w:fill="D3D3D3"/>
            <w:vAlign w:val="center"/>
          </w:tcPr>
          <w:p w14:paraId="425DBE16" w14:textId="77777777" w:rsidR="006C011D" w:rsidRPr="005A284F" w:rsidRDefault="006C011D">
            <w:pPr>
              <w:rPr>
                <w:rFonts w:ascii="Times New Roman" w:eastAsia="宋体" w:hAnsi="Times New Roman" w:cs="Times New Roman"/>
              </w:rPr>
            </w:pPr>
          </w:p>
        </w:tc>
        <w:tc>
          <w:tcPr>
            <w:tcW w:w="950" w:type="dxa"/>
            <w:tcBorders>
              <w:top w:val="single" w:sz="2" w:space="0" w:color="auto"/>
              <w:left w:val="single" w:sz="2" w:space="0" w:color="auto"/>
              <w:bottom w:val="single" w:sz="2" w:space="0" w:color="auto"/>
              <w:right w:val="single" w:sz="2" w:space="0" w:color="auto"/>
            </w:tcBorders>
            <w:shd w:val="clear" w:color="auto" w:fill="D3D3D3"/>
            <w:vAlign w:val="center"/>
          </w:tcPr>
          <w:p w14:paraId="2152387F" w14:textId="77777777" w:rsidR="006C011D" w:rsidRPr="005A284F" w:rsidRDefault="006C011D">
            <w:pPr>
              <w:rPr>
                <w:rFonts w:ascii="Times New Roman" w:eastAsia="宋体" w:hAnsi="Times New Roman" w:cs="Times New Roman"/>
              </w:rPr>
            </w:pPr>
          </w:p>
        </w:tc>
        <w:tc>
          <w:tcPr>
            <w:tcW w:w="1234" w:type="dxa"/>
            <w:tcBorders>
              <w:top w:val="single" w:sz="2" w:space="0" w:color="auto"/>
              <w:left w:val="single" w:sz="2" w:space="0" w:color="auto"/>
              <w:bottom w:val="single" w:sz="2" w:space="0" w:color="auto"/>
              <w:right w:val="single" w:sz="2" w:space="0" w:color="auto"/>
            </w:tcBorders>
            <w:shd w:val="clear" w:color="auto" w:fill="D3D3D3"/>
            <w:vAlign w:val="center"/>
          </w:tcPr>
          <w:p w14:paraId="6A4E2631" w14:textId="77777777" w:rsidR="006C011D" w:rsidRPr="005A284F" w:rsidRDefault="006C011D">
            <w:pPr>
              <w:rPr>
                <w:rFonts w:ascii="Times New Roman" w:eastAsia="宋体" w:hAnsi="Times New Roman" w:cs="Times New Roman"/>
              </w:rPr>
            </w:pPr>
          </w:p>
        </w:tc>
        <w:tc>
          <w:tcPr>
            <w:tcW w:w="666" w:type="dxa"/>
            <w:tcBorders>
              <w:top w:val="single" w:sz="2" w:space="0" w:color="auto"/>
              <w:left w:val="single" w:sz="2" w:space="0" w:color="auto"/>
              <w:bottom w:val="single" w:sz="2" w:space="0" w:color="auto"/>
              <w:right w:val="single" w:sz="2" w:space="0" w:color="auto"/>
            </w:tcBorders>
            <w:shd w:val="clear" w:color="auto" w:fill="D3D3D3"/>
            <w:vAlign w:val="center"/>
          </w:tcPr>
          <w:p w14:paraId="531C1FA2" w14:textId="77777777" w:rsidR="006C011D" w:rsidRPr="005A284F" w:rsidRDefault="006C011D">
            <w:pPr>
              <w:rPr>
                <w:rFonts w:ascii="Times New Roman" w:eastAsia="宋体" w:hAnsi="Times New Roman" w:cs="Times New Roman"/>
              </w:rPr>
            </w:pPr>
          </w:p>
        </w:tc>
        <w:tc>
          <w:tcPr>
            <w:tcW w:w="1177" w:type="dxa"/>
            <w:tcBorders>
              <w:top w:val="single" w:sz="2" w:space="0" w:color="auto"/>
              <w:left w:val="single" w:sz="2" w:space="0" w:color="auto"/>
              <w:bottom w:val="single" w:sz="2" w:space="0" w:color="auto"/>
              <w:right w:val="single" w:sz="2" w:space="0" w:color="auto"/>
            </w:tcBorders>
            <w:shd w:val="clear" w:color="auto" w:fill="D3D3D3"/>
            <w:vAlign w:val="center"/>
          </w:tcPr>
          <w:p w14:paraId="78F67106" w14:textId="77777777" w:rsidR="006C011D" w:rsidRPr="005A284F" w:rsidRDefault="006C011D">
            <w:pPr>
              <w:rPr>
                <w:rFonts w:ascii="Times New Roman" w:eastAsia="宋体" w:hAnsi="Times New Roman" w:cs="Times New Roman"/>
              </w:rPr>
            </w:pPr>
          </w:p>
        </w:tc>
        <w:tc>
          <w:tcPr>
            <w:tcW w:w="723" w:type="dxa"/>
            <w:tcBorders>
              <w:top w:val="single" w:sz="2" w:space="0" w:color="auto"/>
              <w:left w:val="single" w:sz="2" w:space="0" w:color="auto"/>
              <w:bottom w:val="single" w:sz="2" w:space="0" w:color="auto"/>
              <w:right w:val="single" w:sz="2" w:space="0" w:color="auto"/>
            </w:tcBorders>
            <w:shd w:val="clear" w:color="auto" w:fill="D3D3D3"/>
            <w:vAlign w:val="center"/>
          </w:tcPr>
          <w:p w14:paraId="215AF7F4" w14:textId="77777777" w:rsidR="006C011D" w:rsidRPr="005A284F" w:rsidRDefault="006C011D">
            <w:pPr>
              <w:rPr>
                <w:rFonts w:ascii="Times New Roman" w:eastAsia="宋体" w:hAnsi="Times New Roman" w:cs="Times New Roman"/>
              </w:rPr>
            </w:pPr>
          </w:p>
        </w:tc>
        <w:tc>
          <w:tcPr>
            <w:tcW w:w="1201" w:type="dxa"/>
            <w:tcBorders>
              <w:top w:val="single" w:sz="2" w:space="0" w:color="auto"/>
              <w:left w:val="single" w:sz="2" w:space="0" w:color="auto"/>
              <w:bottom w:val="single" w:sz="2" w:space="0" w:color="auto"/>
              <w:right w:val="single" w:sz="2" w:space="0" w:color="auto"/>
            </w:tcBorders>
            <w:shd w:val="clear" w:color="auto" w:fill="D3D3D3"/>
            <w:vAlign w:val="center"/>
          </w:tcPr>
          <w:p w14:paraId="39E72063" w14:textId="77777777" w:rsidR="006C011D" w:rsidRPr="005A284F" w:rsidRDefault="006C011D">
            <w:pPr>
              <w:rPr>
                <w:rFonts w:ascii="Times New Roman" w:eastAsia="宋体" w:hAnsi="Times New Roman" w:cs="Times New Roman"/>
              </w:rPr>
            </w:pPr>
          </w:p>
        </w:tc>
      </w:tr>
      <w:tr w:rsidR="006C011D" w:rsidRPr="005A284F" w14:paraId="43133B10" w14:textId="77777777" w:rsidTr="00EC4E04">
        <w:trPr>
          <w:trHeight w:val="241"/>
          <w:jc w:val="center"/>
        </w:trPr>
        <w:tc>
          <w:tcPr>
            <w:tcW w:w="947" w:type="dxa"/>
            <w:tcBorders>
              <w:top w:val="single" w:sz="2" w:space="0" w:color="auto"/>
              <w:left w:val="single" w:sz="2" w:space="0" w:color="auto"/>
              <w:bottom w:val="single" w:sz="2" w:space="0" w:color="auto"/>
              <w:right w:val="single" w:sz="2" w:space="0" w:color="auto"/>
            </w:tcBorders>
            <w:vAlign w:val="center"/>
          </w:tcPr>
          <w:p w14:paraId="060DA8E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账龄组合</w:t>
            </w:r>
          </w:p>
        </w:tc>
        <w:tc>
          <w:tcPr>
            <w:tcW w:w="1160" w:type="dxa"/>
            <w:tcBorders>
              <w:top w:val="single" w:sz="2" w:space="0" w:color="auto"/>
              <w:left w:val="single" w:sz="2" w:space="0" w:color="auto"/>
              <w:bottom w:val="single" w:sz="2" w:space="0" w:color="auto"/>
              <w:right w:val="single" w:sz="2" w:space="0" w:color="auto"/>
            </w:tcBorders>
            <w:vAlign w:val="center"/>
          </w:tcPr>
          <w:p w14:paraId="5514C14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435,192,567.44</w:t>
            </w:r>
          </w:p>
        </w:tc>
        <w:tc>
          <w:tcPr>
            <w:tcW w:w="738" w:type="dxa"/>
            <w:tcBorders>
              <w:top w:val="single" w:sz="2" w:space="0" w:color="auto"/>
              <w:left w:val="single" w:sz="2" w:space="0" w:color="auto"/>
              <w:bottom w:val="single" w:sz="2" w:space="0" w:color="auto"/>
              <w:right w:val="single" w:sz="2" w:space="0" w:color="auto"/>
            </w:tcBorders>
            <w:vAlign w:val="center"/>
          </w:tcPr>
          <w:p w14:paraId="18480FE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93.34%</w:t>
            </w:r>
          </w:p>
        </w:tc>
        <w:tc>
          <w:tcPr>
            <w:tcW w:w="1105" w:type="dxa"/>
            <w:tcBorders>
              <w:top w:val="single" w:sz="2" w:space="0" w:color="auto"/>
              <w:left w:val="single" w:sz="2" w:space="0" w:color="auto"/>
              <w:bottom w:val="single" w:sz="2" w:space="0" w:color="auto"/>
              <w:right w:val="single" w:sz="2" w:space="0" w:color="auto"/>
            </w:tcBorders>
            <w:vAlign w:val="center"/>
          </w:tcPr>
          <w:p w14:paraId="1F96A02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26,733,350.67</w:t>
            </w:r>
          </w:p>
        </w:tc>
        <w:tc>
          <w:tcPr>
            <w:tcW w:w="793" w:type="dxa"/>
            <w:tcBorders>
              <w:top w:val="single" w:sz="2" w:space="0" w:color="auto"/>
              <w:left w:val="single" w:sz="2" w:space="0" w:color="auto"/>
              <w:bottom w:val="single" w:sz="2" w:space="0" w:color="auto"/>
              <w:right w:val="single" w:sz="2" w:space="0" w:color="auto"/>
            </w:tcBorders>
            <w:vAlign w:val="center"/>
          </w:tcPr>
          <w:p w14:paraId="7089E6F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6.14%</w:t>
            </w:r>
          </w:p>
        </w:tc>
        <w:tc>
          <w:tcPr>
            <w:tcW w:w="950" w:type="dxa"/>
            <w:tcBorders>
              <w:top w:val="single" w:sz="2" w:space="0" w:color="auto"/>
              <w:left w:val="single" w:sz="2" w:space="0" w:color="auto"/>
              <w:bottom w:val="single" w:sz="2" w:space="0" w:color="auto"/>
              <w:right w:val="single" w:sz="2" w:space="0" w:color="auto"/>
            </w:tcBorders>
            <w:vAlign w:val="center"/>
          </w:tcPr>
          <w:p w14:paraId="756E1E1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408,459,216.77</w:t>
            </w:r>
          </w:p>
        </w:tc>
        <w:tc>
          <w:tcPr>
            <w:tcW w:w="1234" w:type="dxa"/>
            <w:tcBorders>
              <w:top w:val="single" w:sz="2" w:space="0" w:color="auto"/>
              <w:left w:val="single" w:sz="2" w:space="0" w:color="auto"/>
              <w:bottom w:val="single" w:sz="2" w:space="0" w:color="auto"/>
              <w:right w:val="single" w:sz="2" w:space="0" w:color="auto"/>
            </w:tcBorders>
            <w:vAlign w:val="center"/>
          </w:tcPr>
          <w:p w14:paraId="1C85578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450,340,578.01</w:t>
            </w:r>
          </w:p>
        </w:tc>
        <w:tc>
          <w:tcPr>
            <w:tcW w:w="666" w:type="dxa"/>
            <w:tcBorders>
              <w:top w:val="single" w:sz="2" w:space="0" w:color="auto"/>
              <w:left w:val="single" w:sz="2" w:space="0" w:color="auto"/>
              <w:bottom w:val="single" w:sz="2" w:space="0" w:color="auto"/>
              <w:right w:val="single" w:sz="2" w:space="0" w:color="auto"/>
            </w:tcBorders>
            <w:vAlign w:val="center"/>
          </w:tcPr>
          <w:p w14:paraId="427AF98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93.57%</w:t>
            </w:r>
          </w:p>
        </w:tc>
        <w:tc>
          <w:tcPr>
            <w:tcW w:w="1177" w:type="dxa"/>
            <w:tcBorders>
              <w:top w:val="single" w:sz="2" w:space="0" w:color="auto"/>
              <w:left w:val="single" w:sz="2" w:space="0" w:color="auto"/>
              <w:bottom w:val="single" w:sz="2" w:space="0" w:color="auto"/>
              <w:right w:val="single" w:sz="2" w:space="0" w:color="auto"/>
            </w:tcBorders>
            <w:vAlign w:val="center"/>
          </w:tcPr>
          <w:p w14:paraId="02C2BD8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28,706,522.69</w:t>
            </w:r>
          </w:p>
        </w:tc>
        <w:tc>
          <w:tcPr>
            <w:tcW w:w="723" w:type="dxa"/>
            <w:tcBorders>
              <w:top w:val="single" w:sz="2" w:space="0" w:color="auto"/>
              <w:left w:val="single" w:sz="2" w:space="0" w:color="auto"/>
              <w:bottom w:val="single" w:sz="2" w:space="0" w:color="auto"/>
              <w:right w:val="single" w:sz="2" w:space="0" w:color="auto"/>
            </w:tcBorders>
            <w:vAlign w:val="center"/>
          </w:tcPr>
          <w:p w14:paraId="03EEB57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6.37%</w:t>
            </w:r>
          </w:p>
        </w:tc>
        <w:tc>
          <w:tcPr>
            <w:tcW w:w="1201" w:type="dxa"/>
            <w:tcBorders>
              <w:top w:val="single" w:sz="2" w:space="0" w:color="auto"/>
              <w:left w:val="single" w:sz="2" w:space="0" w:color="auto"/>
              <w:bottom w:val="single" w:sz="2" w:space="0" w:color="auto"/>
              <w:right w:val="single" w:sz="2" w:space="0" w:color="auto"/>
            </w:tcBorders>
            <w:vAlign w:val="center"/>
          </w:tcPr>
          <w:p w14:paraId="77B3AD7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421,634,055.32</w:t>
            </w:r>
          </w:p>
        </w:tc>
      </w:tr>
      <w:tr w:rsidR="006C011D" w:rsidRPr="005A284F" w14:paraId="2A81866D" w14:textId="77777777" w:rsidTr="00EC4E04">
        <w:trPr>
          <w:trHeight w:val="241"/>
          <w:jc w:val="center"/>
        </w:trPr>
        <w:tc>
          <w:tcPr>
            <w:tcW w:w="947" w:type="dxa"/>
            <w:tcBorders>
              <w:top w:val="single" w:sz="2" w:space="0" w:color="auto"/>
              <w:left w:val="single" w:sz="2" w:space="0" w:color="auto"/>
              <w:bottom w:val="single" w:sz="2" w:space="0" w:color="auto"/>
              <w:right w:val="single" w:sz="2" w:space="0" w:color="auto"/>
            </w:tcBorders>
            <w:shd w:val="clear" w:color="auto" w:fill="D3D3D3"/>
            <w:vAlign w:val="center"/>
          </w:tcPr>
          <w:p w14:paraId="53CDBB63"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合计</w:t>
            </w:r>
          </w:p>
        </w:tc>
        <w:tc>
          <w:tcPr>
            <w:tcW w:w="1160" w:type="dxa"/>
            <w:tcBorders>
              <w:top w:val="single" w:sz="2" w:space="0" w:color="auto"/>
              <w:left w:val="single" w:sz="2" w:space="0" w:color="auto"/>
              <w:bottom w:val="single" w:sz="2" w:space="0" w:color="auto"/>
              <w:right w:val="single" w:sz="2" w:space="0" w:color="auto"/>
            </w:tcBorders>
            <w:vAlign w:val="center"/>
          </w:tcPr>
          <w:p w14:paraId="169AB85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466,266,106.32</w:t>
            </w:r>
          </w:p>
        </w:tc>
        <w:tc>
          <w:tcPr>
            <w:tcW w:w="738" w:type="dxa"/>
            <w:tcBorders>
              <w:top w:val="single" w:sz="2" w:space="0" w:color="auto"/>
              <w:left w:val="single" w:sz="2" w:space="0" w:color="auto"/>
              <w:bottom w:val="single" w:sz="2" w:space="0" w:color="auto"/>
              <w:right w:val="single" w:sz="2" w:space="0" w:color="auto"/>
            </w:tcBorders>
            <w:vAlign w:val="center"/>
          </w:tcPr>
          <w:p w14:paraId="489F4A6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1105" w:type="dxa"/>
            <w:tcBorders>
              <w:top w:val="single" w:sz="2" w:space="0" w:color="auto"/>
              <w:left w:val="single" w:sz="2" w:space="0" w:color="auto"/>
              <w:bottom w:val="single" w:sz="2" w:space="0" w:color="auto"/>
              <w:right w:val="single" w:sz="2" w:space="0" w:color="auto"/>
            </w:tcBorders>
            <w:vAlign w:val="center"/>
          </w:tcPr>
          <w:p w14:paraId="21F65F5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50,706,889.55</w:t>
            </w:r>
          </w:p>
        </w:tc>
        <w:tc>
          <w:tcPr>
            <w:tcW w:w="793" w:type="dxa"/>
            <w:tcBorders>
              <w:top w:val="single" w:sz="2" w:space="0" w:color="auto"/>
              <w:left w:val="single" w:sz="2" w:space="0" w:color="auto"/>
              <w:bottom w:val="single" w:sz="2" w:space="0" w:color="auto"/>
              <w:right w:val="single" w:sz="2" w:space="0" w:color="auto"/>
            </w:tcBorders>
            <w:vAlign w:val="center"/>
          </w:tcPr>
          <w:p w14:paraId="03B41AC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10.88%</w:t>
            </w:r>
          </w:p>
        </w:tc>
        <w:tc>
          <w:tcPr>
            <w:tcW w:w="950" w:type="dxa"/>
            <w:tcBorders>
              <w:top w:val="single" w:sz="2" w:space="0" w:color="auto"/>
              <w:left w:val="single" w:sz="2" w:space="0" w:color="auto"/>
              <w:bottom w:val="single" w:sz="2" w:space="0" w:color="auto"/>
              <w:right w:val="single" w:sz="2" w:space="0" w:color="auto"/>
            </w:tcBorders>
            <w:vAlign w:val="center"/>
          </w:tcPr>
          <w:p w14:paraId="2F73B7B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415,559,216.77</w:t>
            </w:r>
          </w:p>
        </w:tc>
        <w:tc>
          <w:tcPr>
            <w:tcW w:w="1234" w:type="dxa"/>
            <w:tcBorders>
              <w:top w:val="single" w:sz="2" w:space="0" w:color="auto"/>
              <w:left w:val="single" w:sz="2" w:space="0" w:color="auto"/>
              <w:bottom w:val="single" w:sz="2" w:space="0" w:color="auto"/>
              <w:right w:val="single" w:sz="2" w:space="0" w:color="auto"/>
            </w:tcBorders>
            <w:vAlign w:val="center"/>
          </w:tcPr>
          <w:p w14:paraId="055B60D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481,279,510.06</w:t>
            </w:r>
          </w:p>
        </w:tc>
        <w:tc>
          <w:tcPr>
            <w:tcW w:w="666" w:type="dxa"/>
            <w:tcBorders>
              <w:top w:val="single" w:sz="2" w:space="0" w:color="auto"/>
              <w:left w:val="single" w:sz="2" w:space="0" w:color="auto"/>
              <w:bottom w:val="single" w:sz="2" w:space="0" w:color="auto"/>
              <w:right w:val="single" w:sz="2" w:space="0" w:color="auto"/>
            </w:tcBorders>
            <w:vAlign w:val="center"/>
          </w:tcPr>
          <w:p w14:paraId="1D9DDF0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1177" w:type="dxa"/>
            <w:tcBorders>
              <w:top w:val="single" w:sz="2" w:space="0" w:color="auto"/>
              <w:left w:val="single" w:sz="2" w:space="0" w:color="auto"/>
              <w:bottom w:val="single" w:sz="2" w:space="0" w:color="auto"/>
              <w:right w:val="single" w:sz="2" w:space="0" w:color="auto"/>
            </w:tcBorders>
            <w:vAlign w:val="center"/>
          </w:tcPr>
          <w:p w14:paraId="4C821D1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52,545,454.74</w:t>
            </w:r>
          </w:p>
        </w:tc>
        <w:tc>
          <w:tcPr>
            <w:tcW w:w="723" w:type="dxa"/>
            <w:tcBorders>
              <w:top w:val="single" w:sz="2" w:space="0" w:color="auto"/>
              <w:left w:val="single" w:sz="2" w:space="0" w:color="auto"/>
              <w:bottom w:val="single" w:sz="2" w:space="0" w:color="auto"/>
              <w:right w:val="single" w:sz="2" w:space="0" w:color="auto"/>
            </w:tcBorders>
            <w:vAlign w:val="center"/>
          </w:tcPr>
          <w:p w14:paraId="36A28D0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10.92%</w:t>
            </w:r>
          </w:p>
        </w:tc>
        <w:tc>
          <w:tcPr>
            <w:tcW w:w="1201" w:type="dxa"/>
            <w:tcBorders>
              <w:top w:val="single" w:sz="2" w:space="0" w:color="auto"/>
              <w:left w:val="single" w:sz="2" w:space="0" w:color="auto"/>
              <w:bottom w:val="single" w:sz="2" w:space="0" w:color="auto"/>
              <w:right w:val="single" w:sz="2" w:space="0" w:color="auto"/>
            </w:tcBorders>
            <w:vAlign w:val="center"/>
          </w:tcPr>
          <w:p w14:paraId="15098D6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428,734,055.32</w:t>
            </w:r>
          </w:p>
        </w:tc>
      </w:tr>
    </w:tbl>
    <w:p w14:paraId="3F41522D" w14:textId="77777777" w:rsidR="006C011D" w:rsidRPr="005A284F" w:rsidRDefault="00000000">
      <w:pPr>
        <w:spacing w:before="120" w:after="12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10097"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42"/>
        <w:gridCol w:w="1442"/>
        <w:gridCol w:w="1443"/>
        <w:gridCol w:w="1442"/>
        <w:gridCol w:w="1442"/>
        <w:gridCol w:w="1442"/>
        <w:gridCol w:w="1444"/>
      </w:tblGrid>
      <w:tr w:rsidR="006C011D" w:rsidRPr="005A284F" w14:paraId="354299A3" w14:textId="77777777" w:rsidTr="00EE3DD0">
        <w:trPr>
          <w:trHeight w:val="244"/>
          <w:jc w:val="center"/>
        </w:trPr>
        <w:tc>
          <w:tcPr>
            <w:tcW w:w="144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7FA5D6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名称</w:t>
            </w:r>
          </w:p>
        </w:tc>
        <w:tc>
          <w:tcPr>
            <w:tcW w:w="288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ADDA56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c>
          <w:tcPr>
            <w:tcW w:w="5770"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541E9B8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r>
      <w:tr w:rsidR="006C011D" w:rsidRPr="005A284F" w14:paraId="1C2A25C9" w14:textId="77777777" w:rsidTr="00EE3DD0">
        <w:trPr>
          <w:trHeight w:val="244"/>
          <w:jc w:val="center"/>
        </w:trPr>
        <w:tc>
          <w:tcPr>
            <w:tcW w:w="144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70CD024" w14:textId="77777777" w:rsidR="006C011D" w:rsidRPr="005A284F" w:rsidRDefault="006C011D">
            <w:pPr>
              <w:rPr>
                <w:rFonts w:ascii="Times New Roman" w:eastAsia="宋体" w:hAnsi="Times New Roman" w:cs="Times New Roman"/>
              </w:rPr>
            </w:pPr>
          </w:p>
        </w:tc>
        <w:tc>
          <w:tcPr>
            <w:tcW w:w="1442" w:type="dxa"/>
            <w:tcBorders>
              <w:top w:val="single" w:sz="2" w:space="0" w:color="auto"/>
              <w:left w:val="single" w:sz="2" w:space="0" w:color="auto"/>
              <w:bottom w:val="single" w:sz="2" w:space="0" w:color="auto"/>
              <w:right w:val="single" w:sz="2" w:space="0" w:color="auto"/>
            </w:tcBorders>
            <w:shd w:val="clear" w:color="auto" w:fill="D3D3D3"/>
            <w:vAlign w:val="center"/>
          </w:tcPr>
          <w:p w14:paraId="2199CB5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账面余额</w:t>
            </w:r>
          </w:p>
        </w:tc>
        <w:tc>
          <w:tcPr>
            <w:tcW w:w="1442" w:type="dxa"/>
            <w:tcBorders>
              <w:top w:val="single" w:sz="2" w:space="0" w:color="auto"/>
              <w:left w:val="single" w:sz="2" w:space="0" w:color="auto"/>
              <w:bottom w:val="single" w:sz="2" w:space="0" w:color="auto"/>
              <w:right w:val="single" w:sz="2" w:space="0" w:color="auto"/>
            </w:tcBorders>
            <w:shd w:val="clear" w:color="auto" w:fill="D3D3D3"/>
            <w:vAlign w:val="center"/>
          </w:tcPr>
          <w:p w14:paraId="2419E54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坏账准备</w:t>
            </w:r>
          </w:p>
        </w:tc>
        <w:tc>
          <w:tcPr>
            <w:tcW w:w="1442" w:type="dxa"/>
            <w:tcBorders>
              <w:top w:val="single" w:sz="2" w:space="0" w:color="auto"/>
              <w:left w:val="single" w:sz="2" w:space="0" w:color="auto"/>
              <w:bottom w:val="single" w:sz="2" w:space="0" w:color="auto"/>
              <w:right w:val="single" w:sz="2" w:space="0" w:color="auto"/>
            </w:tcBorders>
            <w:shd w:val="clear" w:color="auto" w:fill="D3D3D3"/>
            <w:vAlign w:val="center"/>
          </w:tcPr>
          <w:p w14:paraId="107CA7A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账面余额</w:t>
            </w:r>
          </w:p>
        </w:tc>
        <w:tc>
          <w:tcPr>
            <w:tcW w:w="1442" w:type="dxa"/>
            <w:tcBorders>
              <w:top w:val="single" w:sz="2" w:space="0" w:color="auto"/>
              <w:left w:val="single" w:sz="2" w:space="0" w:color="auto"/>
              <w:bottom w:val="single" w:sz="2" w:space="0" w:color="auto"/>
              <w:right w:val="single" w:sz="2" w:space="0" w:color="auto"/>
            </w:tcBorders>
            <w:shd w:val="clear" w:color="auto" w:fill="D3D3D3"/>
            <w:vAlign w:val="center"/>
          </w:tcPr>
          <w:p w14:paraId="1937D47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坏账准备</w:t>
            </w:r>
          </w:p>
        </w:tc>
        <w:tc>
          <w:tcPr>
            <w:tcW w:w="1442" w:type="dxa"/>
            <w:tcBorders>
              <w:top w:val="single" w:sz="2" w:space="0" w:color="auto"/>
              <w:left w:val="single" w:sz="2" w:space="0" w:color="auto"/>
              <w:bottom w:val="single" w:sz="2" w:space="0" w:color="auto"/>
              <w:right w:val="single" w:sz="2" w:space="0" w:color="auto"/>
            </w:tcBorders>
            <w:shd w:val="clear" w:color="auto" w:fill="D3D3D3"/>
            <w:vAlign w:val="center"/>
          </w:tcPr>
          <w:p w14:paraId="0DDE67D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计提比例</w:t>
            </w:r>
          </w:p>
        </w:tc>
        <w:tc>
          <w:tcPr>
            <w:tcW w:w="1442" w:type="dxa"/>
            <w:tcBorders>
              <w:top w:val="single" w:sz="2" w:space="0" w:color="auto"/>
              <w:left w:val="single" w:sz="2" w:space="0" w:color="auto"/>
              <w:bottom w:val="single" w:sz="2" w:space="0" w:color="auto"/>
              <w:right w:val="single" w:sz="2" w:space="0" w:color="auto"/>
            </w:tcBorders>
            <w:shd w:val="clear" w:color="auto" w:fill="D3D3D3"/>
            <w:vAlign w:val="center"/>
          </w:tcPr>
          <w:p w14:paraId="28428D0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计提理由</w:t>
            </w:r>
          </w:p>
        </w:tc>
      </w:tr>
      <w:tr w:rsidR="006C011D" w:rsidRPr="005A284F" w14:paraId="6443C133" w14:textId="77777777" w:rsidTr="00EE3DD0">
        <w:trPr>
          <w:trHeight w:val="244"/>
          <w:jc w:val="center"/>
        </w:trPr>
        <w:tc>
          <w:tcPr>
            <w:tcW w:w="1442" w:type="dxa"/>
            <w:tcBorders>
              <w:top w:val="single" w:sz="2" w:space="0" w:color="auto"/>
              <w:left w:val="single" w:sz="2" w:space="0" w:color="auto"/>
              <w:bottom w:val="single" w:sz="2" w:space="0" w:color="auto"/>
              <w:right w:val="single" w:sz="2" w:space="0" w:color="auto"/>
            </w:tcBorders>
            <w:vAlign w:val="center"/>
          </w:tcPr>
          <w:p w14:paraId="17F83F6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青岛家乐福商业有限公司</w:t>
            </w:r>
          </w:p>
        </w:tc>
        <w:tc>
          <w:tcPr>
            <w:tcW w:w="1442" w:type="dxa"/>
            <w:tcBorders>
              <w:top w:val="single" w:sz="2" w:space="0" w:color="auto"/>
              <w:left w:val="single" w:sz="2" w:space="0" w:color="auto"/>
              <w:bottom w:val="single" w:sz="2" w:space="0" w:color="auto"/>
              <w:right w:val="single" w:sz="2" w:space="0" w:color="auto"/>
            </w:tcBorders>
            <w:vAlign w:val="center"/>
          </w:tcPr>
          <w:p w14:paraId="29A417E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779,775.48</w:t>
            </w:r>
          </w:p>
        </w:tc>
        <w:tc>
          <w:tcPr>
            <w:tcW w:w="1442" w:type="dxa"/>
            <w:tcBorders>
              <w:top w:val="single" w:sz="2" w:space="0" w:color="auto"/>
              <w:left w:val="single" w:sz="2" w:space="0" w:color="auto"/>
              <w:bottom w:val="single" w:sz="2" w:space="0" w:color="auto"/>
              <w:right w:val="single" w:sz="2" w:space="0" w:color="auto"/>
            </w:tcBorders>
            <w:vAlign w:val="center"/>
          </w:tcPr>
          <w:p w14:paraId="17368E9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779,775.48</w:t>
            </w:r>
          </w:p>
        </w:tc>
        <w:tc>
          <w:tcPr>
            <w:tcW w:w="1442" w:type="dxa"/>
            <w:tcBorders>
              <w:top w:val="single" w:sz="2" w:space="0" w:color="auto"/>
              <w:left w:val="single" w:sz="2" w:space="0" w:color="auto"/>
              <w:bottom w:val="single" w:sz="2" w:space="0" w:color="auto"/>
              <w:right w:val="single" w:sz="2" w:space="0" w:color="auto"/>
            </w:tcBorders>
            <w:vAlign w:val="center"/>
          </w:tcPr>
          <w:p w14:paraId="230989E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779,775.48</w:t>
            </w:r>
          </w:p>
        </w:tc>
        <w:tc>
          <w:tcPr>
            <w:tcW w:w="1442" w:type="dxa"/>
            <w:tcBorders>
              <w:top w:val="single" w:sz="2" w:space="0" w:color="auto"/>
              <w:left w:val="single" w:sz="2" w:space="0" w:color="auto"/>
              <w:bottom w:val="single" w:sz="2" w:space="0" w:color="auto"/>
              <w:right w:val="single" w:sz="2" w:space="0" w:color="auto"/>
            </w:tcBorders>
            <w:vAlign w:val="center"/>
          </w:tcPr>
          <w:p w14:paraId="3FFD3D1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779,775.48</w:t>
            </w:r>
          </w:p>
        </w:tc>
        <w:tc>
          <w:tcPr>
            <w:tcW w:w="1442" w:type="dxa"/>
            <w:tcBorders>
              <w:top w:val="single" w:sz="2" w:space="0" w:color="auto"/>
              <w:left w:val="single" w:sz="2" w:space="0" w:color="auto"/>
              <w:bottom w:val="single" w:sz="2" w:space="0" w:color="auto"/>
              <w:right w:val="single" w:sz="2" w:space="0" w:color="auto"/>
            </w:tcBorders>
            <w:vAlign w:val="center"/>
          </w:tcPr>
          <w:p w14:paraId="711D55B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1442" w:type="dxa"/>
            <w:tcBorders>
              <w:top w:val="single" w:sz="2" w:space="0" w:color="auto"/>
              <w:left w:val="single" w:sz="2" w:space="0" w:color="auto"/>
              <w:bottom w:val="single" w:sz="2" w:space="0" w:color="auto"/>
              <w:right w:val="single" w:sz="2" w:space="0" w:color="auto"/>
            </w:tcBorders>
            <w:vAlign w:val="center"/>
          </w:tcPr>
          <w:p w14:paraId="0D6E872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客户经营出现问题，无力偿还债务。</w:t>
            </w:r>
          </w:p>
        </w:tc>
      </w:tr>
      <w:tr w:rsidR="006C011D" w:rsidRPr="005A284F" w14:paraId="6DDA6392" w14:textId="77777777" w:rsidTr="00EE3DD0">
        <w:trPr>
          <w:trHeight w:val="244"/>
          <w:jc w:val="center"/>
        </w:trPr>
        <w:tc>
          <w:tcPr>
            <w:tcW w:w="1442" w:type="dxa"/>
            <w:tcBorders>
              <w:top w:val="single" w:sz="2" w:space="0" w:color="auto"/>
              <w:left w:val="single" w:sz="2" w:space="0" w:color="auto"/>
              <w:bottom w:val="single" w:sz="2" w:space="0" w:color="auto"/>
              <w:right w:val="single" w:sz="2" w:space="0" w:color="auto"/>
            </w:tcBorders>
            <w:vAlign w:val="center"/>
          </w:tcPr>
          <w:p w14:paraId="1657C02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平顶山市正安商贸有限公司</w:t>
            </w:r>
          </w:p>
        </w:tc>
        <w:tc>
          <w:tcPr>
            <w:tcW w:w="1442" w:type="dxa"/>
            <w:tcBorders>
              <w:top w:val="single" w:sz="2" w:space="0" w:color="auto"/>
              <w:left w:val="single" w:sz="2" w:space="0" w:color="auto"/>
              <w:bottom w:val="single" w:sz="2" w:space="0" w:color="auto"/>
              <w:right w:val="single" w:sz="2" w:space="0" w:color="auto"/>
            </w:tcBorders>
            <w:vAlign w:val="center"/>
          </w:tcPr>
          <w:p w14:paraId="3F73975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896,156.87</w:t>
            </w:r>
          </w:p>
        </w:tc>
        <w:tc>
          <w:tcPr>
            <w:tcW w:w="1442" w:type="dxa"/>
            <w:tcBorders>
              <w:top w:val="single" w:sz="2" w:space="0" w:color="auto"/>
              <w:left w:val="single" w:sz="2" w:space="0" w:color="auto"/>
              <w:bottom w:val="single" w:sz="2" w:space="0" w:color="auto"/>
              <w:right w:val="single" w:sz="2" w:space="0" w:color="auto"/>
            </w:tcBorders>
            <w:vAlign w:val="center"/>
          </w:tcPr>
          <w:p w14:paraId="508107F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896,156.87</w:t>
            </w:r>
          </w:p>
        </w:tc>
        <w:tc>
          <w:tcPr>
            <w:tcW w:w="1442" w:type="dxa"/>
            <w:tcBorders>
              <w:top w:val="single" w:sz="2" w:space="0" w:color="auto"/>
              <w:left w:val="single" w:sz="2" w:space="0" w:color="auto"/>
              <w:bottom w:val="single" w:sz="2" w:space="0" w:color="auto"/>
              <w:right w:val="single" w:sz="2" w:space="0" w:color="auto"/>
            </w:tcBorders>
            <w:vAlign w:val="center"/>
          </w:tcPr>
          <w:p w14:paraId="011C880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896,156.87</w:t>
            </w:r>
          </w:p>
        </w:tc>
        <w:tc>
          <w:tcPr>
            <w:tcW w:w="1442" w:type="dxa"/>
            <w:tcBorders>
              <w:top w:val="single" w:sz="2" w:space="0" w:color="auto"/>
              <w:left w:val="single" w:sz="2" w:space="0" w:color="auto"/>
              <w:bottom w:val="single" w:sz="2" w:space="0" w:color="auto"/>
              <w:right w:val="single" w:sz="2" w:space="0" w:color="auto"/>
            </w:tcBorders>
            <w:vAlign w:val="center"/>
          </w:tcPr>
          <w:p w14:paraId="3E9A0A9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896,156.87</w:t>
            </w:r>
          </w:p>
        </w:tc>
        <w:tc>
          <w:tcPr>
            <w:tcW w:w="1442" w:type="dxa"/>
            <w:tcBorders>
              <w:top w:val="single" w:sz="2" w:space="0" w:color="auto"/>
              <w:left w:val="single" w:sz="2" w:space="0" w:color="auto"/>
              <w:bottom w:val="single" w:sz="2" w:space="0" w:color="auto"/>
              <w:right w:val="single" w:sz="2" w:space="0" w:color="auto"/>
            </w:tcBorders>
            <w:vAlign w:val="center"/>
          </w:tcPr>
          <w:p w14:paraId="3696261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1442" w:type="dxa"/>
            <w:tcBorders>
              <w:top w:val="single" w:sz="2" w:space="0" w:color="auto"/>
              <w:left w:val="single" w:sz="2" w:space="0" w:color="auto"/>
              <w:bottom w:val="single" w:sz="2" w:space="0" w:color="auto"/>
              <w:right w:val="single" w:sz="2" w:space="0" w:color="auto"/>
            </w:tcBorders>
            <w:vAlign w:val="center"/>
          </w:tcPr>
          <w:p w14:paraId="39402BB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客户经营出现问题，无力偿还债务。</w:t>
            </w:r>
          </w:p>
        </w:tc>
      </w:tr>
      <w:tr w:rsidR="006C011D" w:rsidRPr="005A284F" w14:paraId="2AA390C4" w14:textId="77777777" w:rsidTr="00EE3DD0">
        <w:trPr>
          <w:trHeight w:val="244"/>
          <w:jc w:val="center"/>
        </w:trPr>
        <w:tc>
          <w:tcPr>
            <w:tcW w:w="1442" w:type="dxa"/>
            <w:tcBorders>
              <w:top w:val="single" w:sz="2" w:space="0" w:color="auto"/>
              <w:left w:val="single" w:sz="2" w:space="0" w:color="auto"/>
              <w:bottom w:val="single" w:sz="2" w:space="0" w:color="auto"/>
              <w:right w:val="single" w:sz="2" w:space="0" w:color="auto"/>
            </w:tcBorders>
            <w:vAlign w:val="center"/>
          </w:tcPr>
          <w:p w14:paraId="6E2AD28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个人批发商云南宣威徐欢</w:t>
            </w:r>
          </w:p>
        </w:tc>
        <w:tc>
          <w:tcPr>
            <w:tcW w:w="1442" w:type="dxa"/>
            <w:tcBorders>
              <w:top w:val="single" w:sz="2" w:space="0" w:color="auto"/>
              <w:left w:val="single" w:sz="2" w:space="0" w:color="auto"/>
              <w:bottom w:val="single" w:sz="2" w:space="0" w:color="auto"/>
              <w:right w:val="single" w:sz="2" w:space="0" w:color="auto"/>
            </w:tcBorders>
            <w:vAlign w:val="center"/>
          </w:tcPr>
          <w:p w14:paraId="7BDC1E1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700,000.00</w:t>
            </w:r>
          </w:p>
        </w:tc>
        <w:tc>
          <w:tcPr>
            <w:tcW w:w="1442" w:type="dxa"/>
            <w:tcBorders>
              <w:top w:val="single" w:sz="2" w:space="0" w:color="auto"/>
              <w:left w:val="single" w:sz="2" w:space="0" w:color="auto"/>
              <w:bottom w:val="single" w:sz="2" w:space="0" w:color="auto"/>
              <w:right w:val="single" w:sz="2" w:space="0" w:color="auto"/>
            </w:tcBorders>
            <w:vAlign w:val="center"/>
          </w:tcPr>
          <w:p w14:paraId="467B8BC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700,000.00</w:t>
            </w:r>
          </w:p>
        </w:tc>
        <w:tc>
          <w:tcPr>
            <w:tcW w:w="1442" w:type="dxa"/>
            <w:tcBorders>
              <w:top w:val="single" w:sz="2" w:space="0" w:color="auto"/>
              <w:left w:val="single" w:sz="2" w:space="0" w:color="auto"/>
              <w:bottom w:val="single" w:sz="2" w:space="0" w:color="auto"/>
              <w:right w:val="single" w:sz="2" w:space="0" w:color="auto"/>
            </w:tcBorders>
            <w:vAlign w:val="center"/>
          </w:tcPr>
          <w:p w14:paraId="0CAF5F3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700,000.00</w:t>
            </w:r>
          </w:p>
        </w:tc>
        <w:tc>
          <w:tcPr>
            <w:tcW w:w="1442" w:type="dxa"/>
            <w:tcBorders>
              <w:top w:val="single" w:sz="2" w:space="0" w:color="auto"/>
              <w:left w:val="single" w:sz="2" w:space="0" w:color="auto"/>
              <w:bottom w:val="single" w:sz="2" w:space="0" w:color="auto"/>
              <w:right w:val="single" w:sz="2" w:space="0" w:color="auto"/>
            </w:tcBorders>
            <w:vAlign w:val="center"/>
          </w:tcPr>
          <w:p w14:paraId="3EE5753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700,000.00</w:t>
            </w:r>
          </w:p>
        </w:tc>
        <w:tc>
          <w:tcPr>
            <w:tcW w:w="1442" w:type="dxa"/>
            <w:tcBorders>
              <w:top w:val="single" w:sz="2" w:space="0" w:color="auto"/>
              <w:left w:val="single" w:sz="2" w:space="0" w:color="auto"/>
              <w:bottom w:val="single" w:sz="2" w:space="0" w:color="auto"/>
              <w:right w:val="single" w:sz="2" w:space="0" w:color="auto"/>
            </w:tcBorders>
            <w:vAlign w:val="center"/>
          </w:tcPr>
          <w:p w14:paraId="03CF62F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1442" w:type="dxa"/>
            <w:tcBorders>
              <w:top w:val="single" w:sz="2" w:space="0" w:color="auto"/>
              <w:left w:val="single" w:sz="2" w:space="0" w:color="auto"/>
              <w:bottom w:val="single" w:sz="2" w:space="0" w:color="auto"/>
              <w:right w:val="single" w:sz="2" w:space="0" w:color="auto"/>
            </w:tcBorders>
            <w:vAlign w:val="center"/>
          </w:tcPr>
          <w:p w14:paraId="4614E50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客户经营出现问题，无力偿还债务。</w:t>
            </w:r>
          </w:p>
        </w:tc>
      </w:tr>
      <w:tr w:rsidR="006C011D" w:rsidRPr="005A284F" w14:paraId="0547598B" w14:textId="77777777" w:rsidTr="00EE3DD0">
        <w:trPr>
          <w:trHeight w:val="244"/>
          <w:jc w:val="center"/>
        </w:trPr>
        <w:tc>
          <w:tcPr>
            <w:tcW w:w="1442" w:type="dxa"/>
            <w:tcBorders>
              <w:top w:val="single" w:sz="2" w:space="0" w:color="auto"/>
              <w:left w:val="single" w:sz="2" w:space="0" w:color="auto"/>
              <w:bottom w:val="single" w:sz="2" w:space="0" w:color="auto"/>
              <w:right w:val="single" w:sz="2" w:space="0" w:color="auto"/>
            </w:tcBorders>
            <w:vAlign w:val="center"/>
          </w:tcPr>
          <w:p w14:paraId="5FF58AC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贵州杨老奶食品有限公司</w:t>
            </w:r>
          </w:p>
        </w:tc>
        <w:tc>
          <w:tcPr>
            <w:tcW w:w="1442" w:type="dxa"/>
            <w:tcBorders>
              <w:top w:val="single" w:sz="2" w:space="0" w:color="auto"/>
              <w:left w:val="single" w:sz="2" w:space="0" w:color="auto"/>
              <w:bottom w:val="single" w:sz="2" w:space="0" w:color="auto"/>
              <w:right w:val="single" w:sz="2" w:space="0" w:color="auto"/>
            </w:tcBorders>
            <w:vAlign w:val="center"/>
          </w:tcPr>
          <w:p w14:paraId="69D959B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648,094.70</w:t>
            </w:r>
          </w:p>
        </w:tc>
        <w:tc>
          <w:tcPr>
            <w:tcW w:w="1442" w:type="dxa"/>
            <w:tcBorders>
              <w:top w:val="single" w:sz="2" w:space="0" w:color="auto"/>
              <w:left w:val="single" w:sz="2" w:space="0" w:color="auto"/>
              <w:bottom w:val="single" w:sz="2" w:space="0" w:color="auto"/>
              <w:right w:val="single" w:sz="2" w:space="0" w:color="auto"/>
            </w:tcBorders>
            <w:vAlign w:val="center"/>
          </w:tcPr>
          <w:p w14:paraId="5252C8F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648,094.70</w:t>
            </w:r>
          </w:p>
        </w:tc>
        <w:tc>
          <w:tcPr>
            <w:tcW w:w="1442" w:type="dxa"/>
            <w:tcBorders>
              <w:top w:val="single" w:sz="2" w:space="0" w:color="auto"/>
              <w:left w:val="single" w:sz="2" w:space="0" w:color="auto"/>
              <w:bottom w:val="single" w:sz="2" w:space="0" w:color="auto"/>
              <w:right w:val="single" w:sz="2" w:space="0" w:color="auto"/>
            </w:tcBorders>
            <w:vAlign w:val="center"/>
          </w:tcPr>
          <w:p w14:paraId="4CF5B57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648,094.70</w:t>
            </w:r>
          </w:p>
        </w:tc>
        <w:tc>
          <w:tcPr>
            <w:tcW w:w="1442" w:type="dxa"/>
            <w:tcBorders>
              <w:top w:val="single" w:sz="2" w:space="0" w:color="auto"/>
              <w:left w:val="single" w:sz="2" w:space="0" w:color="auto"/>
              <w:bottom w:val="single" w:sz="2" w:space="0" w:color="auto"/>
              <w:right w:val="single" w:sz="2" w:space="0" w:color="auto"/>
            </w:tcBorders>
            <w:vAlign w:val="center"/>
          </w:tcPr>
          <w:p w14:paraId="093FF72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648,094.70</w:t>
            </w:r>
          </w:p>
        </w:tc>
        <w:tc>
          <w:tcPr>
            <w:tcW w:w="1442" w:type="dxa"/>
            <w:tcBorders>
              <w:top w:val="single" w:sz="2" w:space="0" w:color="auto"/>
              <w:left w:val="single" w:sz="2" w:space="0" w:color="auto"/>
              <w:bottom w:val="single" w:sz="2" w:space="0" w:color="auto"/>
              <w:right w:val="single" w:sz="2" w:space="0" w:color="auto"/>
            </w:tcBorders>
            <w:vAlign w:val="center"/>
          </w:tcPr>
          <w:p w14:paraId="75F9EB0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1442" w:type="dxa"/>
            <w:tcBorders>
              <w:top w:val="single" w:sz="2" w:space="0" w:color="auto"/>
              <w:left w:val="single" w:sz="2" w:space="0" w:color="auto"/>
              <w:bottom w:val="single" w:sz="2" w:space="0" w:color="auto"/>
              <w:right w:val="single" w:sz="2" w:space="0" w:color="auto"/>
            </w:tcBorders>
            <w:vAlign w:val="center"/>
          </w:tcPr>
          <w:p w14:paraId="0FBA9DE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客户经营出现问题，无力偿还债务。</w:t>
            </w:r>
          </w:p>
        </w:tc>
      </w:tr>
      <w:tr w:rsidR="006C011D" w:rsidRPr="005A284F" w14:paraId="38F8C0A0" w14:textId="77777777" w:rsidTr="00EE3DD0">
        <w:trPr>
          <w:trHeight w:val="244"/>
          <w:jc w:val="center"/>
        </w:trPr>
        <w:tc>
          <w:tcPr>
            <w:tcW w:w="1442" w:type="dxa"/>
            <w:tcBorders>
              <w:top w:val="single" w:sz="2" w:space="0" w:color="auto"/>
              <w:left w:val="single" w:sz="2" w:space="0" w:color="auto"/>
              <w:bottom w:val="single" w:sz="2" w:space="0" w:color="auto"/>
              <w:right w:val="single" w:sz="2" w:space="0" w:color="auto"/>
            </w:tcBorders>
            <w:vAlign w:val="center"/>
          </w:tcPr>
          <w:p w14:paraId="1D42E1B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云南森茂食品有限公司</w:t>
            </w:r>
          </w:p>
        </w:tc>
        <w:tc>
          <w:tcPr>
            <w:tcW w:w="1442" w:type="dxa"/>
            <w:tcBorders>
              <w:top w:val="single" w:sz="2" w:space="0" w:color="auto"/>
              <w:left w:val="single" w:sz="2" w:space="0" w:color="auto"/>
              <w:bottom w:val="single" w:sz="2" w:space="0" w:color="auto"/>
              <w:right w:val="single" w:sz="2" w:space="0" w:color="auto"/>
            </w:tcBorders>
            <w:vAlign w:val="center"/>
          </w:tcPr>
          <w:p w14:paraId="29D925F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15,040,162.30</w:t>
            </w:r>
          </w:p>
        </w:tc>
        <w:tc>
          <w:tcPr>
            <w:tcW w:w="1442" w:type="dxa"/>
            <w:tcBorders>
              <w:top w:val="single" w:sz="2" w:space="0" w:color="auto"/>
              <w:left w:val="single" w:sz="2" w:space="0" w:color="auto"/>
              <w:bottom w:val="single" w:sz="2" w:space="0" w:color="auto"/>
              <w:right w:val="single" w:sz="2" w:space="0" w:color="auto"/>
            </w:tcBorders>
            <w:vAlign w:val="center"/>
          </w:tcPr>
          <w:p w14:paraId="0A92F07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7,940,162.30</w:t>
            </w:r>
          </w:p>
        </w:tc>
        <w:tc>
          <w:tcPr>
            <w:tcW w:w="1442" w:type="dxa"/>
            <w:tcBorders>
              <w:top w:val="single" w:sz="2" w:space="0" w:color="auto"/>
              <w:left w:val="single" w:sz="2" w:space="0" w:color="auto"/>
              <w:bottom w:val="single" w:sz="2" w:space="0" w:color="auto"/>
              <w:right w:val="single" w:sz="2" w:space="0" w:color="auto"/>
            </w:tcBorders>
            <w:vAlign w:val="center"/>
          </w:tcPr>
          <w:p w14:paraId="4220D13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14,753,652.24</w:t>
            </w:r>
          </w:p>
        </w:tc>
        <w:tc>
          <w:tcPr>
            <w:tcW w:w="1442" w:type="dxa"/>
            <w:tcBorders>
              <w:top w:val="single" w:sz="2" w:space="0" w:color="auto"/>
              <w:left w:val="single" w:sz="2" w:space="0" w:color="auto"/>
              <w:bottom w:val="single" w:sz="2" w:space="0" w:color="auto"/>
              <w:right w:val="single" w:sz="2" w:space="0" w:color="auto"/>
            </w:tcBorders>
            <w:vAlign w:val="center"/>
          </w:tcPr>
          <w:p w14:paraId="0007E53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7,653,652.24</w:t>
            </w:r>
          </w:p>
        </w:tc>
        <w:tc>
          <w:tcPr>
            <w:tcW w:w="1442" w:type="dxa"/>
            <w:tcBorders>
              <w:top w:val="single" w:sz="2" w:space="0" w:color="auto"/>
              <w:left w:val="single" w:sz="2" w:space="0" w:color="auto"/>
              <w:bottom w:val="single" w:sz="2" w:space="0" w:color="auto"/>
              <w:right w:val="single" w:sz="2" w:space="0" w:color="auto"/>
            </w:tcBorders>
            <w:vAlign w:val="center"/>
          </w:tcPr>
          <w:p w14:paraId="49F1DAA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51.88%</w:t>
            </w:r>
          </w:p>
        </w:tc>
        <w:tc>
          <w:tcPr>
            <w:tcW w:w="1442" w:type="dxa"/>
            <w:tcBorders>
              <w:top w:val="single" w:sz="2" w:space="0" w:color="auto"/>
              <w:left w:val="single" w:sz="2" w:space="0" w:color="auto"/>
              <w:bottom w:val="single" w:sz="2" w:space="0" w:color="auto"/>
              <w:right w:val="single" w:sz="2" w:space="0" w:color="auto"/>
            </w:tcBorders>
            <w:vAlign w:val="center"/>
          </w:tcPr>
          <w:p w14:paraId="5E5D364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诉讼后管理层预计可收回金额。</w:t>
            </w:r>
          </w:p>
        </w:tc>
      </w:tr>
      <w:tr w:rsidR="006C011D" w:rsidRPr="005A284F" w14:paraId="61CA5412" w14:textId="77777777" w:rsidTr="00EE3DD0">
        <w:trPr>
          <w:trHeight w:val="244"/>
          <w:jc w:val="center"/>
        </w:trPr>
        <w:tc>
          <w:tcPr>
            <w:tcW w:w="1442" w:type="dxa"/>
            <w:tcBorders>
              <w:top w:val="single" w:sz="2" w:space="0" w:color="auto"/>
              <w:left w:val="single" w:sz="2" w:space="0" w:color="auto"/>
              <w:bottom w:val="single" w:sz="2" w:space="0" w:color="auto"/>
              <w:right w:val="single" w:sz="2" w:space="0" w:color="auto"/>
            </w:tcBorders>
            <w:vAlign w:val="center"/>
          </w:tcPr>
          <w:p w14:paraId="3A028AC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云南亚东宏工贸有限公司</w:t>
            </w:r>
          </w:p>
        </w:tc>
        <w:tc>
          <w:tcPr>
            <w:tcW w:w="1442" w:type="dxa"/>
            <w:tcBorders>
              <w:top w:val="single" w:sz="2" w:space="0" w:color="auto"/>
              <w:left w:val="single" w:sz="2" w:space="0" w:color="auto"/>
              <w:bottom w:val="single" w:sz="2" w:space="0" w:color="auto"/>
              <w:right w:val="single" w:sz="2" w:space="0" w:color="auto"/>
            </w:tcBorders>
            <w:vAlign w:val="center"/>
          </w:tcPr>
          <w:p w14:paraId="0E91AC5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11,468,585.62</w:t>
            </w:r>
          </w:p>
        </w:tc>
        <w:tc>
          <w:tcPr>
            <w:tcW w:w="1442" w:type="dxa"/>
            <w:tcBorders>
              <w:top w:val="single" w:sz="2" w:space="0" w:color="auto"/>
              <w:left w:val="single" w:sz="2" w:space="0" w:color="auto"/>
              <w:bottom w:val="single" w:sz="2" w:space="0" w:color="auto"/>
              <w:right w:val="single" w:sz="2" w:space="0" w:color="auto"/>
            </w:tcBorders>
            <w:vAlign w:val="center"/>
          </w:tcPr>
          <w:p w14:paraId="058C344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11,468,585.62</w:t>
            </w:r>
          </w:p>
        </w:tc>
        <w:tc>
          <w:tcPr>
            <w:tcW w:w="1442" w:type="dxa"/>
            <w:tcBorders>
              <w:top w:val="single" w:sz="2" w:space="0" w:color="auto"/>
              <w:left w:val="single" w:sz="2" w:space="0" w:color="auto"/>
              <w:bottom w:val="single" w:sz="2" w:space="0" w:color="auto"/>
              <w:right w:val="single" w:sz="2" w:space="0" w:color="auto"/>
            </w:tcBorders>
            <w:vAlign w:val="center"/>
          </w:tcPr>
          <w:p w14:paraId="6EBD8E7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11,468,585.62</w:t>
            </w:r>
          </w:p>
        </w:tc>
        <w:tc>
          <w:tcPr>
            <w:tcW w:w="1442" w:type="dxa"/>
            <w:tcBorders>
              <w:top w:val="single" w:sz="2" w:space="0" w:color="auto"/>
              <w:left w:val="single" w:sz="2" w:space="0" w:color="auto"/>
              <w:bottom w:val="single" w:sz="2" w:space="0" w:color="auto"/>
              <w:right w:val="single" w:sz="2" w:space="0" w:color="auto"/>
            </w:tcBorders>
            <w:vAlign w:val="center"/>
          </w:tcPr>
          <w:p w14:paraId="791001F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11,468,585.62</w:t>
            </w:r>
          </w:p>
        </w:tc>
        <w:tc>
          <w:tcPr>
            <w:tcW w:w="1442" w:type="dxa"/>
            <w:tcBorders>
              <w:top w:val="single" w:sz="2" w:space="0" w:color="auto"/>
              <w:left w:val="single" w:sz="2" w:space="0" w:color="auto"/>
              <w:bottom w:val="single" w:sz="2" w:space="0" w:color="auto"/>
              <w:right w:val="single" w:sz="2" w:space="0" w:color="auto"/>
            </w:tcBorders>
            <w:vAlign w:val="center"/>
          </w:tcPr>
          <w:p w14:paraId="76282F2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1442" w:type="dxa"/>
            <w:tcBorders>
              <w:top w:val="single" w:sz="2" w:space="0" w:color="auto"/>
              <w:left w:val="single" w:sz="2" w:space="0" w:color="auto"/>
              <w:bottom w:val="single" w:sz="2" w:space="0" w:color="auto"/>
              <w:right w:val="single" w:sz="2" w:space="0" w:color="auto"/>
            </w:tcBorders>
            <w:vAlign w:val="center"/>
          </w:tcPr>
          <w:p w14:paraId="7EA6D87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客户经营出现问题，无力偿还债务。</w:t>
            </w:r>
          </w:p>
        </w:tc>
      </w:tr>
      <w:tr w:rsidR="006C011D" w:rsidRPr="005A284F" w14:paraId="68376CFB" w14:textId="77777777" w:rsidTr="00EE3DD0">
        <w:trPr>
          <w:trHeight w:val="244"/>
          <w:jc w:val="center"/>
        </w:trPr>
        <w:tc>
          <w:tcPr>
            <w:tcW w:w="1442" w:type="dxa"/>
            <w:tcBorders>
              <w:top w:val="single" w:sz="2" w:space="0" w:color="auto"/>
              <w:left w:val="single" w:sz="2" w:space="0" w:color="auto"/>
              <w:bottom w:val="single" w:sz="2" w:space="0" w:color="auto"/>
              <w:right w:val="single" w:sz="2" w:space="0" w:color="auto"/>
            </w:tcBorders>
            <w:vAlign w:val="center"/>
          </w:tcPr>
          <w:p w14:paraId="2A081B7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c>
          <w:tcPr>
            <w:tcW w:w="1442" w:type="dxa"/>
            <w:tcBorders>
              <w:top w:val="single" w:sz="2" w:space="0" w:color="auto"/>
              <w:left w:val="single" w:sz="2" w:space="0" w:color="auto"/>
              <w:bottom w:val="single" w:sz="2" w:space="0" w:color="auto"/>
              <w:right w:val="single" w:sz="2" w:space="0" w:color="auto"/>
            </w:tcBorders>
            <w:vAlign w:val="center"/>
          </w:tcPr>
          <w:p w14:paraId="141297C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1,406,157.08</w:t>
            </w:r>
          </w:p>
        </w:tc>
        <w:tc>
          <w:tcPr>
            <w:tcW w:w="1442" w:type="dxa"/>
            <w:tcBorders>
              <w:top w:val="single" w:sz="2" w:space="0" w:color="auto"/>
              <w:left w:val="single" w:sz="2" w:space="0" w:color="auto"/>
              <w:bottom w:val="single" w:sz="2" w:space="0" w:color="auto"/>
              <w:right w:val="single" w:sz="2" w:space="0" w:color="auto"/>
            </w:tcBorders>
            <w:vAlign w:val="center"/>
          </w:tcPr>
          <w:p w14:paraId="28553DD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1,406,157.08</w:t>
            </w:r>
          </w:p>
        </w:tc>
        <w:tc>
          <w:tcPr>
            <w:tcW w:w="1442" w:type="dxa"/>
            <w:tcBorders>
              <w:top w:val="single" w:sz="2" w:space="0" w:color="auto"/>
              <w:left w:val="single" w:sz="2" w:space="0" w:color="auto"/>
              <w:bottom w:val="single" w:sz="2" w:space="0" w:color="auto"/>
              <w:right w:val="single" w:sz="2" w:space="0" w:color="auto"/>
            </w:tcBorders>
            <w:vAlign w:val="center"/>
          </w:tcPr>
          <w:p w14:paraId="6932B38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1,827,273.97</w:t>
            </w:r>
          </w:p>
        </w:tc>
        <w:tc>
          <w:tcPr>
            <w:tcW w:w="1442" w:type="dxa"/>
            <w:tcBorders>
              <w:top w:val="single" w:sz="2" w:space="0" w:color="auto"/>
              <w:left w:val="single" w:sz="2" w:space="0" w:color="auto"/>
              <w:bottom w:val="single" w:sz="2" w:space="0" w:color="auto"/>
              <w:right w:val="single" w:sz="2" w:space="0" w:color="auto"/>
            </w:tcBorders>
            <w:vAlign w:val="center"/>
          </w:tcPr>
          <w:p w14:paraId="591D378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1,827,273.97</w:t>
            </w:r>
          </w:p>
        </w:tc>
        <w:tc>
          <w:tcPr>
            <w:tcW w:w="1442" w:type="dxa"/>
            <w:tcBorders>
              <w:top w:val="single" w:sz="2" w:space="0" w:color="auto"/>
              <w:left w:val="single" w:sz="2" w:space="0" w:color="auto"/>
              <w:bottom w:val="single" w:sz="2" w:space="0" w:color="auto"/>
              <w:right w:val="single" w:sz="2" w:space="0" w:color="auto"/>
            </w:tcBorders>
            <w:vAlign w:val="center"/>
          </w:tcPr>
          <w:p w14:paraId="50E708F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1442" w:type="dxa"/>
            <w:tcBorders>
              <w:top w:val="single" w:sz="2" w:space="0" w:color="auto"/>
              <w:left w:val="single" w:sz="2" w:space="0" w:color="auto"/>
              <w:bottom w:val="single" w:sz="2" w:space="0" w:color="auto"/>
              <w:right w:val="single" w:sz="2" w:space="0" w:color="auto"/>
            </w:tcBorders>
            <w:vAlign w:val="center"/>
          </w:tcPr>
          <w:p w14:paraId="4A4F889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客户经营出现问题，无力偿还债务。</w:t>
            </w:r>
          </w:p>
        </w:tc>
      </w:tr>
      <w:tr w:rsidR="006C011D" w:rsidRPr="005A284F" w14:paraId="7C4251FA" w14:textId="77777777" w:rsidTr="00EE3DD0">
        <w:trPr>
          <w:trHeight w:val="244"/>
          <w:jc w:val="center"/>
        </w:trPr>
        <w:tc>
          <w:tcPr>
            <w:tcW w:w="1442" w:type="dxa"/>
            <w:tcBorders>
              <w:top w:val="single" w:sz="2" w:space="0" w:color="auto"/>
              <w:left w:val="single" w:sz="2" w:space="0" w:color="auto"/>
              <w:bottom w:val="single" w:sz="2" w:space="0" w:color="auto"/>
              <w:right w:val="single" w:sz="2" w:space="0" w:color="auto"/>
            </w:tcBorders>
            <w:shd w:val="clear" w:color="auto" w:fill="D3D3D3"/>
            <w:vAlign w:val="center"/>
          </w:tcPr>
          <w:p w14:paraId="315CC382"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1442" w:type="dxa"/>
            <w:tcBorders>
              <w:top w:val="single" w:sz="2" w:space="0" w:color="auto"/>
              <w:left w:val="single" w:sz="2" w:space="0" w:color="auto"/>
              <w:bottom w:val="single" w:sz="2" w:space="0" w:color="auto"/>
              <w:right w:val="single" w:sz="2" w:space="0" w:color="auto"/>
            </w:tcBorders>
            <w:vAlign w:val="center"/>
          </w:tcPr>
          <w:p w14:paraId="4EC5226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30,938,932.05</w:t>
            </w:r>
          </w:p>
        </w:tc>
        <w:tc>
          <w:tcPr>
            <w:tcW w:w="1442" w:type="dxa"/>
            <w:tcBorders>
              <w:top w:val="single" w:sz="2" w:space="0" w:color="auto"/>
              <w:left w:val="single" w:sz="2" w:space="0" w:color="auto"/>
              <w:bottom w:val="single" w:sz="2" w:space="0" w:color="auto"/>
              <w:right w:val="single" w:sz="2" w:space="0" w:color="auto"/>
            </w:tcBorders>
            <w:vAlign w:val="center"/>
          </w:tcPr>
          <w:p w14:paraId="7BC58A8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23,838,932.05</w:t>
            </w:r>
          </w:p>
        </w:tc>
        <w:tc>
          <w:tcPr>
            <w:tcW w:w="1442" w:type="dxa"/>
            <w:tcBorders>
              <w:top w:val="single" w:sz="2" w:space="0" w:color="auto"/>
              <w:left w:val="single" w:sz="2" w:space="0" w:color="auto"/>
              <w:bottom w:val="single" w:sz="2" w:space="0" w:color="auto"/>
              <w:right w:val="single" w:sz="2" w:space="0" w:color="auto"/>
            </w:tcBorders>
            <w:vAlign w:val="center"/>
          </w:tcPr>
          <w:p w14:paraId="6460575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31,073,538.88</w:t>
            </w:r>
          </w:p>
        </w:tc>
        <w:tc>
          <w:tcPr>
            <w:tcW w:w="1442" w:type="dxa"/>
            <w:tcBorders>
              <w:top w:val="single" w:sz="2" w:space="0" w:color="auto"/>
              <w:left w:val="single" w:sz="2" w:space="0" w:color="auto"/>
              <w:bottom w:val="single" w:sz="2" w:space="0" w:color="auto"/>
              <w:right w:val="single" w:sz="2" w:space="0" w:color="auto"/>
            </w:tcBorders>
            <w:vAlign w:val="center"/>
          </w:tcPr>
          <w:p w14:paraId="5F02F5C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23,973,538.88</w:t>
            </w:r>
          </w:p>
        </w:tc>
        <w:tc>
          <w:tcPr>
            <w:tcW w:w="1442" w:type="dxa"/>
            <w:tcBorders>
              <w:top w:val="single" w:sz="2" w:space="0" w:color="auto"/>
              <w:left w:val="single" w:sz="2" w:space="0" w:color="auto"/>
              <w:bottom w:val="single" w:sz="2" w:space="0" w:color="auto"/>
              <w:right w:val="single" w:sz="2" w:space="0" w:color="auto"/>
            </w:tcBorders>
            <w:shd w:val="clear" w:color="auto" w:fill="D3D3D3"/>
            <w:vAlign w:val="center"/>
          </w:tcPr>
          <w:p w14:paraId="0F9B98FB" w14:textId="77777777" w:rsidR="006C011D" w:rsidRPr="005A284F" w:rsidRDefault="006C011D">
            <w:pPr>
              <w:rPr>
                <w:rFonts w:ascii="Times New Roman" w:eastAsia="宋体" w:hAnsi="Times New Roman" w:cs="Times New Roman"/>
              </w:rPr>
            </w:pPr>
          </w:p>
        </w:tc>
        <w:tc>
          <w:tcPr>
            <w:tcW w:w="1442" w:type="dxa"/>
            <w:tcBorders>
              <w:top w:val="single" w:sz="2" w:space="0" w:color="auto"/>
              <w:left w:val="single" w:sz="2" w:space="0" w:color="auto"/>
              <w:bottom w:val="single" w:sz="2" w:space="0" w:color="auto"/>
              <w:right w:val="single" w:sz="2" w:space="0" w:color="auto"/>
            </w:tcBorders>
            <w:shd w:val="clear" w:color="auto" w:fill="D3D3D3"/>
            <w:vAlign w:val="center"/>
          </w:tcPr>
          <w:p w14:paraId="5F4885CF" w14:textId="77777777" w:rsidR="006C011D" w:rsidRPr="005A284F" w:rsidRDefault="006C011D">
            <w:pPr>
              <w:rPr>
                <w:rFonts w:ascii="Times New Roman" w:eastAsia="宋体" w:hAnsi="Times New Roman" w:cs="Times New Roman"/>
              </w:rPr>
            </w:pPr>
          </w:p>
        </w:tc>
      </w:tr>
    </w:tbl>
    <w:p w14:paraId="6F530745" w14:textId="77777777" w:rsidR="006C011D" w:rsidRPr="005A284F" w:rsidRDefault="00000000">
      <w:pPr>
        <w:spacing w:before="120" w:after="12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10101"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524"/>
        <w:gridCol w:w="2525"/>
        <w:gridCol w:w="2525"/>
        <w:gridCol w:w="2527"/>
      </w:tblGrid>
      <w:tr w:rsidR="006C011D" w:rsidRPr="005A284F" w14:paraId="52FC3AD3" w14:textId="77777777" w:rsidTr="00A63401">
        <w:trPr>
          <w:trHeight w:val="255"/>
          <w:jc w:val="center"/>
        </w:trPr>
        <w:tc>
          <w:tcPr>
            <w:tcW w:w="252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F4AC78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名称</w:t>
            </w:r>
          </w:p>
        </w:tc>
        <w:tc>
          <w:tcPr>
            <w:tcW w:w="7577"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52D5110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r>
      <w:tr w:rsidR="006C011D" w:rsidRPr="005A284F" w14:paraId="3FB562FA" w14:textId="77777777" w:rsidTr="00A63401">
        <w:trPr>
          <w:trHeight w:val="255"/>
          <w:jc w:val="center"/>
        </w:trPr>
        <w:tc>
          <w:tcPr>
            <w:tcW w:w="252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1698A58" w14:textId="77777777" w:rsidR="006C011D" w:rsidRPr="005A284F" w:rsidRDefault="006C011D">
            <w:pPr>
              <w:rPr>
                <w:rFonts w:ascii="Times New Roman" w:eastAsia="宋体" w:hAnsi="Times New Roman" w:cs="Times New Roman"/>
              </w:rPr>
            </w:pPr>
          </w:p>
        </w:tc>
        <w:tc>
          <w:tcPr>
            <w:tcW w:w="2525" w:type="dxa"/>
            <w:tcBorders>
              <w:top w:val="single" w:sz="2" w:space="0" w:color="auto"/>
              <w:left w:val="single" w:sz="2" w:space="0" w:color="auto"/>
              <w:bottom w:val="single" w:sz="2" w:space="0" w:color="auto"/>
              <w:right w:val="single" w:sz="2" w:space="0" w:color="auto"/>
            </w:tcBorders>
            <w:shd w:val="clear" w:color="auto" w:fill="D3D3D3"/>
            <w:vAlign w:val="center"/>
          </w:tcPr>
          <w:p w14:paraId="38ED15B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账面余额</w:t>
            </w:r>
          </w:p>
        </w:tc>
        <w:tc>
          <w:tcPr>
            <w:tcW w:w="2525" w:type="dxa"/>
            <w:tcBorders>
              <w:top w:val="single" w:sz="2" w:space="0" w:color="auto"/>
              <w:left w:val="single" w:sz="2" w:space="0" w:color="auto"/>
              <w:bottom w:val="single" w:sz="2" w:space="0" w:color="auto"/>
              <w:right w:val="single" w:sz="2" w:space="0" w:color="auto"/>
            </w:tcBorders>
            <w:shd w:val="clear" w:color="auto" w:fill="D3D3D3"/>
            <w:vAlign w:val="center"/>
          </w:tcPr>
          <w:p w14:paraId="7A667C0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坏账准备</w:t>
            </w:r>
          </w:p>
        </w:tc>
        <w:tc>
          <w:tcPr>
            <w:tcW w:w="2527" w:type="dxa"/>
            <w:tcBorders>
              <w:top w:val="single" w:sz="2" w:space="0" w:color="auto"/>
              <w:left w:val="single" w:sz="2" w:space="0" w:color="auto"/>
              <w:bottom w:val="single" w:sz="2" w:space="0" w:color="auto"/>
              <w:right w:val="single" w:sz="2" w:space="0" w:color="auto"/>
            </w:tcBorders>
            <w:shd w:val="clear" w:color="auto" w:fill="D3D3D3"/>
            <w:vAlign w:val="center"/>
          </w:tcPr>
          <w:p w14:paraId="48B0BFA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计提比例</w:t>
            </w:r>
          </w:p>
        </w:tc>
      </w:tr>
      <w:tr w:rsidR="006C011D" w:rsidRPr="005A284F" w14:paraId="21E0BC87" w14:textId="77777777" w:rsidTr="00A63401">
        <w:trPr>
          <w:trHeight w:val="255"/>
          <w:jc w:val="center"/>
        </w:trPr>
        <w:tc>
          <w:tcPr>
            <w:tcW w:w="2524" w:type="dxa"/>
            <w:tcBorders>
              <w:top w:val="single" w:sz="2" w:space="0" w:color="auto"/>
              <w:left w:val="single" w:sz="2" w:space="0" w:color="auto"/>
              <w:bottom w:val="single" w:sz="2" w:space="0" w:color="auto"/>
              <w:right w:val="single" w:sz="2" w:space="0" w:color="auto"/>
            </w:tcBorders>
            <w:vAlign w:val="center"/>
          </w:tcPr>
          <w:p w14:paraId="2CA2ED9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1-3</w:t>
            </w:r>
            <w:r w:rsidRPr="005A284F">
              <w:rPr>
                <w:rFonts w:ascii="Times New Roman" w:eastAsia="宋体" w:hAnsi="Times New Roman" w:cs="Times New Roman"/>
                <w:sz w:val="18"/>
                <w:szCs w:val="18"/>
              </w:rPr>
              <w:t>月</w:t>
            </w:r>
          </w:p>
        </w:tc>
        <w:tc>
          <w:tcPr>
            <w:tcW w:w="2525" w:type="dxa"/>
            <w:tcBorders>
              <w:top w:val="single" w:sz="2" w:space="0" w:color="auto"/>
              <w:left w:val="single" w:sz="2" w:space="0" w:color="auto"/>
              <w:bottom w:val="single" w:sz="2" w:space="0" w:color="auto"/>
              <w:right w:val="single" w:sz="2" w:space="0" w:color="auto"/>
            </w:tcBorders>
            <w:vAlign w:val="center"/>
          </w:tcPr>
          <w:p w14:paraId="0181420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336,974,641.13</w:t>
            </w:r>
          </w:p>
        </w:tc>
        <w:tc>
          <w:tcPr>
            <w:tcW w:w="2525" w:type="dxa"/>
            <w:tcBorders>
              <w:top w:val="single" w:sz="2" w:space="0" w:color="auto"/>
              <w:left w:val="single" w:sz="2" w:space="0" w:color="auto"/>
              <w:bottom w:val="single" w:sz="2" w:space="0" w:color="auto"/>
              <w:right w:val="single" w:sz="2" w:space="0" w:color="auto"/>
            </w:tcBorders>
            <w:vAlign w:val="center"/>
          </w:tcPr>
          <w:p w14:paraId="56CEB24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7,201,492.25</w:t>
            </w:r>
          </w:p>
        </w:tc>
        <w:tc>
          <w:tcPr>
            <w:tcW w:w="2527" w:type="dxa"/>
            <w:tcBorders>
              <w:top w:val="single" w:sz="2" w:space="0" w:color="auto"/>
              <w:left w:val="single" w:sz="2" w:space="0" w:color="auto"/>
              <w:bottom w:val="single" w:sz="2" w:space="0" w:color="auto"/>
              <w:right w:val="single" w:sz="2" w:space="0" w:color="auto"/>
            </w:tcBorders>
            <w:vAlign w:val="center"/>
          </w:tcPr>
          <w:p w14:paraId="529B10C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2.14%</w:t>
            </w:r>
          </w:p>
        </w:tc>
      </w:tr>
      <w:tr w:rsidR="006C011D" w:rsidRPr="005A284F" w14:paraId="259C646C" w14:textId="77777777" w:rsidTr="00A63401">
        <w:trPr>
          <w:trHeight w:val="255"/>
          <w:jc w:val="center"/>
        </w:trPr>
        <w:tc>
          <w:tcPr>
            <w:tcW w:w="2524" w:type="dxa"/>
            <w:tcBorders>
              <w:top w:val="single" w:sz="2" w:space="0" w:color="auto"/>
              <w:left w:val="single" w:sz="2" w:space="0" w:color="auto"/>
              <w:bottom w:val="single" w:sz="2" w:space="0" w:color="auto"/>
              <w:right w:val="single" w:sz="2" w:space="0" w:color="auto"/>
            </w:tcBorders>
            <w:vAlign w:val="center"/>
          </w:tcPr>
          <w:p w14:paraId="45AD4D0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4-6</w:t>
            </w:r>
            <w:r w:rsidRPr="005A284F">
              <w:rPr>
                <w:rFonts w:ascii="Times New Roman" w:eastAsia="宋体" w:hAnsi="Times New Roman" w:cs="Times New Roman"/>
                <w:sz w:val="18"/>
                <w:szCs w:val="18"/>
              </w:rPr>
              <w:t>月</w:t>
            </w:r>
          </w:p>
        </w:tc>
        <w:tc>
          <w:tcPr>
            <w:tcW w:w="2525" w:type="dxa"/>
            <w:tcBorders>
              <w:top w:val="single" w:sz="2" w:space="0" w:color="auto"/>
              <w:left w:val="single" w:sz="2" w:space="0" w:color="auto"/>
              <w:bottom w:val="single" w:sz="2" w:space="0" w:color="auto"/>
              <w:right w:val="single" w:sz="2" w:space="0" w:color="auto"/>
            </w:tcBorders>
            <w:vAlign w:val="center"/>
          </w:tcPr>
          <w:p w14:paraId="2470D20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41,582,880.83</w:t>
            </w:r>
          </w:p>
        </w:tc>
        <w:tc>
          <w:tcPr>
            <w:tcW w:w="2525" w:type="dxa"/>
            <w:tcBorders>
              <w:top w:val="single" w:sz="2" w:space="0" w:color="auto"/>
              <w:left w:val="single" w:sz="2" w:space="0" w:color="auto"/>
              <w:bottom w:val="single" w:sz="2" w:space="0" w:color="auto"/>
              <w:right w:val="single" w:sz="2" w:space="0" w:color="auto"/>
            </w:tcBorders>
            <w:vAlign w:val="center"/>
          </w:tcPr>
          <w:p w14:paraId="1736DB4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925,571.04</w:t>
            </w:r>
          </w:p>
        </w:tc>
        <w:tc>
          <w:tcPr>
            <w:tcW w:w="2527" w:type="dxa"/>
            <w:tcBorders>
              <w:top w:val="single" w:sz="2" w:space="0" w:color="auto"/>
              <w:left w:val="single" w:sz="2" w:space="0" w:color="auto"/>
              <w:bottom w:val="single" w:sz="2" w:space="0" w:color="auto"/>
              <w:right w:val="single" w:sz="2" w:space="0" w:color="auto"/>
            </w:tcBorders>
            <w:vAlign w:val="center"/>
          </w:tcPr>
          <w:p w14:paraId="2E87AA4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2.23%</w:t>
            </w:r>
          </w:p>
        </w:tc>
      </w:tr>
      <w:tr w:rsidR="006C011D" w:rsidRPr="005A284F" w14:paraId="2BFC290C" w14:textId="77777777" w:rsidTr="00A63401">
        <w:trPr>
          <w:trHeight w:val="255"/>
          <w:jc w:val="center"/>
        </w:trPr>
        <w:tc>
          <w:tcPr>
            <w:tcW w:w="2524" w:type="dxa"/>
            <w:tcBorders>
              <w:top w:val="single" w:sz="2" w:space="0" w:color="auto"/>
              <w:left w:val="single" w:sz="2" w:space="0" w:color="auto"/>
              <w:bottom w:val="single" w:sz="2" w:space="0" w:color="auto"/>
              <w:right w:val="single" w:sz="2" w:space="0" w:color="auto"/>
            </w:tcBorders>
            <w:vAlign w:val="center"/>
          </w:tcPr>
          <w:p w14:paraId="7BC55C0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7-9</w:t>
            </w:r>
            <w:r w:rsidRPr="005A284F">
              <w:rPr>
                <w:rFonts w:ascii="Times New Roman" w:eastAsia="宋体" w:hAnsi="Times New Roman" w:cs="Times New Roman"/>
                <w:sz w:val="18"/>
                <w:szCs w:val="18"/>
              </w:rPr>
              <w:t>月</w:t>
            </w:r>
          </w:p>
        </w:tc>
        <w:tc>
          <w:tcPr>
            <w:tcW w:w="2525" w:type="dxa"/>
            <w:tcBorders>
              <w:top w:val="single" w:sz="2" w:space="0" w:color="auto"/>
              <w:left w:val="single" w:sz="2" w:space="0" w:color="auto"/>
              <w:bottom w:val="single" w:sz="2" w:space="0" w:color="auto"/>
              <w:right w:val="single" w:sz="2" w:space="0" w:color="auto"/>
            </w:tcBorders>
            <w:vAlign w:val="center"/>
          </w:tcPr>
          <w:p w14:paraId="5D68356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11,363,521.48</w:t>
            </w:r>
          </w:p>
        </w:tc>
        <w:tc>
          <w:tcPr>
            <w:tcW w:w="2525" w:type="dxa"/>
            <w:tcBorders>
              <w:top w:val="single" w:sz="2" w:space="0" w:color="auto"/>
              <w:left w:val="single" w:sz="2" w:space="0" w:color="auto"/>
              <w:bottom w:val="single" w:sz="2" w:space="0" w:color="auto"/>
              <w:right w:val="single" w:sz="2" w:space="0" w:color="auto"/>
            </w:tcBorders>
            <w:vAlign w:val="center"/>
          </w:tcPr>
          <w:p w14:paraId="01D4DD5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252,231.26</w:t>
            </w:r>
          </w:p>
        </w:tc>
        <w:tc>
          <w:tcPr>
            <w:tcW w:w="2527" w:type="dxa"/>
            <w:tcBorders>
              <w:top w:val="single" w:sz="2" w:space="0" w:color="auto"/>
              <w:left w:val="single" w:sz="2" w:space="0" w:color="auto"/>
              <w:bottom w:val="single" w:sz="2" w:space="0" w:color="auto"/>
              <w:right w:val="single" w:sz="2" w:space="0" w:color="auto"/>
            </w:tcBorders>
            <w:vAlign w:val="center"/>
          </w:tcPr>
          <w:p w14:paraId="5E3B822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2.22%</w:t>
            </w:r>
          </w:p>
        </w:tc>
      </w:tr>
      <w:tr w:rsidR="006C011D" w:rsidRPr="005A284F" w14:paraId="52AE2694" w14:textId="77777777" w:rsidTr="00A63401">
        <w:trPr>
          <w:trHeight w:val="255"/>
          <w:jc w:val="center"/>
        </w:trPr>
        <w:tc>
          <w:tcPr>
            <w:tcW w:w="2524" w:type="dxa"/>
            <w:tcBorders>
              <w:top w:val="single" w:sz="2" w:space="0" w:color="auto"/>
              <w:left w:val="single" w:sz="2" w:space="0" w:color="auto"/>
              <w:bottom w:val="single" w:sz="2" w:space="0" w:color="auto"/>
              <w:right w:val="single" w:sz="2" w:space="0" w:color="auto"/>
            </w:tcBorders>
            <w:vAlign w:val="center"/>
          </w:tcPr>
          <w:p w14:paraId="03BF81E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10-12</w:t>
            </w:r>
            <w:r w:rsidRPr="005A284F">
              <w:rPr>
                <w:rFonts w:ascii="Times New Roman" w:eastAsia="宋体" w:hAnsi="Times New Roman" w:cs="Times New Roman"/>
                <w:sz w:val="18"/>
                <w:szCs w:val="18"/>
              </w:rPr>
              <w:t>月</w:t>
            </w:r>
          </w:p>
        </w:tc>
        <w:tc>
          <w:tcPr>
            <w:tcW w:w="2525" w:type="dxa"/>
            <w:tcBorders>
              <w:top w:val="single" w:sz="2" w:space="0" w:color="auto"/>
              <w:left w:val="single" w:sz="2" w:space="0" w:color="auto"/>
              <w:bottom w:val="single" w:sz="2" w:space="0" w:color="auto"/>
              <w:right w:val="single" w:sz="2" w:space="0" w:color="auto"/>
            </w:tcBorders>
            <w:vAlign w:val="center"/>
          </w:tcPr>
          <w:p w14:paraId="64E7853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1,091,788.31</w:t>
            </w:r>
          </w:p>
        </w:tc>
        <w:tc>
          <w:tcPr>
            <w:tcW w:w="2525" w:type="dxa"/>
            <w:tcBorders>
              <w:top w:val="single" w:sz="2" w:space="0" w:color="auto"/>
              <w:left w:val="single" w:sz="2" w:space="0" w:color="auto"/>
              <w:bottom w:val="single" w:sz="2" w:space="0" w:color="auto"/>
              <w:right w:val="single" w:sz="2" w:space="0" w:color="auto"/>
            </w:tcBorders>
            <w:vAlign w:val="center"/>
          </w:tcPr>
          <w:p w14:paraId="20EF347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24,428.57</w:t>
            </w:r>
          </w:p>
        </w:tc>
        <w:tc>
          <w:tcPr>
            <w:tcW w:w="2527" w:type="dxa"/>
            <w:tcBorders>
              <w:top w:val="single" w:sz="2" w:space="0" w:color="auto"/>
              <w:left w:val="single" w:sz="2" w:space="0" w:color="auto"/>
              <w:bottom w:val="single" w:sz="2" w:space="0" w:color="auto"/>
              <w:right w:val="single" w:sz="2" w:space="0" w:color="auto"/>
            </w:tcBorders>
            <w:vAlign w:val="center"/>
          </w:tcPr>
          <w:p w14:paraId="13BCF27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2.24%</w:t>
            </w:r>
          </w:p>
        </w:tc>
      </w:tr>
      <w:tr w:rsidR="006C011D" w:rsidRPr="005A284F" w14:paraId="098C0A86" w14:textId="77777777" w:rsidTr="00A63401">
        <w:trPr>
          <w:trHeight w:val="255"/>
          <w:jc w:val="center"/>
        </w:trPr>
        <w:tc>
          <w:tcPr>
            <w:tcW w:w="2524" w:type="dxa"/>
            <w:tcBorders>
              <w:top w:val="single" w:sz="2" w:space="0" w:color="auto"/>
              <w:left w:val="single" w:sz="2" w:space="0" w:color="auto"/>
              <w:bottom w:val="single" w:sz="2" w:space="0" w:color="auto"/>
              <w:right w:val="single" w:sz="2" w:space="0" w:color="auto"/>
            </w:tcBorders>
            <w:vAlign w:val="center"/>
          </w:tcPr>
          <w:p w14:paraId="7E0ADED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年</w:t>
            </w:r>
          </w:p>
        </w:tc>
        <w:tc>
          <w:tcPr>
            <w:tcW w:w="2525" w:type="dxa"/>
            <w:tcBorders>
              <w:top w:val="single" w:sz="2" w:space="0" w:color="auto"/>
              <w:left w:val="single" w:sz="2" w:space="0" w:color="auto"/>
              <w:bottom w:val="single" w:sz="2" w:space="0" w:color="auto"/>
              <w:right w:val="single" w:sz="2" w:space="0" w:color="auto"/>
            </w:tcBorders>
            <w:vAlign w:val="center"/>
          </w:tcPr>
          <w:p w14:paraId="0212FD1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15,821,401.40</w:t>
            </w:r>
          </w:p>
        </w:tc>
        <w:tc>
          <w:tcPr>
            <w:tcW w:w="2525" w:type="dxa"/>
            <w:tcBorders>
              <w:top w:val="single" w:sz="2" w:space="0" w:color="auto"/>
              <w:left w:val="single" w:sz="2" w:space="0" w:color="auto"/>
              <w:bottom w:val="single" w:sz="2" w:space="0" w:color="auto"/>
              <w:right w:val="single" w:sz="2" w:space="0" w:color="auto"/>
            </w:tcBorders>
            <w:vAlign w:val="center"/>
          </w:tcPr>
          <w:p w14:paraId="2D83933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3,955,350.35</w:t>
            </w:r>
          </w:p>
        </w:tc>
        <w:tc>
          <w:tcPr>
            <w:tcW w:w="2527" w:type="dxa"/>
            <w:tcBorders>
              <w:top w:val="single" w:sz="2" w:space="0" w:color="auto"/>
              <w:left w:val="single" w:sz="2" w:space="0" w:color="auto"/>
              <w:bottom w:val="single" w:sz="2" w:space="0" w:color="auto"/>
              <w:right w:val="single" w:sz="2" w:space="0" w:color="auto"/>
            </w:tcBorders>
            <w:vAlign w:val="center"/>
          </w:tcPr>
          <w:p w14:paraId="2BB2E87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25.00%</w:t>
            </w:r>
          </w:p>
        </w:tc>
      </w:tr>
      <w:tr w:rsidR="006C011D" w:rsidRPr="005A284F" w14:paraId="6572D12F" w14:textId="77777777" w:rsidTr="00A63401">
        <w:trPr>
          <w:trHeight w:val="255"/>
          <w:jc w:val="center"/>
        </w:trPr>
        <w:tc>
          <w:tcPr>
            <w:tcW w:w="2524" w:type="dxa"/>
            <w:tcBorders>
              <w:top w:val="single" w:sz="2" w:space="0" w:color="auto"/>
              <w:left w:val="single" w:sz="2" w:space="0" w:color="auto"/>
              <w:bottom w:val="single" w:sz="2" w:space="0" w:color="auto"/>
              <w:right w:val="single" w:sz="2" w:space="0" w:color="auto"/>
            </w:tcBorders>
            <w:vAlign w:val="center"/>
          </w:tcPr>
          <w:p w14:paraId="5C7C777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2-3</w:t>
            </w:r>
            <w:r w:rsidRPr="005A284F">
              <w:rPr>
                <w:rFonts w:ascii="Times New Roman" w:eastAsia="宋体" w:hAnsi="Times New Roman" w:cs="Times New Roman"/>
                <w:sz w:val="18"/>
                <w:szCs w:val="18"/>
              </w:rPr>
              <w:t>年</w:t>
            </w:r>
          </w:p>
        </w:tc>
        <w:tc>
          <w:tcPr>
            <w:tcW w:w="2525" w:type="dxa"/>
            <w:tcBorders>
              <w:top w:val="single" w:sz="2" w:space="0" w:color="auto"/>
              <w:left w:val="single" w:sz="2" w:space="0" w:color="auto"/>
              <w:bottom w:val="single" w:sz="2" w:space="0" w:color="auto"/>
              <w:right w:val="single" w:sz="2" w:space="0" w:color="auto"/>
            </w:tcBorders>
            <w:vAlign w:val="center"/>
          </w:tcPr>
          <w:p w14:paraId="2E00FB2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27,707,967.45</w:t>
            </w:r>
          </w:p>
        </w:tc>
        <w:tc>
          <w:tcPr>
            <w:tcW w:w="2525" w:type="dxa"/>
            <w:tcBorders>
              <w:top w:val="single" w:sz="2" w:space="0" w:color="auto"/>
              <w:left w:val="single" w:sz="2" w:space="0" w:color="auto"/>
              <w:bottom w:val="single" w:sz="2" w:space="0" w:color="auto"/>
              <w:right w:val="single" w:sz="2" w:space="0" w:color="auto"/>
            </w:tcBorders>
            <w:vAlign w:val="center"/>
          </w:tcPr>
          <w:p w14:paraId="76B10ED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13,853,983.73</w:t>
            </w:r>
          </w:p>
        </w:tc>
        <w:tc>
          <w:tcPr>
            <w:tcW w:w="2527" w:type="dxa"/>
            <w:tcBorders>
              <w:top w:val="single" w:sz="2" w:space="0" w:color="auto"/>
              <w:left w:val="single" w:sz="2" w:space="0" w:color="auto"/>
              <w:bottom w:val="single" w:sz="2" w:space="0" w:color="auto"/>
              <w:right w:val="single" w:sz="2" w:space="0" w:color="auto"/>
            </w:tcBorders>
            <w:vAlign w:val="center"/>
          </w:tcPr>
          <w:p w14:paraId="0192527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50.00%</w:t>
            </w:r>
          </w:p>
        </w:tc>
      </w:tr>
      <w:tr w:rsidR="006C011D" w:rsidRPr="005A284F" w14:paraId="459257E1" w14:textId="77777777" w:rsidTr="00A63401">
        <w:trPr>
          <w:trHeight w:val="255"/>
          <w:jc w:val="center"/>
        </w:trPr>
        <w:tc>
          <w:tcPr>
            <w:tcW w:w="2524" w:type="dxa"/>
            <w:tcBorders>
              <w:top w:val="single" w:sz="2" w:space="0" w:color="auto"/>
              <w:left w:val="single" w:sz="2" w:space="0" w:color="auto"/>
              <w:bottom w:val="single" w:sz="2" w:space="0" w:color="auto"/>
              <w:right w:val="single" w:sz="2" w:space="0" w:color="auto"/>
            </w:tcBorders>
            <w:vAlign w:val="center"/>
          </w:tcPr>
          <w:p w14:paraId="00CFE12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3-4</w:t>
            </w:r>
            <w:r w:rsidRPr="005A284F">
              <w:rPr>
                <w:rFonts w:ascii="Times New Roman" w:eastAsia="宋体" w:hAnsi="Times New Roman" w:cs="Times New Roman"/>
                <w:sz w:val="18"/>
                <w:szCs w:val="18"/>
              </w:rPr>
              <w:t>年</w:t>
            </w:r>
          </w:p>
        </w:tc>
        <w:tc>
          <w:tcPr>
            <w:tcW w:w="2525" w:type="dxa"/>
            <w:tcBorders>
              <w:top w:val="single" w:sz="2" w:space="0" w:color="auto"/>
              <w:left w:val="single" w:sz="2" w:space="0" w:color="auto"/>
              <w:bottom w:val="single" w:sz="2" w:space="0" w:color="auto"/>
              <w:right w:val="single" w:sz="2" w:space="0" w:color="auto"/>
            </w:tcBorders>
            <w:vAlign w:val="center"/>
          </w:tcPr>
          <w:p w14:paraId="41FC60E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486,074.87</w:t>
            </w:r>
          </w:p>
        </w:tc>
        <w:tc>
          <w:tcPr>
            <w:tcW w:w="2525" w:type="dxa"/>
            <w:tcBorders>
              <w:top w:val="single" w:sz="2" w:space="0" w:color="auto"/>
              <w:left w:val="single" w:sz="2" w:space="0" w:color="auto"/>
              <w:bottom w:val="single" w:sz="2" w:space="0" w:color="auto"/>
              <w:right w:val="single" w:sz="2" w:space="0" w:color="auto"/>
            </w:tcBorders>
            <w:vAlign w:val="center"/>
          </w:tcPr>
          <w:p w14:paraId="0A1DE39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388,859.89</w:t>
            </w:r>
          </w:p>
        </w:tc>
        <w:tc>
          <w:tcPr>
            <w:tcW w:w="2527" w:type="dxa"/>
            <w:tcBorders>
              <w:top w:val="single" w:sz="2" w:space="0" w:color="auto"/>
              <w:left w:val="single" w:sz="2" w:space="0" w:color="auto"/>
              <w:bottom w:val="single" w:sz="2" w:space="0" w:color="auto"/>
              <w:right w:val="single" w:sz="2" w:space="0" w:color="auto"/>
            </w:tcBorders>
            <w:vAlign w:val="center"/>
          </w:tcPr>
          <w:p w14:paraId="37B2131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80.00%</w:t>
            </w:r>
          </w:p>
        </w:tc>
      </w:tr>
      <w:tr w:rsidR="006C011D" w:rsidRPr="005A284F" w14:paraId="1502F704" w14:textId="77777777" w:rsidTr="00A63401">
        <w:trPr>
          <w:trHeight w:val="255"/>
          <w:jc w:val="center"/>
        </w:trPr>
        <w:tc>
          <w:tcPr>
            <w:tcW w:w="2524" w:type="dxa"/>
            <w:tcBorders>
              <w:top w:val="single" w:sz="2" w:space="0" w:color="auto"/>
              <w:left w:val="single" w:sz="2" w:space="0" w:color="auto"/>
              <w:bottom w:val="single" w:sz="2" w:space="0" w:color="auto"/>
              <w:right w:val="single" w:sz="2" w:space="0" w:color="auto"/>
            </w:tcBorders>
            <w:vAlign w:val="center"/>
          </w:tcPr>
          <w:p w14:paraId="1A42316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4-5</w:t>
            </w:r>
            <w:r w:rsidRPr="005A284F">
              <w:rPr>
                <w:rFonts w:ascii="Times New Roman" w:eastAsia="宋体" w:hAnsi="Times New Roman" w:cs="Times New Roman"/>
                <w:sz w:val="18"/>
                <w:szCs w:val="18"/>
              </w:rPr>
              <w:t>年</w:t>
            </w:r>
          </w:p>
        </w:tc>
        <w:tc>
          <w:tcPr>
            <w:tcW w:w="2525" w:type="dxa"/>
            <w:tcBorders>
              <w:top w:val="single" w:sz="2" w:space="0" w:color="auto"/>
              <w:left w:val="single" w:sz="2" w:space="0" w:color="auto"/>
              <w:bottom w:val="single" w:sz="2" w:space="0" w:color="auto"/>
              <w:right w:val="single" w:sz="2" w:space="0" w:color="auto"/>
            </w:tcBorders>
            <w:vAlign w:val="center"/>
          </w:tcPr>
          <w:p w14:paraId="786CF32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164,291.97</w:t>
            </w:r>
          </w:p>
        </w:tc>
        <w:tc>
          <w:tcPr>
            <w:tcW w:w="2525" w:type="dxa"/>
            <w:tcBorders>
              <w:top w:val="single" w:sz="2" w:space="0" w:color="auto"/>
              <w:left w:val="single" w:sz="2" w:space="0" w:color="auto"/>
              <w:bottom w:val="single" w:sz="2" w:space="0" w:color="auto"/>
              <w:right w:val="single" w:sz="2" w:space="0" w:color="auto"/>
            </w:tcBorders>
            <w:vAlign w:val="center"/>
          </w:tcPr>
          <w:p w14:paraId="06B94A1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131,433.58</w:t>
            </w:r>
          </w:p>
        </w:tc>
        <w:tc>
          <w:tcPr>
            <w:tcW w:w="2527" w:type="dxa"/>
            <w:tcBorders>
              <w:top w:val="single" w:sz="2" w:space="0" w:color="auto"/>
              <w:left w:val="single" w:sz="2" w:space="0" w:color="auto"/>
              <w:bottom w:val="single" w:sz="2" w:space="0" w:color="auto"/>
              <w:right w:val="single" w:sz="2" w:space="0" w:color="auto"/>
            </w:tcBorders>
            <w:vAlign w:val="center"/>
          </w:tcPr>
          <w:p w14:paraId="0D5BC78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80.00%</w:t>
            </w:r>
          </w:p>
        </w:tc>
      </w:tr>
      <w:tr w:rsidR="006C011D" w:rsidRPr="005A284F" w14:paraId="0A49D787" w14:textId="77777777" w:rsidTr="00A63401">
        <w:trPr>
          <w:trHeight w:val="255"/>
          <w:jc w:val="center"/>
        </w:trPr>
        <w:tc>
          <w:tcPr>
            <w:tcW w:w="2524" w:type="dxa"/>
            <w:tcBorders>
              <w:top w:val="single" w:sz="2" w:space="0" w:color="auto"/>
              <w:left w:val="single" w:sz="2" w:space="0" w:color="auto"/>
              <w:bottom w:val="single" w:sz="2" w:space="0" w:color="auto"/>
              <w:right w:val="single" w:sz="2" w:space="0" w:color="auto"/>
            </w:tcBorders>
            <w:shd w:val="clear" w:color="auto" w:fill="D3D3D3"/>
            <w:vAlign w:val="center"/>
          </w:tcPr>
          <w:p w14:paraId="2DCB0DED"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2525" w:type="dxa"/>
            <w:tcBorders>
              <w:top w:val="single" w:sz="2" w:space="0" w:color="auto"/>
              <w:left w:val="single" w:sz="2" w:space="0" w:color="auto"/>
              <w:bottom w:val="single" w:sz="2" w:space="0" w:color="auto"/>
              <w:right w:val="single" w:sz="2" w:space="0" w:color="auto"/>
            </w:tcBorders>
            <w:vAlign w:val="center"/>
          </w:tcPr>
          <w:p w14:paraId="61E1FCC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435,192,567.44</w:t>
            </w:r>
          </w:p>
        </w:tc>
        <w:tc>
          <w:tcPr>
            <w:tcW w:w="2525" w:type="dxa"/>
            <w:tcBorders>
              <w:top w:val="single" w:sz="2" w:space="0" w:color="auto"/>
              <w:left w:val="single" w:sz="2" w:space="0" w:color="auto"/>
              <w:bottom w:val="single" w:sz="2" w:space="0" w:color="auto"/>
              <w:right w:val="single" w:sz="2" w:space="0" w:color="auto"/>
            </w:tcBorders>
            <w:vAlign w:val="center"/>
          </w:tcPr>
          <w:p w14:paraId="35AB93F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26,733,350.67</w:t>
            </w:r>
          </w:p>
        </w:tc>
        <w:tc>
          <w:tcPr>
            <w:tcW w:w="2527" w:type="dxa"/>
            <w:tcBorders>
              <w:top w:val="single" w:sz="2" w:space="0" w:color="auto"/>
              <w:left w:val="single" w:sz="2" w:space="0" w:color="auto"/>
              <w:bottom w:val="single" w:sz="2" w:space="0" w:color="auto"/>
              <w:right w:val="single" w:sz="2" w:space="0" w:color="auto"/>
            </w:tcBorders>
            <w:shd w:val="clear" w:color="auto" w:fill="D3D3D3"/>
            <w:vAlign w:val="center"/>
          </w:tcPr>
          <w:p w14:paraId="12596379" w14:textId="77777777" w:rsidR="006C011D" w:rsidRPr="005A284F" w:rsidRDefault="006C011D">
            <w:pPr>
              <w:rPr>
                <w:rFonts w:ascii="Times New Roman" w:eastAsia="宋体" w:hAnsi="Times New Roman" w:cs="Times New Roman"/>
              </w:rPr>
            </w:pPr>
          </w:p>
        </w:tc>
      </w:tr>
    </w:tbl>
    <w:p w14:paraId="4DDDFCDB"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确定该组合依据的说明：</w:t>
      </w:r>
    </w:p>
    <w:p w14:paraId="583A3AD8" w14:textId="77777777" w:rsidR="000309B5" w:rsidRPr="005A284F" w:rsidRDefault="00000000">
      <w:pPr>
        <w:pStyle w:val="a3"/>
        <w:divId w:val="684595236"/>
        <w:rPr>
          <w:rFonts w:ascii="Times New Roman" w:hAnsi="Times New Roman" w:cs="Times New Roman"/>
          <w:sz w:val="18"/>
          <w:szCs w:val="18"/>
        </w:rPr>
      </w:pPr>
      <w:r w:rsidRPr="005A284F">
        <w:rPr>
          <w:rFonts w:ascii="Times New Roman" w:hAnsi="Times New Roman" w:cs="Times New Roman"/>
          <w:sz w:val="18"/>
          <w:szCs w:val="18"/>
        </w:rPr>
        <w:t>无</w:t>
      </w:r>
    </w:p>
    <w:p w14:paraId="4CF04FC7"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如是按照预期信用损失一般模型计提应收账款坏账准备：</w:t>
      </w:r>
    </w:p>
    <w:p w14:paraId="3A3160EE" w14:textId="77777777" w:rsidR="006C011D" w:rsidRPr="00EC4E04" w:rsidRDefault="00000000">
      <w:pPr>
        <w:spacing w:before="100" w:after="100" w:line="240" w:lineRule="exact"/>
        <w:rPr>
          <w:rFonts w:ascii="宋体" w:eastAsia="宋体" w:hAnsi="宋体" w:cs="Times New Roman" w:hint="eastAsia"/>
          <w:sz w:val="18"/>
          <w:szCs w:val="18"/>
        </w:rPr>
      </w:pPr>
      <w:r w:rsidRPr="00EC4E04">
        <w:rPr>
          <w:rFonts w:ascii="宋体" w:eastAsia="宋体" w:hAnsi="宋体" w:cs="Times New Roman"/>
          <w:sz w:val="18"/>
          <w:szCs w:val="18"/>
        </w:rPr>
        <w:t xml:space="preserve">□适用 </w:t>
      </w:r>
      <w:r w:rsidRPr="00EC4E04">
        <w:rPr>
          <w:rFonts w:ascii="宋体" w:eastAsia="宋体" w:hAnsi="宋体" w:cs="Times New Roman"/>
          <w:sz w:val="18"/>
          <w:szCs w:val="18"/>
        </w:rPr>
        <w:sym w:font="Wingdings 2" w:char="F052"/>
      </w:r>
      <w:r w:rsidRPr="00EC4E04">
        <w:rPr>
          <w:rFonts w:ascii="宋体" w:eastAsia="宋体" w:hAnsi="宋体" w:cs="Times New Roman"/>
          <w:sz w:val="18"/>
          <w:szCs w:val="18"/>
        </w:rPr>
        <w:t>不适用</w:t>
      </w:r>
    </w:p>
    <w:p w14:paraId="136069EC" w14:textId="733D2F3F"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190" w:name="_Toc989079"/>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3</w:t>
      </w:r>
      <w:r w:rsidRPr="005A284F">
        <w:rPr>
          <w:rFonts w:ascii="Times New Roman" w:eastAsia="宋体" w:hAnsi="Times New Roman" w:cs="Times New Roman"/>
          <w:b/>
          <w:bCs/>
          <w:sz w:val="21"/>
          <w:szCs w:val="21"/>
        </w:rPr>
        <w:t>）本期计提、收回或转回的坏账准备情况</w:t>
      </w:r>
      <w:bookmarkEnd w:id="190"/>
    </w:p>
    <w:p w14:paraId="74CC45F1"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本期计提坏账准备情况：</w:t>
      </w:r>
    </w:p>
    <w:p w14:paraId="5BA42C21" w14:textId="77777777" w:rsidR="006C011D" w:rsidRPr="005A284F" w:rsidRDefault="00000000">
      <w:pPr>
        <w:spacing w:before="120" w:after="12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6C011D" w:rsidRPr="005A284F" w14:paraId="28E3D3F5"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43DD85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3A0453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068CF64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8D0AF5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r>
      <w:tr w:rsidR="006C011D" w:rsidRPr="005A284F" w14:paraId="518AB5CF"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74723B0" w14:textId="77777777" w:rsidR="006C011D" w:rsidRPr="005A284F" w:rsidRDefault="006C011D">
            <w:pPr>
              <w:rPr>
                <w:rFonts w:ascii="Times New Roman" w:eastAsia="宋体" w:hAnsi="Times New Roman" w:cs="Times New Roman"/>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F30EDEF" w14:textId="77777777" w:rsidR="006C011D" w:rsidRPr="005A284F" w:rsidRDefault="006C011D">
            <w:pPr>
              <w:rPr>
                <w:rFonts w:ascii="Times New Roman" w:eastAsia="宋体" w:hAnsi="Times New Roman" w:cs="Times New Roman"/>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32498E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E09CC4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8EE7FC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0A8FA2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D9112CA" w14:textId="77777777" w:rsidR="006C011D" w:rsidRPr="005A284F" w:rsidRDefault="006C011D">
            <w:pPr>
              <w:rPr>
                <w:rFonts w:ascii="Times New Roman" w:eastAsia="宋体" w:hAnsi="Times New Roman" w:cs="Times New Roman"/>
              </w:rPr>
            </w:pPr>
          </w:p>
        </w:tc>
      </w:tr>
      <w:tr w:rsidR="006C011D" w:rsidRPr="005A284F" w14:paraId="4A5BEB17"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516DABA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应收账款</w:t>
            </w:r>
          </w:p>
        </w:tc>
        <w:tc>
          <w:tcPr>
            <w:tcW w:w="1377" w:type="dxa"/>
            <w:tcBorders>
              <w:top w:val="single" w:sz="2" w:space="0" w:color="auto"/>
              <w:left w:val="single" w:sz="2" w:space="0" w:color="auto"/>
              <w:bottom w:val="single" w:sz="2" w:space="0" w:color="auto"/>
              <w:right w:val="single" w:sz="2" w:space="0" w:color="auto"/>
            </w:tcBorders>
            <w:vAlign w:val="center"/>
          </w:tcPr>
          <w:p w14:paraId="775EFD4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52,545,454.74</w:t>
            </w:r>
          </w:p>
        </w:tc>
        <w:tc>
          <w:tcPr>
            <w:tcW w:w="1377" w:type="dxa"/>
            <w:tcBorders>
              <w:top w:val="single" w:sz="2" w:space="0" w:color="auto"/>
              <w:left w:val="single" w:sz="2" w:space="0" w:color="auto"/>
              <w:bottom w:val="single" w:sz="2" w:space="0" w:color="auto"/>
              <w:right w:val="single" w:sz="2" w:space="0" w:color="auto"/>
            </w:tcBorders>
            <w:vAlign w:val="center"/>
          </w:tcPr>
          <w:p w14:paraId="1226B3C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-1,802,752.83</w:t>
            </w:r>
          </w:p>
        </w:tc>
        <w:tc>
          <w:tcPr>
            <w:tcW w:w="1377" w:type="dxa"/>
            <w:tcBorders>
              <w:top w:val="single" w:sz="2" w:space="0" w:color="auto"/>
              <w:left w:val="single" w:sz="2" w:space="0" w:color="auto"/>
              <w:bottom w:val="single" w:sz="2" w:space="0" w:color="auto"/>
              <w:right w:val="single" w:sz="2" w:space="0" w:color="auto"/>
            </w:tcBorders>
            <w:vAlign w:val="center"/>
          </w:tcPr>
          <w:p w14:paraId="71CBBB3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FDA630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-35,812.36</w:t>
            </w:r>
          </w:p>
        </w:tc>
        <w:tc>
          <w:tcPr>
            <w:tcW w:w="1377" w:type="dxa"/>
            <w:tcBorders>
              <w:top w:val="single" w:sz="2" w:space="0" w:color="auto"/>
              <w:left w:val="single" w:sz="2" w:space="0" w:color="auto"/>
              <w:bottom w:val="single" w:sz="2" w:space="0" w:color="auto"/>
              <w:right w:val="single" w:sz="2" w:space="0" w:color="auto"/>
            </w:tcBorders>
            <w:vAlign w:val="center"/>
          </w:tcPr>
          <w:p w14:paraId="6816F8E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457E0E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50,706,889.55</w:t>
            </w:r>
          </w:p>
        </w:tc>
      </w:tr>
      <w:tr w:rsidR="006C011D" w:rsidRPr="005A284F" w14:paraId="4CE57A27"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3569DC8"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6CEFE5F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52,545,454.74</w:t>
            </w:r>
          </w:p>
        </w:tc>
        <w:tc>
          <w:tcPr>
            <w:tcW w:w="1377" w:type="dxa"/>
            <w:tcBorders>
              <w:top w:val="single" w:sz="2" w:space="0" w:color="auto"/>
              <w:left w:val="single" w:sz="2" w:space="0" w:color="auto"/>
              <w:bottom w:val="single" w:sz="2" w:space="0" w:color="auto"/>
              <w:right w:val="single" w:sz="2" w:space="0" w:color="auto"/>
            </w:tcBorders>
            <w:vAlign w:val="center"/>
          </w:tcPr>
          <w:p w14:paraId="4A56D6B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-1,802,752.83</w:t>
            </w:r>
          </w:p>
        </w:tc>
        <w:tc>
          <w:tcPr>
            <w:tcW w:w="1377" w:type="dxa"/>
            <w:tcBorders>
              <w:top w:val="single" w:sz="2" w:space="0" w:color="auto"/>
              <w:left w:val="single" w:sz="2" w:space="0" w:color="auto"/>
              <w:bottom w:val="single" w:sz="2" w:space="0" w:color="auto"/>
              <w:right w:val="single" w:sz="2" w:space="0" w:color="auto"/>
            </w:tcBorders>
            <w:vAlign w:val="center"/>
          </w:tcPr>
          <w:p w14:paraId="00778F7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5C6593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-35,812.36</w:t>
            </w:r>
          </w:p>
        </w:tc>
        <w:tc>
          <w:tcPr>
            <w:tcW w:w="1377" w:type="dxa"/>
            <w:tcBorders>
              <w:top w:val="single" w:sz="2" w:space="0" w:color="auto"/>
              <w:left w:val="single" w:sz="2" w:space="0" w:color="auto"/>
              <w:bottom w:val="single" w:sz="2" w:space="0" w:color="auto"/>
              <w:right w:val="single" w:sz="2" w:space="0" w:color="auto"/>
            </w:tcBorders>
            <w:vAlign w:val="center"/>
          </w:tcPr>
          <w:p w14:paraId="255935D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A72B06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50,706,889.55</w:t>
            </w:r>
          </w:p>
        </w:tc>
      </w:tr>
    </w:tbl>
    <w:p w14:paraId="142C9A70" w14:textId="34300AA7" w:rsidR="006C011D" w:rsidRPr="00EC4E04" w:rsidRDefault="00000000" w:rsidP="00EC4E04">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其中本期坏账准备收回或转回金额重要的：</w:t>
      </w:r>
    </w:p>
    <w:p w14:paraId="0E2D774F" w14:textId="77777777" w:rsidR="000309B5" w:rsidRPr="005A284F" w:rsidRDefault="00000000">
      <w:pPr>
        <w:pStyle w:val="a3"/>
        <w:divId w:val="1185438531"/>
        <w:rPr>
          <w:rFonts w:ascii="Times New Roman" w:hAnsi="Times New Roman" w:cs="Times New Roman"/>
          <w:sz w:val="18"/>
          <w:szCs w:val="18"/>
        </w:rPr>
      </w:pPr>
      <w:r w:rsidRPr="005A284F">
        <w:rPr>
          <w:rFonts w:ascii="Times New Roman" w:hAnsi="Times New Roman" w:cs="Times New Roman"/>
          <w:sz w:val="18"/>
          <w:szCs w:val="18"/>
        </w:rPr>
        <w:t>无</w:t>
      </w:r>
    </w:p>
    <w:p w14:paraId="0146C328" w14:textId="16BA5109"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191" w:name="_Toc989080"/>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4</w:t>
      </w:r>
      <w:r w:rsidRPr="005A284F">
        <w:rPr>
          <w:rFonts w:ascii="Times New Roman" w:eastAsia="宋体" w:hAnsi="Times New Roman" w:cs="Times New Roman"/>
          <w:b/>
          <w:bCs/>
          <w:sz w:val="21"/>
          <w:szCs w:val="21"/>
        </w:rPr>
        <w:t>）本期实际核销的应收账款情况</w:t>
      </w:r>
      <w:bookmarkEnd w:id="191"/>
    </w:p>
    <w:p w14:paraId="12B98484"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6C011D" w:rsidRPr="005A284F" w14:paraId="6752E8BB"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21D6B2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DA4D38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核销金额</w:t>
            </w:r>
          </w:p>
        </w:tc>
      </w:tr>
      <w:tr w:rsidR="006C011D" w:rsidRPr="005A284F" w14:paraId="591A0582"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2B74B49"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实际核销的应收账款</w:t>
            </w:r>
          </w:p>
        </w:tc>
        <w:tc>
          <w:tcPr>
            <w:tcW w:w="4820" w:type="dxa"/>
            <w:tcBorders>
              <w:top w:val="single" w:sz="2" w:space="0" w:color="auto"/>
              <w:left w:val="single" w:sz="2" w:space="0" w:color="auto"/>
              <w:bottom w:val="single" w:sz="2" w:space="0" w:color="auto"/>
              <w:right w:val="single" w:sz="2" w:space="0" w:color="auto"/>
            </w:tcBorders>
            <w:vAlign w:val="center"/>
          </w:tcPr>
          <w:p w14:paraId="7CD02B4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35,812.36</w:t>
            </w:r>
          </w:p>
        </w:tc>
      </w:tr>
    </w:tbl>
    <w:p w14:paraId="565232A7"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其中重要的应收账款核销情况：</w:t>
      </w:r>
    </w:p>
    <w:p w14:paraId="2174161F" w14:textId="77777777" w:rsidR="00EC4E04" w:rsidRPr="005A284F" w:rsidRDefault="00EC4E04" w:rsidP="00EC4E04">
      <w:pPr>
        <w:pStyle w:val="a3"/>
        <w:rPr>
          <w:rFonts w:ascii="Times New Roman" w:hAnsi="Times New Roman" w:cs="Times New Roman"/>
          <w:sz w:val="18"/>
          <w:szCs w:val="18"/>
        </w:rPr>
      </w:pPr>
      <w:r w:rsidRPr="005A284F">
        <w:rPr>
          <w:rFonts w:ascii="Times New Roman" w:hAnsi="Times New Roman" w:cs="Times New Roman"/>
          <w:sz w:val="18"/>
          <w:szCs w:val="18"/>
        </w:rPr>
        <w:t>无</w:t>
      </w:r>
    </w:p>
    <w:p w14:paraId="1B8E32D9"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应收账款核销说明：</w:t>
      </w:r>
    </w:p>
    <w:p w14:paraId="394173D7" w14:textId="77777777" w:rsidR="000309B5" w:rsidRPr="005A284F" w:rsidRDefault="00000000">
      <w:pPr>
        <w:pStyle w:val="a3"/>
        <w:divId w:val="1239242731"/>
        <w:rPr>
          <w:rFonts w:ascii="Times New Roman" w:hAnsi="Times New Roman" w:cs="Times New Roman"/>
          <w:sz w:val="18"/>
          <w:szCs w:val="18"/>
        </w:rPr>
      </w:pPr>
      <w:r w:rsidRPr="005A284F">
        <w:rPr>
          <w:rFonts w:ascii="Times New Roman" w:hAnsi="Times New Roman" w:cs="Times New Roman"/>
          <w:sz w:val="18"/>
          <w:szCs w:val="18"/>
        </w:rPr>
        <w:t>无</w:t>
      </w:r>
    </w:p>
    <w:p w14:paraId="1F05E41C" w14:textId="04C37FBE"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192" w:name="_Toc989081"/>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5</w:t>
      </w:r>
      <w:r w:rsidRPr="005A284F">
        <w:rPr>
          <w:rFonts w:ascii="Times New Roman" w:eastAsia="宋体" w:hAnsi="Times New Roman" w:cs="Times New Roman"/>
          <w:b/>
          <w:bCs/>
          <w:sz w:val="21"/>
          <w:szCs w:val="21"/>
        </w:rPr>
        <w:t>）按欠款方归集的期末余额前五名的应收账款和合同资产情况</w:t>
      </w:r>
      <w:bookmarkEnd w:id="192"/>
    </w:p>
    <w:p w14:paraId="400CDA51" w14:textId="3988639C"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6C011D" w:rsidRPr="005A284F" w14:paraId="36416E42"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8202E9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5A8368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应收账款期末余额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141243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B18761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应收账款和合同资产期末余额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477AEF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占应收账款和合同资产期末余额合计数的比例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E802CB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应收账款坏账准备和合同资产减值准备期末余额</w:t>
            </w:r>
          </w:p>
        </w:tc>
      </w:tr>
      <w:tr w:rsidR="006C011D" w:rsidRPr="005A284F" w14:paraId="22C9DF51" w14:textId="77777777" w:rsidTr="00A63401">
        <w:trPr>
          <w:trHeight w:val="340"/>
        </w:trPr>
        <w:tc>
          <w:tcPr>
            <w:tcW w:w="1606" w:type="dxa"/>
            <w:tcBorders>
              <w:top w:val="single" w:sz="2" w:space="0" w:color="auto"/>
              <w:left w:val="single" w:sz="2" w:space="0" w:color="auto"/>
              <w:bottom w:val="single" w:sz="2" w:space="0" w:color="auto"/>
              <w:right w:val="single" w:sz="2" w:space="0" w:color="auto"/>
            </w:tcBorders>
            <w:vAlign w:val="center"/>
          </w:tcPr>
          <w:p w14:paraId="072FAFC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客户</w:t>
            </w:r>
            <w:r w:rsidRPr="005A284F">
              <w:rPr>
                <w:rFonts w:ascii="Times New Roman" w:eastAsia="宋体" w:hAnsi="Times New Roman" w:cs="Times New Roman"/>
                <w:sz w:val="18"/>
                <w:szCs w:val="18"/>
              </w:rPr>
              <w:t>A</w:t>
            </w:r>
          </w:p>
        </w:tc>
        <w:tc>
          <w:tcPr>
            <w:tcW w:w="1606" w:type="dxa"/>
            <w:tcBorders>
              <w:top w:val="single" w:sz="2" w:space="0" w:color="auto"/>
              <w:left w:val="single" w:sz="2" w:space="0" w:color="auto"/>
              <w:bottom w:val="single" w:sz="2" w:space="0" w:color="auto"/>
              <w:right w:val="single" w:sz="2" w:space="0" w:color="auto"/>
            </w:tcBorders>
            <w:vAlign w:val="center"/>
          </w:tcPr>
          <w:p w14:paraId="4B76F19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27,426,911.94</w:t>
            </w:r>
          </w:p>
        </w:tc>
        <w:tc>
          <w:tcPr>
            <w:tcW w:w="1606" w:type="dxa"/>
            <w:tcBorders>
              <w:top w:val="single" w:sz="2" w:space="0" w:color="auto"/>
              <w:left w:val="single" w:sz="2" w:space="0" w:color="auto"/>
              <w:bottom w:val="single" w:sz="2" w:space="0" w:color="auto"/>
              <w:right w:val="single" w:sz="2" w:space="0" w:color="auto"/>
            </w:tcBorders>
            <w:vAlign w:val="center"/>
          </w:tcPr>
          <w:p w14:paraId="2D1EB2E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DC11BB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27,426,911.94</w:t>
            </w:r>
          </w:p>
        </w:tc>
        <w:tc>
          <w:tcPr>
            <w:tcW w:w="1606" w:type="dxa"/>
            <w:tcBorders>
              <w:top w:val="single" w:sz="2" w:space="0" w:color="auto"/>
              <w:left w:val="single" w:sz="2" w:space="0" w:color="auto"/>
              <w:bottom w:val="single" w:sz="2" w:space="0" w:color="auto"/>
              <w:right w:val="single" w:sz="2" w:space="0" w:color="auto"/>
            </w:tcBorders>
            <w:vAlign w:val="center"/>
          </w:tcPr>
          <w:p w14:paraId="4451C56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5.88%</w:t>
            </w:r>
          </w:p>
        </w:tc>
        <w:tc>
          <w:tcPr>
            <w:tcW w:w="1606" w:type="dxa"/>
            <w:tcBorders>
              <w:top w:val="single" w:sz="2" w:space="0" w:color="auto"/>
              <w:left w:val="single" w:sz="2" w:space="0" w:color="auto"/>
              <w:bottom w:val="single" w:sz="2" w:space="0" w:color="auto"/>
              <w:right w:val="single" w:sz="2" w:space="0" w:color="auto"/>
            </w:tcBorders>
            <w:vAlign w:val="center"/>
          </w:tcPr>
          <w:p w14:paraId="100ECC8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13,713,455.97</w:t>
            </w:r>
          </w:p>
        </w:tc>
      </w:tr>
      <w:tr w:rsidR="006C011D" w:rsidRPr="005A284F" w14:paraId="041932AD" w14:textId="77777777" w:rsidTr="00A63401">
        <w:trPr>
          <w:trHeight w:val="340"/>
        </w:trPr>
        <w:tc>
          <w:tcPr>
            <w:tcW w:w="1606" w:type="dxa"/>
            <w:tcBorders>
              <w:top w:val="single" w:sz="2" w:space="0" w:color="auto"/>
              <w:left w:val="single" w:sz="2" w:space="0" w:color="auto"/>
              <w:bottom w:val="single" w:sz="2" w:space="0" w:color="auto"/>
              <w:right w:val="single" w:sz="2" w:space="0" w:color="auto"/>
            </w:tcBorders>
            <w:vAlign w:val="center"/>
          </w:tcPr>
          <w:p w14:paraId="3588F2B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客户</w:t>
            </w:r>
            <w:r w:rsidRPr="005A284F">
              <w:rPr>
                <w:rFonts w:ascii="Times New Roman" w:eastAsia="宋体" w:hAnsi="Times New Roman" w:cs="Times New Roman"/>
                <w:sz w:val="18"/>
                <w:szCs w:val="18"/>
              </w:rPr>
              <w:t>B</w:t>
            </w:r>
          </w:p>
        </w:tc>
        <w:tc>
          <w:tcPr>
            <w:tcW w:w="1606" w:type="dxa"/>
            <w:tcBorders>
              <w:top w:val="single" w:sz="2" w:space="0" w:color="auto"/>
              <w:left w:val="single" w:sz="2" w:space="0" w:color="auto"/>
              <w:bottom w:val="single" w:sz="2" w:space="0" w:color="auto"/>
              <w:right w:val="single" w:sz="2" w:space="0" w:color="auto"/>
            </w:tcBorders>
            <w:vAlign w:val="center"/>
          </w:tcPr>
          <w:p w14:paraId="61D3B9C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25,252,855.20</w:t>
            </w:r>
          </w:p>
        </w:tc>
        <w:tc>
          <w:tcPr>
            <w:tcW w:w="1606" w:type="dxa"/>
            <w:tcBorders>
              <w:top w:val="single" w:sz="2" w:space="0" w:color="auto"/>
              <w:left w:val="single" w:sz="2" w:space="0" w:color="auto"/>
              <w:bottom w:val="single" w:sz="2" w:space="0" w:color="auto"/>
              <w:right w:val="single" w:sz="2" w:space="0" w:color="auto"/>
            </w:tcBorders>
            <w:vAlign w:val="center"/>
          </w:tcPr>
          <w:p w14:paraId="128B180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D26A83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25,252,855.20</w:t>
            </w:r>
          </w:p>
        </w:tc>
        <w:tc>
          <w:tcPr>
            <w:tcW w:w="1606" w:type="dxa"/>
            <w:tcBorders>
              <w:top w:val="single" w:sz="2" w:space="0" w:color="auto"/>
              <w:left w:val="single" w:sz="2" w:space="0" w:color="auto"/>
              <w:bottom w:val="single" w:sz="2" w:space="0" w:color="auto"/>
              <w:right w:val="single" w:sz="2" w:space="0" w:color="auto"/>
            </w:tcBorders>
            <w:vAlign w:val="center"/>
          </w:tcPr>
          <w:p w14:paraId="4F109C6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5.42%</w:t>
            </w:r>
          </w:p>
        </w:tc>
        <w:tc>
          <w:tcPr>
            <w:tcW w:w="1606" w:type="dxa"/>
            <w:tcBorders>
              <w:top w:val="single" w:sz="2" w:space="0" w:color="auto"/>
              <w:left w:val="single" w:sz="2" w:space="0" w:color="auto"/>
              <w:bottom w:val="single" w:sz="2" w:space="0" w:color="auto"/>
              <w:right w:val="single" w:sz="2" w:space="0" w:color="auto"/>
            </w:tcBorders>
            <w:vAlign w:val="center"/>
          </w:tcPr>
          <w:p w14:paraId="4B4DD60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568,189.24</w:t>
            </w:r>
          </w:p>
        </w:tc>
      </w:tr>
      <w:tr w:rsidR="006C011D" w:rsidRPr="005A284F" w14:paraId="7AFA845C" w14:textId="77777777" w:rsidTr="00A63401">
        <w:trPr>
          <w:trHeight w:val="340"/>
        </w:trPr>
        <w:tc>
          <w:tcPr>
            <w:tcW w:w="1606" w:type="dxa"/>
            <w:tcBorders>
              <w:top w:val="single" w:sz="2" w:space="0" w:color="auto"/>
              <w:left w:val="single" w:sz="2" w:space="0" w:color="auto"/>
              <w:bottom w:val="single" w:sz="2" w:space="0" w:color="auto"/>
              <w:right w:val="single" w:sz="2" w:space="0" w:color="auto"/>
            </w:tcBorders>
            <w:vAlign w:val="center"/>
          </w:tcPr>
          <w:p w14:paraId="55B9BFA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客户</w:t>
            </w:r>
            <w:r w:rsidRPr="005A284F">
              <w:rPr>
                <w:rFonts w:ascii="Times New Roman" w:eastAsia="宋体" w:hAnsi="Times New Roman" w:cs="Times New Roman"/>
                <w:sz w:val="18"/>
                <w:szCs w:val="18"/>
              </w:rPr>
              <w:t>C</w:t>
            </w:r>
          </w:p>
        </w:tc>
        <w:tc>
          <w:tcPr>
            <w:tcW w:w="1606" w:type="dxa"/>
            <w:tcBorders>
              <w:top w:val="single" w:sz="2" w:space="0" w:color="auto"/>
              <w:left w:val="single" w:sz="2" w:space="0" w:color="auto"/>
              <w:bottom w:val="single" w:sz="2" w:space="0" w:color="auto"/>
              <w:right w:val="single" w:sz="2" w:space="0" w:color="auto"/>
            </w:tcBorders>
            <w:vAlign w:val="center"/>
          </w:tcPr>
          <w:p w14:paraId="51FB763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23,265,907.60</w:t>
            </w:r>
          </w:p>
        </w:tc>
        <w:tc>
          <w:tcPr>
            <w:tcW w:w="1606" w:type="dxa"/>
            <w:tcBorders>
              <w:top w:val="single" w:sz="2" w:space="0" w:color="auto"/>
              <w:left w:val="single" w:sz="2" w:space="0" w:color="auto"/>
              <w:bottom w:val="single" w:sz="2" w:space="0" w:color="auto"/>
              <w:right w:val="single" w:sz="2" w:space="0" w:color="auto"/>
            </w:tcBorders>
            <w:vAlign w:val="center"/>
          </w:tcPr>
          <w:p w14:paraId="36F1F29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AF38A6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23,265,907.60</w:t>
            </w:r>
          </w:p>
        </w:tc>
        <w:tc>
          <w:tcPr>
            <w:tcW w:w="1606" w:type="dxa"/>
            <w:tcBorders>
              <w:top w:val="single" w:sz="2" w:space="0" w:color="auto"/>
              <w:left w:val="single" w:sz="2" w:space="0" w:color="auto"/>
              <w:bottom w:val="single" w:sz="2" w:space="0" w:color="auto"/>
              <w:right w:val="single" w:sz="2" w:space="0" w:color="auto"/>
            </w:tcBorders>
            <w:vAlign w:val="center"/>
          </w:tcPr>
          <w:p w14:paraId="6C126B0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4.99%</w:t>
            </w:r>
          </w:p>
        </w:tc>
        <w:tc>
          <w:tcPr>
            <w:tcW w:w="1606" w:type="dxa"/>
            <w:tcBorders>
              <w:top w:val="single" w:sz="2" w:space="0" w:color="auto"/>
              <w:left w:val="single" w:sz="2" w:space="0" w:color="auto"/>
              <w:bottom w:val="single" w:sz="2" w:space="0" w:color="auto"/>
              <w:right w:val="single" w:sz="2" w:space="0" w:color="auto"/>
            </w:tcBorders>
            <w:vAlign w:val="center"/>
          </w:tcPr>
          <w:p w14:paraId="19A21B3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515,352.92</w:t>
            </w:r>
          </w:p>
        </w:tc>
      </w:tr>
      <w:tr w:rsidR="006C011D" w:rsidRPr="005A284F" w14:paraId="1A7DE74A" w14:textId="77777777" w:rsidTr="00A63401">
        <w:trPr>
          <w:trHeight w:val="340"/>
        </w:trPr>
        <w:tc>
          <w:tcPr>
            <w:tcW w:w="1606" w:type="dxa"/>
            <w:tcBorders>
              <w:top w:val="single" w:sz="2" w:space="0" w:color="auto"/>
              <w:left w:val="single" w:sz="2" w:space="0" w:color="auto"/>
              <w:bottom w:val="single" w:sz="2" w:space="0" w:color="auto"/>
              <w:right w:val="single" w:sz="2" w:space="0" w:color="auto"/>
            </w:tcBorders>
            <w:vAlign w:val="center"/>
          </w:tcPr>
          <w:p w14:paraId="77B4C1E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客户</w:t>
            </w:r>
            <w:r w:rsidRPr="005A284F">
              <w:rPr>
                <w:rFonts w:ascii="Times New Roman" w:eastAsia="宋体" w:hAnsi="Times New Roman" w:cs="Times New Roman"/>
                <w:sz w:val="18"/>
                <w:szCs w:val="18"/>
              </w:rPr>
              <w:t>D</w:t>
            </w:r>
          </w:p>
        </w:tc>
        <w:tc>
          <w:tcPr>
            <w:tcW w:w="1606" w:type="dxa"/>
            <w:tcBorders>
              <w:top w:val="single" w:sz="2" w:space="0" w:color="auto"/>
              <w:left w:val="single" w:sz="2" w:space="0" w:color="auto"/>
              <w:bottom w:val="single" w:sz="2" w:space="0" w:color="auto"/>
              <w:right w:val="single" w:sz="2" w:space="0" w:color="auto"/>
            </w:tcBorders>
            <w:vAlign w:val="center"/>
          </w:tcPr>
          <w:p w14:paraId="6C7F4D6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18,775,745.74</w:t>
            </w:r>
          </w:p>
        </w:tc>
        <w:tc>
          <w:tcPr>
            <w:tcW w:w="1606" w:type="dxa"/>
            <w:tcBorders>
              <w:top w:val="single" w:sz="2" w:space="0" w:color="auto"/>
              <w:left w:val="single" w:sz="2" w:space="0" w:color="auto"/>
              <w:bottom w:val="single" w:sz="2" w:space="0" w:color="auto"/>
              <w:right w:val="single" w:sz="2" w:space="0" w:color="auto"/>
            </w:tcBorders>
            <w:vAlign w:val="center"/>
          </w:tcPr>
          <w:p w14:paraId="6ACA235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7BAAB3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18,775,745.74</w:t>
            </w:r>
          </w:p>
        </w:tc>
        <w:tc>
          <w:tcPr>
            <w:tcW w:w="1606" w:type="dxa"/>
            <w:tcBorders>
              <w:top w:val="single" w:sz="2" w:space="0" w:color="auto"/>
              <w:left w:val="single" w:sz="2" w:space="0" w:color="auto"/>
              <w:bottom w:val="single" w:sz="2" w:space="0" w:color="auto"/>
              <w:right w:val="single" w:sz="2" w:space="0" w:color="auto"/>
            </w:tcBorders>
            <w:vAlign w:val="center"/>
          </w:tcPr>
          <w:p w14:paraId="7F47BC3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4.03%</w:t>
            </w:r>
          </w:p>
        </w:tc>
        <w:tc>
          <w:tcPr>
            <w:tcW w:w="1606" w:type="dxa"/>
            <w:tcBorders>
              <w:top w:val="single" w:sz="2" w:space="0" w:color="auto"/>
              <w:left w:val="single" w:sz="2" w:space="0" w:color="auto"/>
              <w:bottom w:val="single" w:sz="2" w:space="0" w:color="auto"/>
              <w:right w:val="single" w:sz="2" w:space="0" w:color="auto"/>
            </w:tcBorders>
            <w:vAlign w:val="center"/>
          </w:tcPr>
          <w:p w14:paraId="7E0B81C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422,454.28</w:t>
            </w:r>
          </w:p>
        </w:tc>
      </w:tr>
      <w:tr w:rsidR="006C011D" w:rsidRPr="005A284F" w14:paraId="264323F8" w14:textId="77777777" w:rsidTr="00A63401">
        <w:trPr>
          <w:trHeight w:val="340"/>
        </w:trPr>
        <w:tc>
          <w:tcPr>
            <w:tcW w:w="1606" w:type="dxa"/>
            <w:tcBorders>
              <w:top w:val="single" w:sz="2" w:space="0" w:color="auto"/>
              <w:left w:val="single" w:sz="2" w:space="0" w:color="auto"/>
              <w:bottom w:val="single" w:sz="2" w:space="0" w:color="auto"/>
              <w:right w:val="single" w:sz="2" w:space="0" w:color="auto"/>
            </w:tcBorders>
            <w:vAlign w:val="center"/>
          </w:tcPr>
          <w:p w14:paraId="6B1EC67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客户</w:t>
            </w:r>
            <w:r w:rsidRPr="005A284F">
              <w:rPr>
                <w:rFonts w:ascii="Times New Roman" w:eastAsia="宋体" w:hAnsi="Times New Roman" w:cs="Times New Roman"/>
                <w:sz w:val="18"/>
                <w:szCs w:val="18"/>
              </w:rPr>
              <w:t>E</w:t>
            </w:r>
          </w:p>
        </w:tc>
        <w:tc>
          <w:tcPr>
            <w:tcW w:w="1606" w:type="dxa"/>
            <w:tcBorders>
              <w:top w:val="single" w:sz="2" w:space="0" w:color="auto"/>
              <w:left w:val="single" w:sz="2" w:space="0" w:color="auto"/>
              <w:bottom w:val="single" w:sz="2" w:space="0" w:color="auto"/>
              <w:right w:val="single" w:sz="2" w:space="0" w:color="auto"/>
            </w:tcBorders>
            <w:vAlign w:val="center"/>
          </w:tcPr>
          <w:p w14:paraId="16AFBE9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15,412,362.32</w:t>
            </w:r>
          </w:p>
        </w:tc>
        <w:tc>
          <w:tcPr>
            <w:tcW w:w="1606" w:type="dxa"/>
            <w:tcBorders>
              <w:top w:val="single" w:sz="2" w:space="0" w:color="auto"/>
              <w:left w:val="single" w:sz="2" w:space="0" w:color="auto"/>
              <w:bottom w:val="single" w:sz="2" w:space="0" w:color="auto"/>
              <w:right w:val="single" w:sz="2" w:space="0" w:color="auto"/>
            </w:tcBorders>
            <w:vAlign w:val="center"/>
          </w:tcPr>
          <w:p w14:paraId="6F302D5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647D45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15,412,362.32</w:t>
            </w:r>
          </w:p>
        </w:tc>
        <w:tc>
          <w:tcPr>
            <w:tcW w:w="1606" w:type="dxa"/>
            <w:tcBorders>
              <w:top w:val="single" w:sz="2" w:space="0" w:color="auto"/>
              <w:left w:val="single" w:sz="2" w:space="0" w:color="auto"/>
              <w:bottom w:val="single" w:sz="2" w:space="0" w:color="auto"/>
              <w:right w:val="single" w:sz="2" w:space="0" w:color="auto"/>
            </w:tcBorders>
            <w:vAlign w:val="center"/>
          </w:tcPr>
          <w:p w14:paraId="2CAB06D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3.31%</w:t>
            </w:r>
          </w:p>
        </w:tc>
        <w:tc>
          <w:tcPr>
            <w:tcW w:w="1606" w:type="dxa"/>
            <w:tcBorders>
              <w:top w:val="single" w:sz="2" w:space="0" w:color="auto"/>
              <w:left w:val="single" w:sz="2" w:space="0" w:color="auto"/>
              <w:bottom w:val="single" w:sz="2" w:space="0" w:color="auto"/>
              <w:right w:val="single" w:sz="2" w:space="0" w:color="auto"/>
            </w:tcBorders>
            <w:vAlign w:val="center"/>
          </w:tcPr>
          <w:p w14:paraId="383361F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403,140.61</w:t>
            </w:r>
          </w:p>
        </w:tc>
      </w:tr>
      <w:tr w:rsidR="006C011D" w:rsidRPr="005A284F" w14:paraId="2015AE42" w14:textId="77777777" w:rsidTr="00A63401">
        <w:trPr>
          <w:trHeight w:val="486"/>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8C79AA3"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14:paraId="1C844C3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110,133,782.80</w:t>
            </w:r>
          </w:p>
        </w:tc>
        <w:tc>
          <w:tcPr>
            <w:tcW w:w="1606" w:type="dxa"/>
            <w:tcBorders>
              <w:top w:val="single" w:sz="2" w:space="0" w:color="auto"/>
              <w:left w:val="single" w:sz="2" w:space="0" w:color="auto"/>
              <w:bottom w:val="single" w:sz="2" w:space="0" w:color="auto"/>
              <w:right w:val="single" w:sz="2" w:space="0" w:color="auto"/>
            </w:tcBorders>
            <w:vAlign w:val="center"/>
          </w:tcPr>
          <w:p w14:paraId="1A6D7EB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5A372B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110,133,782.80</w:t>
            </w:r>
          </w:p>
        </w:tc>
        <w:tc>
          <w:tcPr>
            <w:tcW w:w="1606" w:type="dxa"/>
            <w:tcBorders>
              <w:top w:val="single" w:sz="2" w:space="0" w:color="auto"/>
              <w:left w:val="single" w:sz="2" w:space="0" w:color="auto"/>
              <w:bottom w:val="single" w:sz="2" w:space="0" w:color="auto"/>
              <w:right w:val="single" w:sz="2" w:space="0" w:color="auto"/>
            </w:tcBorders>
            <w:vAlign w:val="center"/>
          </w:tcPr>
          <w:p w14:paraId="1A75E6A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23.63%</w:t>
            </w:r>
          </w:p>
        </w:tc>
        <w:tc>
          <w:tcPr>
            <w:tcW w:w="1606" w:type="dxa"/>
            <w:tcBorders>
              <w:top w:val="single" w:sz="2" w:space="0" w:color="auto"/>
              <w:left w:val="single" w:sz="2" w:space="0" w:color="auto"/>
              <w:bottom w:val="single" w:sz="2" w:space="0" w:color="auto"/>
              <w:right w:val="single" w:sz="2" w:space="0" w:color="auto"/>
            </w:tcBorders>
            <w:vAlign w:val="center"/>
          </w:tcPr>
          <w:p w14:paraId="381F33D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15,622,593.02</w:t>
            </w:r>
          </w:p>
        </w:tc>
      </w:tr>
    </w:tbl>
    <w:p w14:paraId="7ACACEF3" w14:textId="77777777" w:rsidR="006C011D" w:rsidRPr="005A284F" w:rsidRDefault="00000000">
      <w:pPr>
        <w:pStyle w:val="3"/>
        <w:spacing w:line="280" w:lineRule="exact"/>
        <w:jc w:val="left"/>
        <w:rPr>
          <w:rFonts w:ascii="Times New Roman" w:hAnsi="Times New Roman" w:cs="Times New Roman"/>
          <w:b/>
          <w:bCs/>
        </w:rPr>
      </w:pPr>
      <w:bookmarkStart w:id="193" w:name="_Toc989082"/>
      <w:r w:rsidRPr="005A284F">
        <w:rPr>
          <w:rFonts w:ascii="Times New Roman" w:hAnsi="Times New Roman" w:cs="Times New Roman"/>
          <w:b/>
          <w:bCs/>
        </w:rPr>
        <w:t>6</w:t>
      </w:r>
      <w:r w:rsidRPr="005A284F">
        <w:rPr>
          <w:rFonts w:ascii="Times New Roman" w:hAnsi="Times New Roman" w:cs="Times New Roman"/>
          <w:b/>
          <w:bCs/>
        </w:rPr>
        <w:t>、合同资产</w:t>
      </w:r>
      <w:bookmarkEnd w:id="193"/>
    </w:p>
    <w:p w14:paraId="1876CB27" w14:textId="77777777" w:rsidR="000309B5" w:rsidRPr="005A284F" w:rsidRDefault="00000000">
      <w:pPr>
        <w:pStyle w:val="a3"/>
        <w:divId w:val="1782526379"/>
        <w:rPr>
          <w:rFonts w:ascii="Times New Roman" w:hAnsi="Times New Roman" w:cs="Times New Roman"/>
          <w:sz w:val="18"/>
          <w:szCs w:val="18"/>
        </w:rPr>
      </w:pPr>
      <w:r w:rsidRPr="005A284F">
        <w:rPr>
          <w:rFonts w:ascii="Times New Roman" w:hAnsi="Times New Roman" w:cs="Times New Roman"/>
          <w:sz w:val="18"/>
          <w:szCs w:val="18"/>
        </w:rPr>
        <w:t>无</w:t>
      </w:r>
    </w:p>
    <w:p w14:paraId="205C5B0E" w14:textId="77777777" w:rsidR="006C011D" w:rsidRPr="005A284F" w:rsidRDefault="00000000">
      <w:pPr>
        <w:pStyle w:val="3"/>
        <w:spacing w:line="280" w:lineRule="exact"/>
        <w:jc w:val="left"/>
        <w:rPr>
          <w:rFonts w:ascii="Times New Roman" w:hAnsi="Times New Roman" w:cs="Times New Roman"/>
          <w:b/>
          <w:bCs/>
        </w:rPr>
      </w:pPr>
      <w:bookmarkStart w:id="194" w:name="_Toc989088"/>
      <w:r w:rsidRPr="005A284F">
        <w:rPr>
          <w:rFonts w:ascii="Times New Roman" w:hAnsi="Times New Roman" w:cs="Times New Roman"/>
          <w:b/>
          <w:bCs/>
        </w:rPr>
        <w:t>7</w:t>
      </w:r>
      <w:r w:rsidRPr="005A284F">
        <w:rPr>
          <w:rFonts w:ascii="Times New Roman" w:hAnsi="Times New Roman" w:cs="Times New Roman"/>
          <w:b/>
          <w:bCs/>
        </w:rPr>
        <w:t>、应收款项融资</w:t>
      </w:r>
      <w:bookmarkEnd w:id="194"/>
    </w:p>
    <w:p w14:paraId="2416130B" w14:textId="77777777" w:rsidR="000309B5" w:rsidRPr="005A284F" w:rsidRDefault="00000000">
      <w:pPr>
        <w:pStyle w:val="a3"/>
        <w:divId w:val="732047814"/>
        <w:rPr>
          <w:rFonts w:ascii="Times New Roman" w:hAnsi="Times New Roman" w:cs="Times New Roman"/>
          <w:sz w:val="18"/>
          <w:szCs w:val="18"/>
        </w:rPr>
      </w:pPr>
      <w:r w:rsidRPr="005A284F">
        <w:rPr>
          <w:rFonts w:ascii="Times New Roman" w:hAnsi="Times New Roman" w:cs="Times New Roman"/>
          <w:sz w:val="18"/>
          <w:szCs w:val="18"/>
        </w:rPr>
        <w:t>无</w:t>
      </w:r>
    </w:p>
    <w:p w14:paraId="7DE547A9" w14:textId="77777777" w:rsidR="006C011D" w:rsidRPr="005A284F" w:rsidRDefault="00000000">
      <w:pPr>
        <w:pStyle w:val="3"/>
        <w:spacing w:line="280" w:lineRule="exact"/>
        <w:jc w:val="left"/>
        <w:rPr>
          <w:rFonts w:ascii="Times New Roman" w:hAnsi="Times New Roman" w:cs="Times New Roman"/>
          <w:b/>
          <w:bCs/>
        </w:rPr>
      </w:pPr>
      <w:bookmarkStart w:id="195" w:name="_Toc989097"/>
      <w:r w:rsidRPr="005A284F">
        <w:rPr>
          <w:rFonts w:ascii="Times New Roman" w:hAnsi="Times New Roman" w:cs="Times New Roman"/>
          <w:b/>
          <w:bCs/>
        </w:rPr>
        <w:lastRenderedPageBreak/>
        <w:t>8</w:t>
      </w:r>
      <w:r w:rsidRPr="005A284F">
        <w:rPr>
          <w:rFonts w:ascii="Times New Roman" w:hAnsi="Times New Roman" w:cs="Times New Roman"/>
          <w:b/>
          <w:bCs/>
        </w:rPr>
        <w:t>、其他应收款</w:t>
      </w:r>
      <w:bookmarkEnd w:id="195"/>
    </w:p>
    <w:p w14:paraId="5FFB2736"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7E21388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1C368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64D92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EC37B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r>
      <w:tr w:rsidR="006C011D" w:rsidRPr="005A284F" w14:paraId="6576869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82417F"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14:paraId="2F1796A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31,570,941.11</w:t>
            </w:r>
          </w:p>
        </w:tc>
        <w:tc>
          <w:tcPr>
            <w:tcW w:w="3213" w:type="dxa"/>
            <w:tcBorders>
              <w:top w:val="single" w:sz="2" w:space="0" w:color="auto"/>
              <w:left w:val="single" w:sz="2" w:space="0" w:color="auto"/>
              <w:bottom w:val="single" w:sz="2" w:space="0" w:color="auto"/>
              <w:right w:val="single" w:sz="2" w:space="0" w:color="auto"/>
            </w:tcBorders>
            <w:vAlign w:val="center"/>
          </w:tcPr>
          <w:p w14:paraId="36FB65A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96,538,090.22</w:t>
            </w:r>
          </w:p>
        </w:tc>
      </w:tr>
      <w:tr w:rsidR="006C011D" w:rsidRPr="005A284F" w14:paraId="79C8BF7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17068F"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163676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31,570,941.11</w:t>
            </w:r>
          </w:p>
        </w:tc>
        <w:tc>
          <w:tcPr>
            <w:tcW w:w="3213" w:type="dxa"/>
            <w:tcBorders>
              <w:top w:val="single" w:sz="2" w:space="0" w:color="auto"/>
              <w:left w:val="single" w:sz="2" w:space="0" w:color="auto"/>
              <w:bottom w:val="single" w:sz="2" w:space="0" w:color="auto"/>
              <w:right w:val="single" w:sz="2" w:space="0" w:color="auto"/>
            </w:tcBorders>
            <w:vAlign w:val="center"/>
          </w:tcPr>
          <w:p w14:paraId="5D82B0E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96,538,090.22</w:t>
            </w:r>
          </w:p>
        </w:tc>
      </w:tr>
    </w:tbl>
    <w:p w14:paraId="25663D15" w14:textId="012F35F7"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196" w:name="_Toc989098"/>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1</w:t>
      </w:r>
      <w:r w:rsidRPr="005A284F">
        <w:rPr>
          <w:rFonts w:ascii="Times New Roman" w:eastAsia="宋体" w:hAnsi="Times New Roman" w:cs="Times New Roman"/>
          <w:b/>
          <w:bCs/>
          <w:sz w:val="21"/>
          <w:szCs w:val="21"/>
        </w:rPr>
        <w:t>）应收利息</w:t>
      </w:r>
      <w:bookmarkEnd w:id="196"/>
    </w:p>
    <w:p w14:paraId="187CAFDF" w14:textId="77777777" w:rsidR="000309B5" w:rsidRPr="005A284F" w:rsidRDefault="00000000">
      <w:pPr>
        <w:pStyle w:val="a3"/>
        <w:divId w:val="1551922907"/>
        <w:rPr>
          <w:rFonts w:ascii="Times New Roman" w:hAnsi="Times New Roman" w:cs="Times New Roman"/>
          <w:sz w:val="18"/>
          <w:szCs w:val="18"/>
        </w:rPr>
      </w:pPr>
      <w:r w:rsidRPr="005A284F">
        <w:rPr>
          <w:rFonts w:ascii="Times New Roman" w:hAnsi="Times New Roman" w:cs="Times New Roman"/>
          <w:sz w:val="18"/>
          <w:szCs w:val="18"/>
        </w:rPr>
        <w:t>无</w:t>
      </w:r>
    </w:p>
    <w:p w14:paraId="0273C892" w14:textId="4940DD6C"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197" w:name="_Toc989104"/>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2</w:t>
      </w:r>
      <w:r w:rsidRPr="005A284F">
        <w:rPr>
          <w:rFonts w:ascii="Times New Roman" w:eastAsia="宋体" w:hAnsi="Times New Roman" w:cs="Times New Roman"/>
          <w:b/>
          <w:bCs/>
          <w:sz w:val="21"/>
          <w:szCs w:val="21"/>
        </w:rPr>
        <w:t>）应收股利</w:t>
      </w:r>
      <w:bookmarkEnd w:id="197"/>
    </w:p>
    <w:p w14:paraId="1361D4EE" w14:textId="77777777" w:rsidR="000309B5" w:rsidRPr="005A284F" w:rsidRDefault="00000000">
      <w:pPr>
        <w:pStyle w:val="a3"/>
        <w:divId w:val="929460496"/>
        <w:rPr>
          <w:rFonts w:ascii="Times New Roman" w:hAnsi="Times New Roman" w:cs="Times New Roman"/>
          <w:sz w:val="18"/>
          <w:szCs w:val="18"/>
        </w:rPr>
      </w:pPr>
      <w:r w:rsidRPr="005A284F">
        <w:rPr>
          <w:rFonts w:ascii="Times New Roman" w:hAnsi="Times New Roman" w:cs="Times New Roman"/>
          <w:sz w:val="18"/>
          <w:szCs w:val="18"/>
        </w:rPr>
        <w:t>无</w:t>
      </w:r>
    </w:p>
    <w:p w14:paraId="2B3261B7" w14:textId="10AC3B96"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198" w:name="_Toc989110"/>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3</w:t>
      </w:r>
      <w:r w:rsidRPr="005A284F">
        <w:rPr>
          <w:rFonts w:ascii="Times New Roman" w:eastAsia="宋体" w:hAnsi="Times New Roman" w:cs="Times New Roman"/>
          <w:b/>
          <w:bCs/>
          <w:sz w:val="21"/>
          <w:szCs w:val="21"/>
        </w:rPr>
        <w:t>）其他应收款</w:t>
      </w:r>
      <w:bookmarkEnd w:id="198"/>
    </w:p>
    <w:p w14:paraId="46DB663F" w14:textId="71F258F7" w:rsidR="006C011D" w:rsidRPr="005A284F" w:rsidRDefault="00000000">
      <w:pPr>
        <w:keepNext/>
        <w:keepLines/>
        <w:spacing w:before="300" w:after="300" w:line="280" w:lineRule="exact"/>
        <w:outlineLvl w:val="4"/>
        <w:rPr>
          <w:rFonts w:ascii="Times New Roman" w:eastAsia="宋体" w:hAnsi="Times New Roman" w:cs="Times New Roman"/>
          <w:b/>
          <w:bCs/>
          <w:sz w:val="18"/>
          <w:szCs w:val="18"/>
        </w:rPr>
      </w:pPr>
      <w:bookmarkStart w:id="199" w:name="_Toc989111"/>
      <w:r w:rsidRPr="005A284F">
        <w:rPr>
          <w:rFonts w:ascii="Times New Roman" w:eastAsia="宋体" w:hAnsi="Times New Roman" w:cs="Times New Roman"/>
          <w:b/>
          <w:bCs/>
          <w:sz w:val="18"/>
          <w:szCs w:val="18"/>
        </w:rPr>
        <w:t>1</w:t>
      </w:r>
      <w:r w:rsidRPr="005A284F">
        <w:rPr>
          <w:rFonts w:ascii="Times New Roman" w:eastAsia="宋体" w:hAnsi="Times New Roman" w:cs="Times New Roman"/>
          <w:b/>
          <w:bCs/>
          <w:sz w:val="18"/>
          <w:szCs w:val="18"/>
        </w:rPr>
        <w:t>）其他应收款按款项性质分类情况</w:t>
      </w:r>
      <w:bookmarkEnd w:id="199"/>
    </w:p>
    <w:p w14:paraId="69EE64A3"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03C3583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97B4A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款项性质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FB4D8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DA177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期初账面余额</w:t>
            </w:r>
          </w:p>
        </w:tc>
      </w:tr>
      <w:tr w:rsidR="006C011D" w:rsidRPr="005A284F" w14:paraId="58D43672"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81C3F5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备用金借支</w:t>
            </w:r>
          </w:p>
        </w:tc>
        <w:tc>
          <w:tcPr>
            <w:tcW w:w="3213" w:type="dxa"/>
            <w:tcBorders>
              <w:top w:val="single" w:sz="2" w:space="0" w:color="auto"/>
              <w:left w:val="single" w:sz="2" w:space="0" w:color="auto"/>
              <w:bottom w:val="single" w:sz="2" w:space="0" w:color="auto"/>
              <w:right w:val="single" w:sz="2" w:space="0" w:color="auto"/>
            </w:tcBorders>
            <w:vAlign w:val="center"/>
          </w:tcPr>
          <w:p w14:paraId="6EB641F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6,810,592.82</w:t>
            </w:r>
          </w:p>
        </w:tc>
        <w:tc>
          <w:tcPr>
            <w:tcW w:w="3213" w:type="dxa"/>
            <w:tcBorders>
              <w:top w:val="single" w:sz="2" w:space="0" w:color="auto"/>
              <w:left w:val="single" w:sz="2" w:space="0" w:color="auto"/>
              <w:bottom w:val="single" w:sz="2" w:space="0" w:color="auto"/>
              <w:right w:val="single" w:sz="2" w:space="0" w:color="auto"/>
            </w:tcBorders>
            <w:vAlign w:val="center"/>
          </w:tcPr>
          <w:p w14:paraId="610D5DC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4,036,344.33</w:t>
            </w:r>
          </w:p>
        </w:tc>
      </w:tr>
      <w:tr w:rsidR="006C011D" w:rsidRPr="005A284F" w14:paraId="6B522176"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0399D5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保证金、押金</w:t>
            </w:r>
          </w:p>
        </w:tc>
        <w:tc>
          <w:tcPr>
            <w:tcW w:w="3213" w:type="dxa"/>
            <w:tcBorders>
              <w:top w:val="single" w:sz="2" w:space="0" w:color="auto"/>
              <w:left w:val="single" w:sz="2" w:space="0" w:color="auto"/>
              <w:bottom w:val="single" w:sz="2" w:space="0" w:color="auto"/>
              <w:right w:val="single" w:sz="2" w:space="0" w:color="auto"/>
            </w:tcBorders>
            <w:vAlign w:val="center"/>
          </w:tcPr>
          <w:p w14:paraId="1D56CC7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48,600,847.00</w:t>
            </w:r>
          </w:p>
        </w:tc>
        <w:tc>
          <w:tcPr>
            <w:tcW w:w="3213" w:type="dxa"/>
            <w:tcBorders>
              <w:top w:val="single" w:sz="2" w:space="0" w:color="auto"/>
              <w:left w:val="single" w:sz="2" w:space="0" w:color="auto"/>
              <w:bottom w:val="single" w:sz="2" w:space="0" w:color="auto"/>
              <w:right w:val="single" w:sz="2" w:space="0" w:color="auto"/>
            </w:tcBorders>
            <w:vAlign w:val="center"/>
          </w:tcPr>
          <w:p w14:paraId="25EF606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51,636,238.57</w:t>
            </w:r>
          </w:p>
        </w:tc>
      </w:tr>
      <w:tr w:rsidR="006C011D" w:rsidRPr="005A284F" w14:paraId="7176E0FC"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8DAA81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国储补贴收入</w:t>
            </w:r>
          </w:p>
        </w:tc>
        <w:tc>
          <w:tcPr>
            <w:tcW w:w="3213" w:type="dxa"/>
            <w:tcBorders>
              <w:top w:val="single" w:sz="2" w:space="0" w:color="auto"/>
              <w:left w:val="single" w:sz="2" w:space="0" w:color="auto"/>
              <w:bottom w:val="single" w:sz="2" w:space="0" w:color="auto"/>
              <w:right w:val="single" w:sz="2" w:space="0" w:color="auto"/>
            </w:tcBorders>
            <w:vAlign w:val="center"/>
          </w:tcPr>
          <w:p w14:paraId="076FA73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5,827,196.67</w:t>
            </w:r>
          </w:p>
        </w:tc>
        <w:tc>
          <w:tcPr>
            <w:tcW w:w="3213" w:type="dxa"/>
            <w:tcBorders>
              <w:top w:val="single" w:sz="2" w:space="0" w:color="auto"/>
              <w:left w:val="single" w:sz="2" w:space="0" w:color="auto"/>
              <w:bottom w:val="single" w:sz="2" w:space="0" w:color="auto"/>
              <w:right w:val="single" w:sz="2" w:space="0" w:color="auto"/>
            </w:tcBorders>
            <w:vAlign w:val="center"/>
          </w:tcPr>
          <w:p w14:paraId="616EC48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5,827,196.67</w:t>
            </w:r>
          </w:p>
        </w:tc>
      </w:tr>
      <w:tr w:rsidR="006C011D" w:rsidRPr="005A284F" w14:paraId="25E76C37"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8A2113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应收股权转让款</w:t>
            </w:r>
          </w:p>
        </w:tc>
        <w:tc>
          <w:tcPr>
            <w:tcW w:w="3213" w:type="dxa"/>
            <w:tcBorders>
              <w:top w:val="single" w:sz="2" w:space="0" w:color="auto"/>
              <w:left w:val="single" w:sz="2" w:space="0" w:color="auto"/>
              <w:bottom w:val="single" w:sz="2" w:space="0" w:color="auto"/>
              <w:right w:val="single" w:sz="2" w:space="0" w:color="auto"/>
            </w:tcBorders>
            <w:vAlign w:val="center"/>
          </w:tcPr>
          <w:p w14:paraId="7C7C4E5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7D733B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64,200,000.00</w:t>
            </w:r>
          </w:p>
        </w:tc>
      </w:tr>
      <w:tr w:rsidR="006C011D" w:rsidRPr="005A284F" w14:paraId="4B2C9E6D"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A2F3C1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412039F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1,772,512.20</w:t>
            </w:r>
          </w:p>
        </w:tc>
        <w:tc>
          <w:tcPr>
            <w:tcW w:w="3213" w:type="dxa"/>
            <w:tcBorders>
              <w:top w:val="single" w:sz="2" w:space="0" w:color="auto"/>
              <w:left w:val="single" w:sz="2" w:space="0" w:color="auto"/>
              <w:bottom w:val="single" w:sz="2" w:space="0" w:color="auto"/>
              <w:right w:val="single" w:sz="2" w:space="0" w:color="auto"/>
            </w:tcBorders>
            <w:vAlign w:val="center"/>
          </w:tcPr>
          <w:p w14:paraId="0C5C476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1,727,631.99</w:t>
            </w:r>
          </w:p>
        </w:tc>
      </w:tr>
      <w:tr w:rsidR="006C011D" w:rsidRPr="005A284F" w14:paraId="5346BB02"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9C68B2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减：坏账准备</w:t>
            </w:r>
          </w:p>
        </w:tc>
        <w:tc>
          <w:tcPr>
            <w:tcW w:w="3213" w:type="dxa"/>
            <w:tcBorders>
              <w:top w:val="single" w:sz="2" w:space="0" w:color="auto"/>
              <w:left w:val="single" w:sz="2" w:space="0" w:color="auto"/>
              <w:bottom w:val="single" w:sz="2" w:space="0" w:color="auto"/>
              <w:right w:val="single" w:sz="2" w:space="0" w:color="auto"/>
            </w:tcBorders>
            <w:vAlign w:val="center"/>
          </w:tcPr>
          <w:p w14:paraId="20D5ED1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-31,440,207.58</w:t>
            </w:r>
          </w:p>
        </w:tc>
        <w:tc>
          <w:tcPr>
            <w:tcW w:w="3213" w:type="dxa"/>
            <w:tcBorders>
              <w:top w:val="single" w:sz="2" w:space="0" w:color="auto"/>
              <w:left w:val="single" w:sz="2" w:space="0" w:color="auto"/>
              <w:bottom w:val="single" w:sz="2" w:space="0" w:color="auto"/>
              <w:right w:val="single" w:sz="2" w:space="0" w:color="auto"/>
            </w:tcBorders>
            <w:vAlign w:val="center"/>
          </w:tcPr>
          <w:p w14:paraId="49F4E6C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-30,889,321.34</w:t>
            </w:r>
          </w:p>
        </w:tc>
      </w:tr>
      <w:tr w:rsidR="006C011D" w:rsidRPr="005A284F" w14:paraId="6BF4752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811D95"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358BF8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31,570,941.11</w:t>
            </w:r>
          </w:p>
        </w:tc>
        <w:tc>
          <w:tcPr>
            <w:tcW w:w="3213" w:type="dxa"/>
            <w:tcBorders>
              <w:top w:val="single" w:sz="2" w:space="0" w:color="auto"/>
              <w:left w:val="single" w:sz="2" w:space="0" w:color="auto"/>
              <w:bottom w:val="single" w:sz="2" w:space="0" w:color="auto"/>
              <w:right w:val="single" w:sz="2" w:space="0" w:color="auto"/>
            </w:tcBorders>
            <w:vAlign w:val="center"/>
          </w:tcPr>
          <w:p w14:paraId="7EB7CB0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96,538,090.22</w:t>
            </w:r>
          </w:p>
        </w:tc>
      </w:tr>
    </w:tbl>
    <w:p w14:paraId="1C3E45A3" w14:textId="794BE022" w:rsidR="006C011D" w:rsidRPr="005A284F" w:rsidRDefault="00000000">
      <w:pPr>
        <w:keepNext/>
        <w:keepLines/>
        <w:spacing w:before="300" w:after="300" w:line="280" w:lineRule="exact"/>
        <w:outlineLvl w:val="4"/>
        <w:rPr>
          <w:rFonts w:ascii="Times New Roman" w:eastAsia="宋体" w:hAnsi="Times New Roman" w:cs="Times New Roman"/>
          <w:b/>
          <w:bCs/>
          <w:sz w:val="18"/>
          <w:szCs w:val="18"/>
        </w:rPr>
      </w:pPr>
      <w:bookmarkStart w:id="200" w:name="_Toc989112"/>
      <w:r w:rsidRPr="005A284F">
        <w:rPr>
          <w:rFonts w:ascii="Times New Roman" w:eastAsia="宋体" w:hAnsi="Times New Roman" w:cs="Times New Roman"/>
          <w:b/>
          <w:bCs/>
          <w:sz w:val="18"/>
          <w:szCs w:val="18"/>
        </w:rPr>
        <w:t>2</w:t>
      </w:r>
      <w:r w:rsidRPr="005A284F">
        <w:rPr>
          <w:rFonts w:ascii="Times New Roman" w:eastAsia="宋体" w:hAnsi="Times New Roman" w:cs="Times New Roman"/>
          <w:b/>
          <w:bCs/>
          <w:sz w:val="18"/>
          <w:szCs w:val="18"/>
        </w:rPr>
        <w:t>）按账龄披露</w:t>
      </w:r>
      <w:bookmarkEnd w:id="200"/>
    </w:p>
    <w:p w14:paraId="1C023F2E" w14:textId="77777777" w:rsidR="006C011D" w:rsidRPr="005A284F" w:rsidRDefault="00000000">
      <w:pPr>
        <w:spacing w:before="120" w:after="12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2FD4859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3E8DB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CEB22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95E08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期初账面余额</w:t>
            </w:r>
          </w:p>
        </w:tc>
      </w:tr>
      <w:tr w:rsidR="006C011D" w:rsidRPr="005A284F" w14:paraId="3C33F05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16FD08"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年以内（含</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17F5CE5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16,929,701.48</w:t>
            </w:r>
          </w:p>
        </w:tc>
        <w:tc>
          <w:tcPr>
            <w:tcW w:w="3213" w:type="dxa"/>
            <w:tcBorders>
              <w:top w:val="single" w:sz="2" w:space="0" w:color="auto"/>
              <w:left w:val="single" w:sz="2" w:space="0" w:color="auto"/>
              <w:bottom w:val="single" w:sz="2" w:space="0" w:color="auto"/>
              <w:right w:val="single" w:sz="2" w:space="0" w:color="auto"/>
            </w:tcBorders>
            <w:vAlign w:val="center"/>
          </w:tcPr>
          <w:p w14:paraId="4BF9761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81,355,592.23</w:t>
            </w:r>
          </w:p>
        </w:tc>
      </w:tr>
      <w:tr w:rsidR="006C011D" w:rsidRPr="005A284F" w14:paraId="561B66A7"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F9875A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1-3</w:t>
            </w:r>
            <w:r w:rsidRPr="005A284F">
              <w:rPr>
                <w:rFonts w:ascii="Times New Roman" w:eastAsia="宋体" w:hAnsi="Times New Roman" w:cs="Times New Roman"/>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06E7448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7,071,431.37</w:t>
            </w:r>
          </w:p>
        </w:tc>
        <w:tc>
          <w:tcPr>
            <w:tcW w:w="3213" w:type="dxa"/>
            <w:tcBorders>
              <w:top w:val="single" w:sz="2" w:space="0" w:color="auto"/>
              <w:left w:val="single" w:sz="2" w:space="0" w:color="auto"/>
              <w:bottom w:val="single" w:sz="2" w:space="0" w:color="auto"/>
              <w:right w:val="single" w:sz="2" w:space="0" w:color="auto"/>
            </w:tcBorders>
            <w:vAlign w:val="center"/>
          </w:tcPr>
          <w:p w14:paraId="713D420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70,546,523.43</w:t>
            </w:r>
          </w:p>
        </w:tc>
      </w:tr>
      <w:tr w:rsidR="006C011D" w:rsidRPr="005A284F" w14:paraId="130291E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43DF99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4-6</w:t>
            </w:r>
            <w:r w:rsidRPr="005A284F">
              <w:rPr>
                <w:rFonts w:ascii="Times New Roman" w:eastAsia="宋体" w:hAnsi="Times New Roman" w:cs="Times New Roman"/>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089D2FC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4,534,840.22</w:t>
            </w:r>
          </w:p>
        </w:tc>
        <w:tc>
          <w:tcPr>
            <w:tcW w:w="3213" w:type="dxa"/>
            <w:tcBorders>
              <w:top w:val="single" w:sz="2" w:space="0" w:color="auto"/>
              <w:left w:val="single" w:sz="2" w:space="0" w:color="auto"/>
              <w:bottom w:val="single" w:sz="2" w:space="0" w:color="auto"/>
              <w:right w:val="single" w:sz="2" w:space="0" w:color="auto"/>
            </w:tcBorders>
            <w:vAlign w:val="center"/>
          </w:tcPr>
          <w:p w14:paraId="113E02E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3,160,842.18</w:t>
            </w:r>
          </w:p>
        </w:tc>
      </w:tr>
      <w:tr w:rsidR="006C011D" w:rsidRPr="005A284F" w14:paraId="087B5A9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4A3AB3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7-9</w:t>
            </w:r>
            <w:r w:rsidRPr="005A284F">
              <w:rPr>
                <w:rFonts w:ascii="Times New Roman" w:eastAsia="宋体" w:hAnsi="Times New Roman" w:cs="Times New Roman"/>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75EC89E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2,909,455.00</w:t>
            </w:r>
          </w:p>
        </w:tc>
        <w:tc>
          <w:tcPr>
            <w:tcW w:w="3213" w:type="dxa"/>
            <w:tcBorders>
              <w:top w:val="single" w:sz="2" w:space="0" w:color="auto"/>
              <w:left w:val="single" w:sz="2" w:space="0" w:color="auto"/>
              <w:bottom w:val="single" w:sz="2" w:space="0" w:color="auto"/>
              <w:right w:val="single" w:sz="2" w:space="0" w:color="auto"/>
            </w:tcBorders>
            <w:vAlign w:val="center"/>
          </w:tcPr>
          <w:p w14:paraId="0E73B88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2,098,287.11</w:t>
            </w:r>
          </w:p>
        </w:tc>
      </w:tr>
      <w:tr w:rsidR="006C011D" w:rsidRPr="005A284F" w14:paraId="2711254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F4EAE7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 xml:space="preserve">10-12 </w:t>
            </w:r>
            <w:r w:rsidRPr="005A284F">
              <w:rPr>
                <w:rFonts w:ascii="Times New Roman" w:eastAsia="宋体" w:hAnsi="Times New Roman" w:cs="Times New Roman"/>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0886F44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2,413,974.89</w:t>
            </w:r>
          </w:p>
        </w:tc>
        <w:tc>
          <w:tcPr>
            <w:tcW w:w="3213" w:type="dxa"/>
            <w:tcBorders>
              <w:top w:val="single" w:sz="2" w:space="0" w:color="auto"/>
              <w:left w:val="single" w:sz="2" w:space="0" w:color="auto"/>
              <w:bottom w:val="single" w:sz="2" w:space="0" w:color="auto"/>
              <w:right w:val="single" w:sz="2" w:space="0" w:color="auto"/>
            </w:tcBorders>
            <w:vAlign w:val="center"/>
          </w:tcPr>
          <w:p w14:paraId="3C5514F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5,549,939.51</w:t>
            </w:r>
          </w:p>
        </w:tc>
      </w:tr>
      <w:tr w:rsidR="006C011D" w:rsidRPr="005A284F" w14:paraId="4F72D98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D04326"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至</w:t>
            </w: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6BACFCA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10,451,298.48</w:t>
            </w:r>
          </w:p>
        </w:tc>
        <w:tc>
          <w:tcPr>
            <w:tcW w:w="3213" w:type="dxa"/>
            <w:tcBorders>
              <w:top w:val="single" w:sz="2" w:space="0" w:color="auto"/>
              <w:left w:val="single" w:sz="2" w:space="0" w:color="auto"/>
              <w:bottom w:val="single" w:sz="2" w:space="0" w:color="auto"/>
              <w:right w:val="single" w:sz="2" w:space="0" w:color="auto"/>
            </w:tcBorders>
            <w:vAlign w:val="center"/>
          </w:tcPr>
          <w:p w14:paraId="666518B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10,718,355.74</w:t>
            </w:r>
          </w:p>
        </w:tc>
      </w:tr>
      <w:tr w:rsidR="006C011D" w:rsidRPr="005A284F" w14:paraId="3F55875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11270F"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至</w:t>
            </w: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2114115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20,765,713.83</w:t>
            </w:r>
          </w:p>
        </w:tc>
        <w:tc>
          <w:tcPr>
            <w:tcW w:w="3213" w:type="dxa"/>
            <w:tcBorders>
              <w:top w:val="single" w:sz="2" w:space="0" w:color="auto"/>
              <w:left w:val="single" w:sz="2" w:space="0" w:color="auto"/>
              <w:bottom w:val="single" w:sz="2" w:space="0" w:color="auto"/>
              <w:right w:val="single" w:sz="2" w:space="0" w:color="auto"/>
            </w:tcBorders>
            <w:vAlign w:val="center"/>
          </w:tcPr>
          <w:p w14:paraId="19E9F48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26,702,009.60</w:t>
            </w:r>
          </w:p>
        </w:tc>
      </w:tr>
      <w:tr w:rsidR="006C011D" w:rsidRPr="005A284F" w14:paraId="619D6A7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35572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年以上</w:t>
            </w:r>
          </w:p>
        </w:tc>
        <w:tc>
          <w:tcPr>
            <w:tcW w:w="3213" w:type="dxa"/>
            <w:tcBorders>
              <w:top w:val="single" w:sz="2" w:space="0" w:color="auto"/>
              <w:left w:val="single" w:sz="2" w:space="0" w:color="auto"/>
              <w:bottom w:val="single" w:sz="2" w:space="0" w:color="auto"/>
              <w:right w:val="single" w:sz="2" w:space="0" w:color="auto"/>
            </w:tcBorders>
            <w:vAlign w:val="center"/>
          </w:tcPr>
          <w:p w14:paraId="4C5DC23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14,864,434.90</w:t>
            </w:r>
          </w:p>
        </w:tc>
        <w:tc>
          <w:tcPr>
            <w:tcW w:w="3213" w:type="dxa"/>
            <w:tcBorders>
              <w:top w:val="single" w:sz="2" w:space="0" w:color="auto"/>
              <w:left w:val="single" w:sz="2" w:space="0" w:color="auto"/>
              <w:bottom w:val="single" w:sz="2" w:space="0" w:color="auto"/>
              <w:right w:val="single" w:sz="2" w:space="0" w:color="auto"/>
            </w:tcBorders>
            <w:vAlign w:val="center"/>
          </w:tcPr>
          <w:p w14:paraId="43EFCD2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8,651,453.99</w:t>
            </w:r>
          </w:p>
        </w:tc>
      </w:tr>
      <w:tr w:rsidR="006C011D" w:rsidRPr="005A284F" w14:paraId="7C53FEE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0949C3"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至</w:t>
            </w: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525FC07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10,249,820.19</w:t>
            </w:r>
          </w:p>
        </w:tc>
        <w:tc>
          <w:tcPr>
            <w:tcW w:w="3213" w:type="dxa"/>
            <w:tcBorders>
              <w:top w:val="single" w:sz="2" w:space="0" w:color="auto"/>
              <w:left w:val="single" w:sz="2" w:space="0" w:color="auto"/>
              <w:bottom w:val="single" w:sz="2" w:space="0" w:color="auto"/>
              <w:right w:val="single" w:sz="2" w:space="0" w:color="auto"/>
            </w:tcBorders>
            <w:vAlign w:val="center"/>
          </w:tcPr>
          <w:p w14:paraId="3E66799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4,303,309.91</w:t>
            </w:r>
          </w:p>
        </w:tc>
      </w:tr>
      <w:tr w:rsidR="006C011D" w:rsidRPr="005A284F" w14:paraId="1A91391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65FA32"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至</w:t>
            </w:r>
            <w:r w:rsidRPr="005A284F">
              <w:rPr>
                <w:rFonts w:ascii="Times New Roman" w:eastAsia="宋体" w:hAnsi="Times New Roman" w:cs="Times New Roman"/>
                <w:sz w:val="18"/>
                <w:szCs w:val="18"/>
              </w:rPr>
              <w:t>5</w:t>
            </w:r>
            <w:r w:rsidRPr="005A284F">
              <w:rPr>
                <w:rFonts w:ascii="Times New Roman" w:eastAsia="宋体" w:hAnsi="Times New Roman" w:cs="Times New Roman"/>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0C3C1EC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520,916.19</w:t>
            </w:r>
          </w:p>
        </w:tc>
        <w:tc>
          <w:tcPr>
            <w:tcW w:w="3213" w:type="dxa"/>
            <w:tcBorders>
              <w:top w:val="single" w:sz="2" w:space="0" w:color="auto"/>
              <w:left w:val="single" w:sz="2" w:space="0" w:color="auto"/>
              <w:bottom w:val="single" w:sz="2" w:space="0" w:color="auto"/>
              <w:right w:val="single" w:sz="2" w:space="0" w:color="auto"/>
            </w:tcBorders>
            <w:vAlign w:val="center"/>
          </w:tcPr>
          <w:p w14:paraId="79750D6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3,878,605.56</w:t>
            </w:r>
          </w:p>
        </w:tc>
      </w:tr>
      <w:tr w:rsidR="006C011D" w:rsidRPr="005A284F" w14:paraId="437CAB6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46D747"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5</w:t>
            </w:r>
            <w:r w:rsidRPr="005A284F">
              <w:rPr>
                <w:rFonts w:ascii="Times New Roman" w:eastAsia="宋体" w:hAnsi="Times New Roman" w:cs="Times New Roman"/>
                <w:sz w:val="18"/>
                <w:szCs w:val="18"/>
              </w:rPr>
              <w:t>年以上</w:t>
            </w:r>
          </w:p>
        </w:tc>
        <w:tc>
          <w:tcPr>
            <w:tcW w:w="3213" w:type="dxa"/>
            <w:tcBorders>
              <w:top w:val="single" w:sz="2" w:space="0" w:color="auto"/>
              <w:left w:val="single" w:sz="2" w:space="0" w:color="auto"/>
              <w:bottom w:val="single" w:sz="2" w:space="0" w:color="auto"/>
              <w:right w:val="single" w:sz="2" w:space="0" w:color="auto"/>
            </w:tcBorders>
            <w:vAlign w:val="center"/>
          </w:tcPr>
          <w:p w14:paraId="48BDAF0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4,093,698.52</w:t>
            </w:r>
          </w:p>
        </w:tc>
        <w:tc>
          <w:tcPr>
            <w:tcW w:w="3213" w:type="dxa"/>
            <w:tcBorders>
              <w:top w:val="single" w:sz="2" w:space="0" w:color="auto"/>
              <w:left w:val="single" w:sz="2" w:space="0" w:color="auto"/>
              <w:bottom w:val="single" w:sz="2" w:space="0" w:color="auto"/>
              <w:right w:val="single" w:sz="2" w:space="0" w:color="auto"/>
            </w:tcBorders>
            <w:vAlign w:val="center"/>
          </w:tcPr>
          <w:p w14:paraId="2FF0C9D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469,538.52</w:t>
            </w:r>
          </w:p>
        </w:tc>
      </w:tr>
      <w:tr w:rsidR="006C011D" w:rsidRPr="005A284F" w14:paraId="77C0FE3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C77365"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1EA2A44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63,011,148.69</w:t>
            </w:r>
          </w:p>
        </w:tc>
        <w:tc>
          <w:tcPr>
            <w:tcW w:w="3213" w:type="dxa"/>
            <w:tcBorders>
              <w:top w:val="single" w:sz="2" w:space="0" w:color="auto"/>
              <w:left w:val="single" w:sz="2" w:space="0" w:color="auto"/>
              <w:bottom w:val="single" w:sz="2" w:space="0" w:color="auto"/>
              <w:right w:val="single" w:sz="2" w:space="0" w:color="auto"/>
            </w:tcBorders>
            <w:vAlign w:val="center"/>
          </w:tcPr>
          <w:p w14:paraId="6085600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127,427,411.56</w:t>
            </w:r>
          </w:p>
        </w:tc>
      </w:tr>
    </w:tbl>
    <w:p w14:paraId="41E6A8B4" w14:textId="6EE26179" w:rsidR="006C011D" w:rsidRPr="005A284F" w:rsidRDefault="00000000">
      <w:pPr>
        <w:keepNext/>
        <w:keepLines/>
        <w:spacing w:before="300" w:after="300" w:line="280" w:lineRule="exact"/>
        <w:outlineLvl w:val="4"/>
        <w:rPr>
          <w:rFonts w:ascii="Times New Roman" w:eastAsia="宋体" w:hAnsi="Times New Roman" w:cs="Times New Roman"/>
          <w:b/>
          <w:bCs/>
          <w:sz w:val="18"/>
          <w:szCs w:val="18"/>
        </w:rPr>
      </w:pPr>
      <w:bookmarkStart w:id="201" w:name="_Toc989113"/>
      <w:r w:rsidRPr="005A284F">
        <w:rPr>
          <w:rFonts w:ascii="Times New Roman" w:eastAsia="宋体" w:hAnsi="Times New Roman" w:cs="Times New Roman"/>
          <w:b/>
          <w:bCs/>
          <w:sz w:val="18"/>
          <w:szCs w:val="18"/>
        </w:rPr>
        <w:lastRenderedPageBreak/>
        <w:t>3</w:t>
      </w:r>
      <w:r w:rsidRPr="005A284F">
        <w:rPr>
          <w:rFonts w:ascii="Times New Roman" w:eastAsia="宋体" w:hAnsi="Times New Roman" w:cs="Times New Roman"/>
          <w:b/>
          <w:bCs/>
          <w:sz w:val="18"/>
          <w:szCs w:val="18"/>
        </w:rPr>
        <w:t>）按坏账计提方法分类披露</w:t>
      </w:r>
      <w:bookmarkEnd w:id="201"/>
    </w:p>
    <w:p w14:paraId="48E2D7EF" w14:textId="77777777" w:rsidR="006C011D" w:rsidRPr="00D31566" w:rsidRDefault="00000000">
      <w:pPr>
        <w:spacing w:before="40" w:after="40" w:line="240" w:lineRule="exact"/>
        <w:rPr>
          <w:rFonts w:ascii="宋体" w:eastAsia="宋体" w:hAnsi="宋体" w:cs="Times New Roman" w:hint="eastAsia"/>
          <w:sz w:val="18"/>
          <w:szCs w:val="18"/>
        </w:rPr>
      </w:pPr>
      <w:r w:rsidRPr="00D31566">
        <w:rPr>
          <w:rFonts w:ascii="宋体" w:eastAsia="宋体" w:hAnsi="宋体" w:cs="Times New Roman"/>
          <w:sz w:val="18"/>
          <w:szCs w:val="18"/>
        </w:rPr>
        <w:sym w:font="Wingdings 2" w:char="F052"/>
      </w:r>
      <w:r w:rsidRPr="00D31566">
        <w:rPr>
          <w:rFonts w:ascii="宋体" w:eastAsia="宋体" w:hAnsi="宋体" w:cs="Times New Roman"/>
          <w:sz w:val="18"/>
          <w:szCs w:val="18"/>
        </w:rPr>
        <w:t>适用 □不适用</w:t>
      </w:r>
    </w:p>
    <w:p w14:paraId="4182BDCC"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10915"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0" w:type="dxa"/>
          <w:right w:w="0" w:type="dxa"/>
        </w:tblCellMar>
        <w:tblLook w:val="04A0" w:firstRow="1" w:lastRow="0" w:firstColumn="1" w:lastColumn="0" w:noHBand="0" w:noVBand="1"/>
      </w:tblPr>
      <w:tblGrid>
        <w:gridCol w:w="1276"/>
        <w:gridCol w:w="1147"/>
        <w:gridCol w:w="696"/>
        <w:gridCol w:w="1057"/>
        <w:gridCol w:w="786"/>
        <w:gridCol w:w="1134"/>
        <w:gridCol w:w="1134"/>
        <w:gridCol w:w="708"/>
        <w:gridCol w:w="1134"/>
        <w:gridCol w:w="709"/>
        <w:gridCol w:w="1134"/>
      </w:tblGrid>
      <w:tr w:rsidR="006C011D" w:rsidRPr="005A284F" w14:paraId="7BE6BEBD" w14:textId="77777777" w:rsidTr="00D31566">
        <w:trPr>
          <w:trHeight w:val="240"/>
          <w:jc w:val="center"/>
        </w:trPr>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FB80A0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类别</w:t>
            </w:r>
          </w:p>
        </w:tc>
        <w:tc>
          <w:tcPr>
            <w:tcW w:w="4820"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6264D2D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4819"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50F902A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r>
      <w:tr w:rsidR="006C011D" w:rsidRPr="005A284F" w14:paraId="772888D0" w14:textId="77777777" w:rsidTr="00D31566">
        <w:trPr>
          <w:trHeight w:val="240"/>
          <w:jc w:val="center"/>
        </w:trPr>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E305A36" w14:textId="77777777" w:rsidR="006C011D" w:rsidRPr="005A284F" w:rsidRDefault="006C011D">
            <w:pPr>
              <w:rPr>
                <w:rFonts w:ascii="Times New Roman" w:eastAsia="宋体" w:hAnsi="Times New Roman" w:cs="Times New Roman"/>
              </w:rPr>
            </w:pPr>
          </w:p>
        </w:tc>
        <w:tc>
          <w:tcPr>
            <w:tcW w:w="184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001A5B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账面余额</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A3ECD4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坏账准备</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656AD7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账面价值</w:t>
            </w:r>
          </w:p>
        </w:tc>
        <w:tc>
          <w:tcPr>
            <w:tcW w:w="18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64948D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账面余额</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47BD95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坏账准备</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E4E914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账面价值</w:t>
            </w:r>
          </w:p>
        </w:tc>
      </w:tr>
      <w:tr w:rsidR="006C011D" w:rsidRPr="005A284F" w14:paraId="40B1ED57" w14:textId="77777777" w:rsidTr="00D31566">
        <w:trPr>
          <w:trHeight w:val="240"/>
          <w:jc w:val="center"/>
        </w:trPr>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91597F5" w14:textId="77777777" w:rsidR="006C011D" w:rsidRPr="005A284F" w:rsidRDefault="006C011D">
            <w:pPr>
              <w:rPr>
                <w:rFonts w:ascii="Times New Roman" w:eastAsia="宋体" w:hAnsi="Times New Roman" w:cs="Times New Roman"/>
              </w:rPr>
            </w:pPr>
          </w:p>
        </w:tc>
        <w:tc>
          <w:tcPr>
            <w:tcW w:w="1147" w:type="dxa"/>
            <w:tcBorders>
              <w:top w:val="single" w:sz="2" w:space="0" w:color="auto"/>
              <w:left w:val="single" w:sz="2" w:space="0" w:color="auto"/>
              <w:bottom w:val="single" w:sz="2" w:space="0" w:color="auto"/>
              <w:right w:val="single" w:sz="2" w:space="0" w:color="auto"/>
            </w:tcBorders>
            <w:shd w:val="clear" w:color="auto" w:fill="D3D3D3"/>
            <w:vAlign w:val="center"/>
          </w:tcPr>
          <w:p w14:paraId="7C7390B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金额</w:t>
            </w:r>
          </w:p>
        </w:tc>
        <w:tc>
          <w:tcPr>
            <w:tcW w:w="696" w:type="dxa"/>
            <w:tcBorders>
              <w:top w:val="single" w:sz="2" w:space="0" w:color="auto"/>
              <w:left w:val="single" w:sz="2" w:space="0" w:color="auto"/>
              <w:bottom w:val="single" w:sz="2" w:space="0" w:color="auto"/>
              <w:right w:val="single" w:sz="2" w:space="0" w:color="auto"/>
            </w:tcBorders>
            <w:shd w:val="clear" w:color="auto" w:fill="D3D3D3"/>
            <w:vAlign w:val="center"/>
          </w:tcPr>
          <w:p w14:paraId="78834F8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比例</w:t>
            </w:r>
          </w:p>
        </w:tc>
        <w:tc>
          <w:tcPr>
            <w:tcW w:w="1057" w:type="dxa"/>
            <w:tcBorders>
              <w:top w:val="single" w:sz="2" w:space="0" w:color="auto"/>
              <w:left w:val="single" w:sz="2" w:space="0" w:color="auto"/>
              <w:bottom w:val="single" w:sz="2" w:space="0" w:color="auto"/>
              <w:right w:val="single" w:sz="2" w:space="0" w:color="auto"/>
            </w:tcBorders>
            <w:shd w:val="clear" w:color="auto" w:fill="D3D3D3"/>
            <w:vAlign w:val="center"/>
          </w:tcPr>
          <w:p w14:paraId="608E33D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金额</w:t>
            </w:r>
          </w:p>
        </w:tc>
        <w:tc>
          <w:tcPr>
            <w:tcW w:w="786" w:type="dxa"/>
            <w:tcBorders>
              <w:top w:val="single" w:sz="2" w:space="0" w:color="auto"/>
              <w:left w:val="single" w:sz="2" w:space="0" w:color="auto"/>
              <w:bottom w:val="single" w:sz="2" w:space="0" w:color="auto"/>
              <w:right w:val="single" w:sz="2" w:space="0" w:color="auto"/>
            </w:tcBorders>
            <w:shd w:val="clear" w:color="auto" w:fill="D3D3D3"/>
            <w:vAlign w:val="center"/>
          </w:tcPr>
          <w:p w14:paraId="4A66FA6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计提比例</w:t>
            </w: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BA0DF3D" w14:textId="77777777" w:rsidR="006C011D" w:rsidRPr="005A284F" w:rsidRDefault="006C011D">
            <w:pPr>
              <w:rPr>
                <w:rFonts w:ascii="Times New Roman" w:eastAsia="宋体" w:hAnsi="Times New Roman" w:cs="Times New Roman"/>
              </w:rPr>
            </w:pP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15A10C3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金额</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14:paraId="5E5F5B5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比例</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0B40415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金额</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3B17A8E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计提比例</w:t>
            </w: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5B7A141" w14:textId="77777777" w:rsidR="006C011D" w:rsidRPr="005A284F" w:rsidRDefault="006C011D">
            <w:pPr>
              <w:rPr>
                <w:rFonts w:ascii="Times New Roman" w:eastAsia="宋体" w:hAnsi="Times New Roman" w:cs="Times New Roman"/>
              </w:rPr>
            </w:pPr>
          </w:p>
        </w:tc>
      </w:tr>
      <w:tr w:rsidR="006C011D" w:rsidRPr="005A284F" w14:paraId="78B201F0" w14:textId="77777777" w:rsidTr="00D31566">
        <w:trPr>
          <w:trHeight w:val="240"/>
          <w:jc w:val="center"/>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04EAFB53"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按单项计提坏账准备</w:t>
            </w:r>
          </w:p>
        </w:tc>
        <w:tc>
          <w:tcPr>
            <w:tcW w:w="1147" w:type="dxa"/>
            <w:tcBorders>
              <w:top w:val="single" w:sz="2" w:space="0" w:color="auto"/>
              <w:left w:val="single" w:sz="2" w:space="0" w:color="auto"/>
              <w:bottom w:val="single" w:sz="2" w:space="0" w:color="auto"/>
              <w:right w:val="single" w:sz="2" w:space="0" w:color="auto"/>
            </w:tcBorders>
            <w:vAlign w:val="center"/>
          </w:tcPr>
          <w:p w14:paraId="45B8550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4,630,132.39</w:t>
            </w:r>
          </w:p>
        </w:tc>
        <w:tc>
          <w:tcPr>
            <w:tcW w:w="696" w:type="dxa"/>
            <w:tcBorders>
              <w:top w:val="single" w:sz="2" w:space="0" w:color="auto"/>
              <w:left w:val="single" w:sz="2" w:space="0" w:color="auto"/>
              <w:bottom w:val="single" w:sz="2" w:space="0" w:color="auto"/>
              <w:right w:val="single" w:sz="2" w:space="0" w:color="auto"/>
            </w:tcBorders>
            <w:vAlign w:val="center"/>
          </w:tcPr>
          <w:p w14:paraId="4BA2B80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7.35%</w:t>
            </w:r>
          </w:p>
        </w:tc>
        <w:tc>
          <w:tcPr>
            <w:tcW w:w="1057" w:type="dxa"/>
            <w:tcBorders>
              <w:top w:val="single" w:sz="2" w:space="0" w:color="auto"/>
              <w:left w:val="single" w:sz="2" w:space="0" w:color="auto"/>
              <w:bottom w:val="single" w:sz="2" w:space="0" w:color="auto"/>
              <w:right w:val="single" w:sz="2" w:space="0" w:color="auto"/>
            </w:tcBorders>
            <w:vAlign w:val="center"/>
          </w:tcPr>
          <w:p w14:paraId="3C7A86C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3,950,887.80</w:t>
            </w:r>
          </w:p>
        </w:tc>
        <w:tc>
          <w:tcPr>
            <w:tcW w:w="786" w:type="dxa"/>
            <w:tcBorders>
              <w:top w:val="single" w:sz="2" w:space="0" w:color="auto"/>
              <w:left w:val="single" w:sz="2" w:space="0" w:color="auto"/>
              <w:bottom w:val="single" w:sz="2" w:space="0" w:color="auto"/>
              <w:right w:val="single" w:sz="2" w:space="0" w:color="auto"/>
            </w:tcBorders>
            <w:vAlign w:val="center"/>
          </w:tcPr>
          <w:p w14:paraId="4391A73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85.33%</w:t>
            </w:r>
          </w:p>
        </w:tc>
        <w:tc>
          <w:tcPr>
            <w:tcW w:w="1134" w:type="dxa"/>
            <w:tcBorders>
              <w:top w:val="single" w:sz="2" w:space="0" w:color="auto"/>
              <w:left w:val="single" w:sz="2" w:space="0" w:color="auto"/>
              <w:bottom w:val="single" w:sz="2" w:space="0" w:color="auto"/>
              <w:right w:val="single" w:sz="2" w:space="0" w:color="auto"/>
            </w:tcBorders>
            <w:vAlign w:val="center"/>
          </w:tcPr>
          <w:p w14:paraId="45C976F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679,244.59</w:t>
            </w:r>
          </w:p>
        </w:tc>
        <w:tc>
          <w:tcPr>
            <w:tcW w:w="1134" w:type="dxa"/>
            <w:tcBorders>
              <w:top w:val="single" w:sz="2" w:space="0" w:color="auto"/>
              <w:left w:val="single" w:sz="2" w:space="0" w:color="auto"/>
              <w:bottom w:val="single" w:sz="2" w:space="0" w:color="auto"/>
              <w:right w:val="single" w:sz="2" w:space="0" w:color="auto"/>
            </w:tcBorders>
            <w:vAlign w:val="center"/>
          </w:tcPr>
          <w:p w14:paraId="5CE50D0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4,966,326.39</w:t>
            </w:r>
          </w:p>
        </w:tc>
        <w:tc>
          <w:tcPr>
            <w:tcW w:w="708" w:type="dxa"/>
            <w:tcBorders>
              <w:top w:val="single" w:sz="2" w:space="0" w:color="auto"/>
              <w:left w:val="single" w:sz="2" w:space="0" w:color="auto"/>
              <w:bottom w:val="single" w:sz="2" w:space="0" w:color="auto"/>
              <w:right w:val="single" w:sz="2" w:space="0" w:color="auto"/>
            </w:tcBorders>
            <w:vAlign w:val="center"/>
          </w:tcPr>
          <w:p w14:paraId="5A32EEE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3.90%</w:t>
            </w:r>
          </w:p>
        </w:tc>
        <w:tc>
          <w:tcPr>
            <w:tcW w:w="1134" w:type="dxa"/>
            <w:tcBorders>
              <w:top w:val="single" w:sz="2" w:space="0" w:color="auto"/>
              <w:left w:val="single" w:sz="2" w:space="0" w:color="auto"/>
              <w:bottom w:val="single" w:sz="2" w:space="0" w:color="auto"/>
              <w:right w:val="single" w:sz="2" w:space="0" w:color="auto"/>
            </w:tcBorders>
            <w:vAlign w:val="center"/>
          </w:tcPr>
          <w:p w14:paraId="6F04412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4,287,081.80</w:t>
            </w:r>
          </w:p>
        </w:tc>
        <w:tc>
          <w:tcPr>
            <w:tcW w:w="709" w:type="dxa"/>
            <w:tcBorders>
              <w:top w:val="single" w:sz="2" w:space="0" w:color="auto"/>
              <w:left w:val="single" w:sz="2" w:space="0" w:color="auto"/>
              <w:bottom w:val="single" w:sz="2" w:space="0" w:color="auto"/>
              <w:right w:val="single" w:sz="2" w:space="0" w:color="auto"/>
            </w:tcBorders>
            <w:vAlign w:val="center"/>
          </w:tcPr>
          <w:p w14:paraId="11444D3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86.32%</w:t>
            </w:r>
          </w:p>
        </w:tc>
        <w:tc>
          <w:tcPr>
            <w:tcW w:w="1134" w:type="dxa"/>
            <w:tcBorders>
              <w:top w:val="single" w:sz="2" w:space="0" w:color="auto"/>
              <w:left w:val="single" w:sz="2" w:space="0" w:color="auto"/>
              <w:bottom w:val="single" w:sz="2" w:space="0" w:color="auto"/>
              <w:right w:val="single" w:sz="2" w:space="0" w:color="auto"/>
            </w:tcBorders>
            <w:vAlign w:val="center"/>
          </w:tcPr>
          <w:p w14:paraId="0452D49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679,244.59</w:t>
            </w:r>
          </w:p>
        </w:tc>
      </w:tr>
      <w:tr w:rsidR="006C011D" w:rsidRPr="005A284F" w14:paraId="2A5ABCC1" w14:textId="77777777" w:rsidTr="00D31566">
        <w:trPr>
          <w:trHeight w:val="240"/>
          <w:jc w:val="center"/>
        </w:trPr>
        <w:tc>
          <w:tcPr>
            <w:tcW w:w="10915"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14:paraId="60013BA9" w14:textId="77777777" w:rsidR="006C011D" w:rsidRPr="005A284F" w:rsidRDefault="00000000">
            <w:pPr>
              <w:spacing w:before="40" w:after="4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其中：</w:t>
            </w:r>
          </w:p>
        </w:tc>
      </w:tr>
      <w:tr w:rsidR="006C011D" w:rsidRPr="005A284F" w14:paraId="4199633A" w14:textId="77777777" w:rsidTr="00D31566">
        <w:trPr>
          <w:trHeight w:val="240"/>
          <w:jc w:val="center"/>
        </w:trPr>
        <w:tc>
          <w:tcPr>
            <w:tcW w:w="1276" w:type="dxa"/>
            <w:tcBorders>
              <w:top w:val="single" w:sz="2" w:space="0" w:color="auto"/>
              <w:left w:val="single" w:sz="2" w:space="0" w:color="auto"/>
              <w:bottom w:val="single" w:sz="2" w:space="0" w:color="auto"/>
              <w:right w:val="single" w:sz="2" w:space="0" w:color="auto"/>
            </w:tcBorders>
            <w:vAlign w:val="center"/>
          </w:tcPr>
          <w:p w14:paraId="7608035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单项金额虽不重大但单项计提坏账准备的其它应收账款</w:t>
            </w:r>
          </w:p>
        </w:tc>
        <w:tc>
          <w:tcPr>
            <w:tcW w:w="1147" w:type="dxa"/>
            <w:tcBorders>
              <w:top w:val="single" w:sz="2" w:space="0" w:color="auto"/>
              <w:left w:val="single" w:sz="2" w:space="0" w:color="auto"/>
              <w:bottom w:val="single" w:sz="2" w:space="0" w:color="auto"/>
              <w:right w:val="single" w:sz="2" w:space="0" w:color="auto"/>
            </w:tcBorders>
            <w:vAlign w:val="center"/>
          </w:tcPr>
          <w:p w14:paraId="2C75088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4,630,132.39</w:t>
            </w:r>
          </w:p>
        </w:tc>
        <w:tc>
          <w:tcPr>
            <w:tcW w:w="696" w:type="dxa"/>
            <w:tcBorders>
              <w:top w:val="single" w:sz="2" w:space="0" w:color="auto"/>
              <w:left w:val="single" w:sz="2" w:space="0" w:color="auto"/>
              <w:bottom w:val="single" w:sz="2" w:space="0" w:color="auto"/>
              <w:right w:val="single" w:sz="2" w:space="0" w:color="auto"/>
            </w:tcBorders>
            <w:vAlign w:val="center"/>
          </w:tcPr>
          <w:p w14:paraId="20D520D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7.35%</w:t>
            </w:r>
          </w:p>
        </w:tc>
        <w:tc>
          <w:tcPr>
            <w:tcW w:w="1057" w:type="dxa"/>
            <w:tcBorders>
              <w:top w:val="single" w:sz="2" w:space="0" w:color="auto"/>
              <w:left w:val="single" w:sz="2" w:space="0" w:color="auto"/>
              <w:bottom w:val="single" w:sz="2" w:space="0" w:color="auto"/>
              <w:right w:val="single" w:sz="2" w:space="0" w:color="auto"/>
            </w:tcBorders>
            <w:vAlign w:val="center"/>
          </w:tcPr>
          <w:p w14:paraId="2B59FDB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3,950,887.80</w:t>
            </w:r>
          </w:p>
        </w:tc>
        <w:tc>
          <w:tcPr>
            <w:tcW w:w="786" w:type="dxa"/>
            <w:tcBorders>
              <w:top w:val="single" w:sz="2" w:space="0" w:color="auto"/>
              <w:left w:val="single" w:sz="2" w:space="0" w:color="auto"/>
              <w:bottom w:val="single" w:sz="2" w:space="0" w:color="auto"/>
              <w:right w:val="single" w:sz="2" w:space="0" w:color="auto"/>
            </w:tcBorders>
            <w:vAlign w:val="center"/>
          </w:tcPr>
          <w:p w14:paraId="36667FD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85.33%</w:t>
            </w:r>
          </w:p>
        </w:tc>
        <w:tc>
          <w:tcPr>
            <w:tcW w:w="1134" w:type="dxa"/>
            <w:tcBorders>
              <w:top w:val="single" w:sz="2" w:space="0" w:color="auto"/>
              <w:left w:val="single" w:sz="2" w:space="0" w:color="auto"/>
              <w:bottom w:val="single" w:sz="2" w:space="0" w:color="auto"/>
              <w:right w:val="single" w:sz="2" w:space="0" w:color="auto"/>
            </w:tcBorders>
            <w:vAlign w:val="center"/>
          </w:tcPr>
          <w:p w14:paraId="15431D5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679,244.59</w:t>
            </w:r>
          </w:p>
        </w:tc>
        <w:tc>
          <w:tcPr>
            <w:tcW w:w="1134" w:type="dxa"/>
            <w:tcBorders>
              <w:top w:val="single" w:sz="2" w:space="0" w:color="auto"/>
              <w:left w:val="single" w:sz="2" w:space="0" w:color="auto"/>
              <w:bottom w:val="single" w:sz="2" w:space="0" w:color="auto"/>
              <w:right w:val="single" w:sz="2" w:space="0" w:color="auto"/>
            </w:tcBorders>
            <w:vAlign w:val="center"/>
          </w:tcPr>
          <w:p w14:paraId="4AC9825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4,966,326.39</w:t>
            </w:r>
          </w:p>
        </w:tc>
        <w:tc>
          <w:tcPr>
            <w:tcW w:w="708" w:type="dxa"/>
            <w:tcBorders>
              <w:top w:val="single" w:sz="2" w:space="0" w:color="auto"/>
              <w:left w:val="single" w:sz="2" w:space="0" w:color="auto"/>
              <w:bottom w:val="single" w:sz="2" w:space="0" w:color="auto"/>
              <w:right w:val="single" w:sz="2" w:space="0" w:color="auto"/>
            </w:tcBorders>
            <w:vAlign w:val="center"/>
          </w:tcPr>
          <w:p w14:paraId="2F997D5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3.90%</w:t>
            </w:r>
          </w:p>
        </w:tc>
        <w:tc>
          <w:tcPr>
            <w:tcW w:w="1134" w:type="dxa"/>
            <w:tcBorders>
              <w:top w:val="single" w:sz="2" w:space="0" w:color="auto"/>
              <w:left w:val="single" w:sz="2" w:space="0" w:color="auto"/>
              <w:bottom w:val="single" w:sz="2" w:space="0" w:color="auto"/>
              <w:right w:val="single" w:sz="2" w:space="0" w:color="auto"/>
            </w:tcBorders>
            <w:vAlign w:val="center"/>
          </w:tcPr>
          <w:p w14:paraId="2E69A47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4,287,081.80</w:t>
            </w:r>
          </w:p>
        </w:tc>
        <w:tc>
          <w:tcPr>
            <w:tcW w:w="709" w:type="dxa"/>
            <w:tcBorders>
              <w:top w:val="single" w:sz="2" w:space="0" w:color="auto"/>
              <w:left w:val="single" w:sz="2" w:space="0" w:color="auto"/>
              <w:bottom w:val="single" w:sz="2" w:space="0" w:color="auto"/>
              <w:right w:val="single" w:sz="2" w:space="0" w:color="auto"/>
            </w:tcBorders>
            <w:vAlign w:val="center"/>
          </w:tcPr>
          <w:p w14:paraId="25D6E50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86.32%</w:t>
            </w:r>
          </w:p>
        </w:tc>
        <w:tc>
          <w:tcPr>
            <w:tcW w:w="1134" w:type="dxa"/>
            <w:tcBorders>
              <w:top w:val="single" w:sz="2" w:space="0" w:color="auto"/>
              <w:left w:val="single" w:sz="2" w:space="0" w:color="auto"/>
              <w:bottom w:val="single" w:sz="2" w:space="0" w:color="auto"/>
              <w:right w:val="single" w:sz="2" w:space="0" w:color="auto"/>
            </w:tcBorders>
            <w:vAlign w:val="center"/>
          </w:tcPr>
          <w:p w14:paraId="401D5D8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679,244.59</w:t>
            </w:r>
          </w:p>
        </w:tc>
      </w:tr>
      <w:tr w:rsidR="006C011D" w:rsidRPr="005A284F" w14:paraId="08ADD3A9" w14:textId="77777777" w:rsidTr="00D31566">
        <w:trPr>
          <w:trHeight w:val="240"/>
          <w:jc w:val="center"/>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34806C7B"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按组合计提坏账准备</w:t>
            </w:r>
          </w:p>
        </w:tc>
        <w:tc>
          <w:tcPr>
            <w:tcW w:w="1147" w:type="dxa"/>
            <w:tcBorders>
              <w:top w:val="single" w:sz="2" w:space="0" w:color="auto"/>
              <w:left w:val="single" w:sz="2" w:space="0" w:color="auto"/>
              <w:bottom w:val="single" w:sz="2" w:space="0" w:color="auto"/>
              <w:right w:val="single" w:sz="2" w:space="0" w:color="auto"/>
            </w:tcBorders>
            <w:vAlign w:val="center"/>
          </w:tcPr>
          <w:p w14:paraId="3DCE7E4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58,381,016.30</w:t>
            </w:r>
          </w:p>
        </w:tc>
        <w:tc>
          <w:tcPr>
            <w:tcW w:w="696" w:type="dxa"/>
            <w:tcBorders>
              <w:top w:val="single" w:sz="2" w:space="0" w:color="auto"/>
              <w:left w:val="single" w:sz="2" w:space="0" w:color="auto"/>
              <w:bottom w:val="single" w:sz="2" w:space="0" w:color="auto"/>
              <w:right w:val="single" w:sz="2" w:space="0" w:color="auto"/>
            </w:tcBorders>
            <w:vAlign w:val="center"/>
          </w:tcPr>
          <w:p w14:paraId="35D0451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92.65%</w:t>
            </w:r>
          </w:p>
        </w:tc>
        <w:tc>
          <w:tcPr>
            <w:tcW w:w="1057" w:type="dxa"/>
            <w:tcBorders>
              <w:top w:val="single" w:sz="2" w:space="0" w:color="auto"/>
              <w:left w:val="single" w:sz="2" w:space="0" w:color="auto"/>
              <w:bottom w:val="single" w:sz="2" w:space="0" w:color="auto"/>
              <w:right w:val="single" w:sz="2" w:space="0" w:color="auto"/>
            </w:tcBorders>
            <w:vAlign w:val="center"/>
          </w:tcPr>
          <w:p w14:paraId="11F7332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27,489,319.78</w:t>
            </w:r>
          </w:p>
        </w:tc>
        <w:tc>
          <w:tcPr>
            <w:tcW w:w="786" w:type="dxa"/>
            <w:tcBorders>
              <w:top w:val="single" w:sz="2" w:space="0" w:color="auto"/>
              <w:left w:val="single" w:sz="2" w:space="0" w:color="auto"/>
              <w:bottom w:val="single" w:sz="2" w:space="0" w:color="auto"/>
              <w:right w:val="single" w:sz="2" w:space="0" w:color="auto"/>
            </w:tcBorders>
            <w:vAlign w:val="center"/>
          </w:tcPr>
          <w:p w14:paraId="5372816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47.09%</w:t>
            </w:r>
          </w:p>
        </w:tc>
        <w:tc>
          <w:tcPr>
            <w:tcW w:w="1134" w:type="dxa"/>
            <w:tcBorders>
              <w:top w:val="single" w:sz="2" w:space="0" w:color="auto"/>
              <w:left w:val="single" w:sz="2" w:space="0" w:color="auto"/>
              <w:bottom w:val="single" w:sz="2" w:space="0" w:color="auto"/>
              <w:right w:val="single" w:sz="2" w:space="0" w:color="auto"/>
            </w:tcBorders>
            <w:vAlign w:val="center"/>
          </w:tcPr>
          <w:p w14:paraId="6ADA967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30,891,696.52</w:t>
            </w:r>
          </w:p>
        </w:tc>
        <w:tc>
          <w:tcPr>
            <w:tcW w:w="1134" w:type="dxa"/>
            <w:tcBorders>
              <w:top w:val="single" w:sz="2" w:space="0" w:color="auto"/>
              <w:left w:val="single" w:sz="2" w:space="0" w:color="auto"/>
              <w:bottom w:val="single" w:sz="2" w:space="0" w:color="auto"/>
              <w:right w:val="single" w:sz="2" w:space="0" w:color="auto"/>
            </w:tcBorders>
            <w:vAlign w:val="center"/>
          </w:tcPr>
          <w:p w14:paraId="5ECB5BD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122,461,085.17</w:t>
            </w:r>
          </w:p>
        </w:tc>
        <w:tc>
          <w:tcPr>
            <w:tcW w:w="708" w:type="dxa"/>
            <w:tcBorders>
              <w:top w:val="single" w:sz="2" w:space="0" w:color="auto"/>
              <w:left w:val="single" w:sz="2" w:space="0" w:color="auto"/>
              <w:bottom w:val="single" w:sz="2" w:space="0" w:color="auto"/>
              <w:right w:val="single" w:sz="2" w:space="0" w:color="auto"/>
            </w:tcBorders>
            <w:vAlign w:val="center"/>
          </w:tcPr>
          <w:p w14:paraId="3A8E8C9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96.10%</w:t>
            </w:r>
          </w:p>
        </w:tc>
        <w:tc>
          <w:tcPr>
            <w:tcW w:w="1134" w:type="dxa"/>
            <w:tcBorders>
              <w:top w:val="single" w:sz="2" w:space="0" w:color="auto"/>
              <w:left w:val="single" w:sz="2" w:space="0" w:color="auto"/>
              <w:bottom w:val="single" w:sz="2" w:space="0" w:color="auto"/>
              <w:right w:val="single" w:sz="2" w:space="0" w:color="auto"/>
            </w:tcBorders>
            <w:vAlign w:val="center"/>
          </w:tcPr>
          <w:p w14:paraId="09B435A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26,602,239.54</w:t>
            </w:r>
          </w:p>
        </w:tc>
        <w:tc>
          <w:tcPr>
            <w:tcW w:w="709" w:type="dxa"/>
            <w:tcBorders>
              <w:top w:val="single" w:sz="2" w:space="0" w:color="auto"/>
              <w:left w:val="single" w:sz="2" w:space="0" w:color="auto"/>
              <w:bottom w:val="single" w:sz="2" w:space="0" w:color="auto"/>
              <w:right w:val="single" w:sz="2" w:space="0" w:color="auto"/>
            </w:tcBorders>
            <w:vAlign w:val="center"/>
          </w:tcPr>
          <w:p w14:paraId="617B155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21.72%</w:t>
            </w:r>
          </w:p>
        </w:tc>
        <w:tc>
          <w:tcPr>
            <w:tcW w:w="1134" w:type="dxa"/>
            <w:tcBorders>
              <w:top w:val="single" w:sz="2" w:space="0" w:color="auto"/>
              <w:left w:val="single" w:sz="2" w:space="0" w:color="auto"/>
              <w:bottom w:val="single" w:sz="2" w:space="0" w:color="auto"/>
              <w:right w:val="single" w:sz="2" w:space="0" w:color="auto"/>
            </w:tcBorders>
            <w:vAlign w:val="center"/>
          </w:tcPr>
          <w:p w14:paraId="49EF9ED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95,858,845.63</w:t>
            </w:r>
          </w:p>
        </w:tc>
      </w:tr>
      <w:tr w:rsidR="006C011D" w:rsidRPr="005A284F" w14:paraId="2FCDAE0E" w14:textId="77777777" w:rsidTr="00D31566">
        <w:trPr>
          <w:trHeight w:val="240"/>
          <w:jc w:val="center"/>
        </w:trPr>
        <w:tc>
          <w:tcPr>
            <w:tcW w:w="10915"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14:paraId="0F9DB24B" w14:textId="77777777" w:rsidR="006C011D" w:rsidRPr="005A284F" w:rsidRDefault="00000000">
            <w:pPr>
              <w:spacing w:before="40" w:after="4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其中：</w:t>
            </w:r>
          </w:p>
        </w:tc>
      </w:tr>
      <w:tr w:rsidR="006C011D" w:rsidRPr="005A284F" w14:paraId="00EA5979" w14:textId="77777777" w:rsidTr="00D31566">
        <w:trPr>
          <w:trHeight w:val="240"/>
          <w:jc w:val="center"/>
        </w:trPr>
        <w:tc>
          <w:tcPr>
            <w:tcW w:w="1276" w:type="dxa"/>
            <w:tcBorders>
              <w:top w:val="single" w:sz="2" w:space="0" w:color="auto"/>
              <w:left w:val="single" w:sz="2" w:space="0" w:color="auto"/>
              <w:bottom w:val="single" w:sz="2" w:space="0" w:color="auto"/>
              <w:right w:val="single" w:sz="2" w:space="0" w:color="auto"/>
            </w:tcBorders>
            <w:vAlign w:val="center"/>
          </w:tcPr>
          <w:p w14:paraId="009B1B8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按账龄组合</w:t>
            </w:r>
          </w:p>
        </w:tc>
        <w:tc>
          <w:tcPr>
            <w:tcW w:w="1147" w:type="dxa"/>
            <w:tcBorders>
              <w:top w:val="single" w:sz="2" w:space="0" w:color="auto"/>
              <w:left w:val="single" w:sz="2" w:space="0" w:color="auto"/>
              <w:bottom w:val="single" w:sz="2" w:space="0" w:color="auto"/>
              <w:right w:val="single" w:sz="2" w:space="0" w:color="auto"/>
            </w:tcBorders>
            <w:vAlign w:val="center"/>
          </w:tcPr>
          <w:p w14:paraId="597B54E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58,381,016.30</w:t>
            </w:r>
          </w:p>
        </w:tc>
        <w:tc>
          <w:tcPr>
            <w:tcW w:w="696" w:type="dxa"/>
            <w:tcBorders>
              <w:top w:val="single" w:sz="2" w:space="0" w:color="auto"/>
              <w:left w:val="single" w:sz="2" w:space="0" w:color="auto"/>
              <w:bottom w:val="single" w:sz="2" w:space="0" w:color="auto"/>
              <w:right w:val="single" w:sz="2" w:space="0" w:color="auto"/>
            </w:tcBorders>
            <w:vAlign w:val="center"/>
          </w:tcPr>
          <w:p w14:paraId="6B759D8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92.65%</w:t>
            </w:r>
          </w:p>
        </w:tc>
        <w:tc>
          <w:tcPr>
            <w:tcW w:w="1057" w:type="dxa"/>
            <w:tcBorders>
              <w:top w:val="single" w:sz="2" w:space="0" w:color="auto"/>
              <w:left w:val="single" w:sz="2" w:space="0" w:color="auto"/>
              <w:bottom w:val="single" w:sz="2" w:space="0" w:color="auto"/>
              <w:right w:val="single" w:sz="2" w:space="0" w:color="auto"/>
            </w:tcBorders>
            <w:vAlign w:val="center"/>
          </w:tcPr>
          <w:p w14:paraId="1A29276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27,489,319.78</w:t>
            </w:r>
          </w:p>
        </w:tc>
        <w:tc>
          <w:tcPr>
            <w:tcW w:w="786" w:type="dxa"/>
            <w:tcBorders>
              <w:top w:val="single" w:sz="2" w:space="0" w:color="auto"/>
              <w:left w:val="single" w:sz="2" w:space="0" w:color="auto"/>
              <w:bottom w:val="single" w:sz="2" w:space="0" w:color="auto"/>
              <w:right w:val="single" w:sz="2" w:space="0" w:color="auto"/>
            </w:tcBorders>
            <w:vAlign w:val="center"/>
          </w:tcPr>
          <w:p w14:paraId="37D9488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47.09%</w:t>
            </w:r>
          </w:p>
        </w:tc>
        <w:tc>
          <w:tcPr>
            <w:tcW w:w="1134" w:type="dxa"/>
            <w:tcBorders>
              <w:top w:val="single" w:sz="2" w:space="0" w:color="auto"/>
              <w:left w:val="single" w:sz="2" w:space="0" w:color="auto"/>
              <w:bottom w:val="single" w:sz="2" w:space="0" w:color="auto"/>
              <w:right w:val="single" w:sz="2" w:space="0" w:color="auto"/>
            </w:tcBorders>
            <w:vAlign w:val="center"/>
          </w:tcPr>
          <w:p w14:paraId="25BF252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30,891,696.52</w:t>
            </w:r>
          </w:p>
        </w:tc>
        <w:tc>
          <w:tcPr>
            <w:tcW w:w="1134" w:type="dxa"/>
            <w:tcBorders>
              <w:top w:val="single" w:sz="2" w:space="0" w:color="auto"/>
              <w:left w:val="single" w:sz="2" w:space="0" w:color="auto"/>
              <w:bottom w:val="single" w:sz="2" w:space="0" w:color="auto"/>
              <w:right w:val="single" w:sz="2" w:space="0" w:color="auto"/>
            </w:tcBorders>
            <w:vAlign w:val="center"/>
          </w:tcPr>
          <w:p w14:paraId="3101FE8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122,461,085.17</w:t>
            </w:r>
          </w:p>
        </w:tc>
        <w:tc>
          <w:tcPr>
            <w:tcW w:w="708" w:type="dxa"/>
            <w:tcBorders>
              <w:top w:val="single" w:sz="2" w:space="0" w:color="auto"/>
              <w:left w:val="single" w:sz="2" w:space="0" w:color="auto"/>
              <w:bottom w:val="single" w:sz="2" w:space="0" w:color="auto"/>
              <w:right w:val="single" w:sz="2" w:space="0" w:color="auto"/>
            </w:tcBorders>
            <w:vAlign w:val="center"/>
          </w:tcPr>
          <w:p w14:paraId="348F1A7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96.10%</w:t>
            </w:r>
          </w:p>
        </w:tc>
        <w:tc>
          <w:tcPr>
            <w:tcW w:w="1134" w:type="dxa"/>
            <w:tcBorders>
              <w:top w:val="single" w:sz="2" w:space="0" w:color="auto"/>
              <w:left w:val="single" w:sz="2" w:space="0" w:color="auto"/>
              <w:bottom w:val="single" w:sz="2" w:space="0" w:color="auto"/>
              <w:right w:val="single" w:sz="2" w:space="0" w:color="auto"/>
            </w:tcBorders>
            <w:vAlign w:val="center"/>
          </w:tcPr>
          <w:p w14:paraId="70F7771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26,602,239.54</w:t>
            </w:r>
          </w:p>
        </w:tc>
        <w:tc>
          <w:tcPr>
            <w:tcW w:w="709" w:type="dxa"/>
            <w:tcBorders>
              <w:top w:val="single" w:sz="2" w:space="0" w:color="auto"/>
              <w:left w:val="single" w:sz="2" w:space="0" w:color="auto"/>
              <w:bottom w:val="single" w:sz="2" w:space="0" w:color="auto"/>
              <w:right w:val="single" w:sz="2" w:space="0" w:color="auto"/>
            </w:tcBorders>
            <w:vAlign w:val="center"/>
          </w:tcPr>
          <w:p w14:paraId="60A06CB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21.72%</w:t>
            </w:r>
          </w:p>
        </w:tc>
        <w:tc>
          <w:tcPr>
            <w:tcW w:w="1134" w:type="dxa"/>
            <w:tcBorders>
              <w:top w:val="single" w:sz="2" w:space="0" w:color="auto"/>
              <w:left w:val="single" w:sz="2" w:space="0" w:color="auto"/>
              <w:bottom w:val="single" w:sz="2" w:space="0" w:color="auto"/>
              <w:right w:val="single" w:sz="2" w:space="0" w:color="auto"/>
            </w:tcBorders>
            <w:vAlign w:val="center"/>
          </w:tcPr>
          <w:p w14:paraId="0578A8A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95,858,845.63</w:t>
            </w:r>
          </w:p>
        </w:tc>
      </w:tr>
      <w:tr w:rsidR="006C011D" w:rsidRPr="005A284F" w14:paraId="5A7C2F26" w14:textId="77777777" w:rsidTr="00D31566">
        <w:trPr>
          <w:trHeight w:val="240"/>
          <w:jc w:val="center"/>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39772BC8"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1147" w:type="dxa"/>
            <w:tcBorders>
              <w:top w:val="single" w:sz="2" w:space="0" w:color="auto"/>
              <w:left w:val="single" w:sz="2" w:space="0" w:color="auto"/>
              <w:bottom w:val="single" w:sz="2" w:space="0" w:color="auto"/>
              <w:right w:val="single" w:sz="2" w:space="0" w:color="auto"/>
            </w:tcBorders>
            <w:vAlign w:val="center"/>
          </w:tcPr>
          <w:p w14:paraId="2BD773A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63,011,148.69</w:t>
            </w:r>
          </w:p>
        </w:tc>
        <w:tc>
          <w:tcPr>
            <w:tcW w:w="696" w:type="dxa"/>
            <w:tcBorders>
              <w:top w:val="single" w:sz="2" w:space="0" w:color="auto"/>
              <w:left w:val="single" w:sz="2" w:space="0" w:color="auto"/>
              <w:bottom w:val="single" w:sz="2" w:space="0" w:color="auto"/>
              <w:right w:val="single" w:sz="2" w:space="0" w:color="auto"/>
            </w:tcBorders>
            <w:vAlign w:val="center"/>
          </w:tcPr>
          <w:p w14:paraId="037D4E8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1057" w:type="dxa"/>
            <w:tcBorders>
              <w:top w:val="single" w:sz="2" w:space="0" w:color="auto"/>
              <w:left w:val="single" w:sz="2" w:space="0" w:color="auto"/>
              <w:bottom w:val="single" w:sz="2" w:space="0" w:color="auto"/>
              <w:right w:val="single" w:sz="2" w:space="0" w:color="auto"/>
            </w:tcBorders>
            <w:vAlign w:val="center"/>
          </w:tcPr>
          <w:p w14:paraId="793A37A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31,440,207.58</w:t>
            </w:r>
          </w:p>
        </w:tc>
        <w:tc>
          <w:tcPr>
            <w:tcW w:w="786" w:type="dxa"/>
            <w:tcBorders>
              <w:top w:val="single" w:sz="2" w:space="0" w:color="auto"/>
              <w:left w:val="single" w:sz="2" w:space="0" w:color="auto"/>
              <w:bottom w:val="single" w:sz="2" w:space="0" w:color="auto"/>
              <w:right w:val="single" w:sz="2" w:space="0" w:color="auto"/>
            </w:tcBorders>
            <w:vAlign w:val="center"/>
          </w:tcPr>
          <w:p w14:paraId="49750A3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49.90%</w:t>
            </w:r>
          </w:p>
        </w:tc>
        <w:tc>
          <w:tcPr>
            <w:tcW w:w="1134" w:type="dxa"/>
            <w:tcBorders>
              <w:top w:val="single" w:sz="2" w:space="0" w:color="auto"/>
              <w:left w:val="single" w:sz="2" w:space="0" w:color="auto"/>
              <w:bottom w:val="single" w:sz="2" w:space="0" w:color="auto"/>
              <w:right w:val="single" w:sz="2" w:space="0" w:color="auto"/>
            </w:tcBorders>
            <w:vAlign w:val="center"/>
          </w:tcPr>
          <w:p w14:paraId="2A16654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31,570,941.11</w:t>
            </w:r>
          </w:p>
        </w:tc>
        <w:tc>
          <w:tcPr>
            <w:tcW w:w="1134" w:type="dxa"/>
            <w:tcBorders>
              <w:top w:val="single" w:sz="2" w:space="0" w:color="auto"/>
              <w:left w:val="single" w:sz="2" w:space="0" w:color="auto"/>
              <w:bottom w:val="single" w:sz="2" w:space="0" w:color="auto"/>
              <w:right w:val="single" w:sz="2" w:space="0" w:color="auto"/>
            </w:tcBorders>
            <w:vAlign w:val="center"/>
          </w:tcPr>
          <w:p w14:paraId="3837571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127,427,411.56</w:t>
            </w:r>
          </w:p>
        </w:tc>
        <w:tc>
          <w:tcPr>
            <w:tcW w:w="708" w:type="dxa"/>
            <w:tcBorders>
              <w:top w:val="single" w:sz="2" w:space="0" w:color="auto"/>
              <w:left w:val="single" w:sz="2" w:space="0" w:color="auto"/>
              <w:bottom w:val="single" w:sz="2" w:space="0" w:color="auto"/>
              <w:right w:val="single" w:sz="2" w:space="0" w:color="auto"/>
            </w:tcBorders>
            <w:vAlign w:val="center"/>
          </w:tcPr>
          <w:p w14:paraId="3E13E29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1134" w:type="dxa"/>
            <w:tcBorders>
              <w:top w:val="single" w:sz="2" w:space="0" w:color="auto"/>
              <w:left w:val="single" w:sz="2" w:space="0" w:color="auto"/>
              <w:bottom w:val="single" w:sz="2" w:space="0" w:color="auto"/>
              <w:right w:val="single" w:sz="2" w:space="0" w:color="auto"/>
            </w:tcBorders>
            <w:vAlign w:val="center"/>
          </w:tcPr>
          <w:p w14:paraId="1BE8BCA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30,889,321.34</w:t>
            </w:r>
          </w:p>
        </w:tc>
        <w:tc>
          <w:tcPr>
            <w:tcW w:w="709" w:type="dxa"/>
            <w:tcBorders>
              <w:top w:val="single" w:sz="2" w:space="0" w:color="auto"/>
              <w:left w:val="single" w:sz="2" w:space="0" w:color="auto"/>
              <w:bottom w:val="single" w:sz="2" w:space="0" w:color="auto"/>
              <w:right w:val="single" w:sz="2" w:space="0" w:color="auto"/>
            </w:tcBorders>
            <w:vAlign w:val="center"/>
          </w:tcPr>
          <w:p w14:paraId="4A995D6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24.24%</w:t>
            </w:r>
          </w:p>
        </w:tc>
        <w:tc>
          <w:tcPr>
            <w:tcW w:w="1134" w:type="dxa"/>
            <w:tcBorders>
              <w:top w:val="single" w:sz="2" w:space="0" w:color="auto"/>
              <w:left w:val="single" w:sz="2" w:space="0" w:color="auto"/>
              <w:bottom w:val="single" w:sz="2" w:space="0" w:color="auto"/>
              <w:right w:val="single" w:sz="2" w:space="0" w:color="auto"/>
            </w:tcBorders>
            <w:vAlign w:val="center"/>
          </w:tcPr>
          <w:p w14:paraId="78A12E5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96,538,090.22</w:t>
            </w:r>
          </w:p>
        </w:tc>
      </w:tr>
    </w:tbl>
    <w:p w14:paraId="6929B9C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按预期信用损失一般模型计提坏账准备：</w:t>
      </w:r>
    </w:p>
    <w:p w14:paraId="00C882CD"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C011D" w:rsidRPr="005A284F" w14:paraId="703A494B" w14:textId="7777777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74EA9D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坏账准备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FD6A63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第一阶段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8B3CD7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第二阶段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4DED80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第三阶段</w:t>
            </w:r>
          </w:p>
        </w:tc>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412CC7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r>
      <w:tr w:rsidR="006C011D" w:rsidRPr="005A284F" w14:paraId="13C7203A" w14:textId="7777777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71AA335" w14:textId="77777777" w:rsidR="006C011D" w:rsidRPr="005A284F" w:rsidRDefault="006C011D">
            <w:pPr>
              <w:rPr>
                <w:rFonts w:ascii="Times New Roman" w:eastAsia="宋体" w:hAnsi="Times New Roman" w:cs="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3F3DD8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未来</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个月预期信用损失</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D86638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整个存续期预期信用损失（未发生信用减值）</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7A40F1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整个存续期预期信用损失（已发生信用减值）</w:t>
            </w:r>
          </w:p>
        </w:tc>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BE3231F" w14:textId="77777777" w:rsidR="006C011D" w:rsidRPr="005A284F" w:rsidRDefault="006C011D">
            <w:pPr>
              <w:rPr>
                <w:rFonts w:ascii="Times New Roman" w:eastAsia="宋体" w:hAnsi="Times New Roman" w:cs="Times New Roman"/>
              </w:rPr>
            </w:pPr>
          </w:p>
        </w:tc>
      </w:tr>
      <w:tr w:rsidR="006C011D" w:rsidRPr="005A284F" w14:paraId="661343AE"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92BFAE1"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日余额</w:t>
            </w:r>
          </w:p>
        </w:tc>
        <w:tc>
          <w:tcPr>
            <w:tcW w:w="1928" w:type="dxa"/>
            <w:tcBorders>
              <w:top w:val="single" w:sz="2" w:space="0" w:color="auto"/>
              <w:left w:val="single" w:sz="2" w:space="0" w:color="auto"/>
              <w:bottom w:val="single" w:sz="2" w:space="0" w:color="auto"/>
              <w:right w:val="single" w:sz="2" w:space="0" w:color="auto"/>
            </w:tcBorders>
            <w:vAlign w:val="center"/>
          </w:tcPr>
          <w:p w14:paraId="0744713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26,602,239.54</w:t>
            </w:r>
          </w:p>
        </w:tc>
        <w:tc>
          <w:tcPr>
            <w:tcW w:w="1928" w:type="dxa"/>
            <w:tcBorders>
              <w:top w:val="single" w:sz="2" w:space="0" w:color="auto"/>
              <w:left w:val="single" w:sz="2" w:space="0" w:color="auto"/>
              <w:bottom w:val="single" w:sz="2" w:space="0" w:color="auto"/>
              <w:right w:val="single" w:sz="2" w:space="0" w:color="auto"/>
            </w:tcBorders>
            <w:vAlign w:val="center"/>
          </w:tcPr>
          <w:p w14:paraId="67B81EE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4,287,081.80</w:t>
            </w:r>
          </w:p>
        </w:tc>
        <w:tc>
          <w:tcPr>
            <w:tcW w:w="1928" w:type="dxa"/>
            <w:tcBorders>
              <w:top w:val="single" w:sz="2" w:space="0" w:color="auto"/>
              <w:left w:val="single" w:sz="2" w:space="0" w:color="auto"/>
              <w:bottom w:val="single" w:sz="2" w:space="0" w:color="auto"/>
              <w:right w:val="single" w:sz="2" w:space="0" w:color="auto"/>
            </w:tcBorders>
            <w:vAlign w:val="center"/>
          </w:tcPr>
          <w:p w14:paraId="1D86482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38BD26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30,889,321.34</w:t>
            </w:r>
          </w:p>
        </w:tc>
      </w:tr>
      <w:tr w:rsidR="006C011D" w:rsidRPr="005A284F" w14:paraId="0C96E5A9"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C1865FF"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日余额在本期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F0D9DD0" w14:textId="77777777" w:rsidR="006C011D" w:rsidRPr="005A284F" w:rsidRDefault="006C011D">
            <w:pPr>
              <w:rPr>
                <w:rFonts w:ascii="Times New Roman" w:eastAsia="宋体" w:hAnsi="Times New Roman" w:cs="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86BF48D" w14:textId="77777777" w:rsidR="006C011D" w:rsidRPr="005A284F" w:rsidRDefault="006C011D">
            <w:pPr>
              <w:rPr>
                <w:rFonts w:ascii="Times New Roman" w:eastAsia="宋体" w:hAnsi="Times New Roman" w:cs="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091A3B6" w14:textId="77777777" w:rsidR="006C011D" w:rsidRPr="005A284F" w:rsidRDefault="006C011D">
            <w:pPr>
              <w:rPr>
                <w:rFonts w:ascii="Times New Roman" w:eastAsia="宋体" w:hAnsi="Times New Roman" w:cs="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E423277" w14:textId="77777777" w:rsidR="006C011D" w:rsidRPr="005A284F" w:rsidRDefault="006C011D">
            <w:pPr>
              <w:rPr>
                <w:rFonts w:ascii="Times New Roman" w:eastAsia="宋体" w:hAnsi="Times New Roman" w:cs="Times New Roman"/>
              </w:rPr>
            </w:pPr>
          </w:p>
        </w:tc>
      </w:tr>
      <w:tr w:rsidR="006C011D" w:rsidRPr="005A284F" w14:paraId="5AE4F4F3"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3F5437D"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转入第三阶段</w:t>
            </w:r>
          </w:p>
        </w:tc>
        <w:tc>
          <w:tcPr>
            <w:tcW w:w="1928" w:type="dxa"/>
            <w:tcBorders>
              <w:top w:val="single" w:sz="2" w:space="0" w:color="auto"/>
              <w:left w:val="single" w:sz="2" w:space="0" w:color="auto"/>
              <w:bottom w:val="single" w:sz="2" w:space="0" w:color="auto"/>
              <w:right w:val="single" w:sz="2" w:space="0" w:color="auto"/>
            </w:tcBorders>
            <w:vAlign w:val="center"/>
          </w:tcPr>
          <w:p w14:paraId="432AC3A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-58,361.52</w:t>
            </w:r>
          </w:p>
        </w:tc>
        <w:tc>
          <w:tcPr>
            <w:tcW w:w="1928" w:type="dxa"/>
            <w:tcBorders>
              <w:top w:val="single" w:sz="2" w:space="0" w:color="auto"/>
              <w:left w:val="single" w:sz="2" w:space="0" w:color="auto"/>
              <w:bottom w:val="single" w:sz="2" w:space="0" w:color="auto"/>
              <w:right w:val="single" w:sz="2" w:space="0" w:color="auto"/>
            </w:tcBorders>
            <w:vAlign w:val="center"/>
          </w:tcPr>
          <w:p w14:paraId="5AA02B0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-3,000.00</w:t>
            </w:r>
          </w:p>
        </w:tc>
        <w:tc>
          <w:tcPr>
            <w:tcW w:w="1928" w:type="dxa"/>
            <w:tcBorders>
              <w:top w:val="single" w:sz="2" w:space="0" w:color="auto"/>
              <w:left w:val="single" w:sz="2" w:space="0" w:color="auto"/>
              <w:bottom w:val="single" w:sz="2" w:space="0" w:color="auto"/>
              <w:right w:val="single" w:sz="2" w:space="0" w:color="auto"/>
            </w:tcBorders>
            <w:vAlign w:val="center"/>
          </w:tcPr>
          <w:p w14:paraId="4D9F1A6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61,361.52</w:t>
            </w:r>
          </w:p>
        </w:tc>
        <w:tc>
          <w:tcPr>
            <w:tcW w:w="1928" w:type="dxa"/>
            <w:tcBorders>
              <w:top w:val="single" w:sz="2" w:space="0" w:color="auto"/>
              <w:left w:val="single" w:sz="2" w:space="0" w:color="auto"/>
              <w:bottom w:val="single" w:sz="2" w:space="0" w:color="auto"/>
              <w:right w:val="single" w:sz="2" w:space="0" w:color="auto"/>
            </w:tcBorders>
            <w:vAlign w:val="center"/>
          </w:tcPr>
          <w:p w14:paraId="6BC40AF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r>
      <w:tr w:rsidR="006C011D" w:rsidRPr="005A284F" w14:paraId="77348267"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C96050B"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本期计提</w:t>
            </w:r>
          </w:p>
        </w:tc>
        <w:tc>
          <w:tcPr>
            <w:tcW w:w="1928" w:type="dxa"/>
            <w:tcBorders>
              <w:top w:val="single" w:sz="2" w:space="0" w:color="auto"/>
              <w:left w:val="single" w:sz="2" w:space="0" w:color="auto"/>
              <w:bottom w:val="single" w:sz="2" w:space="0" w:color="auto"/>
              <w:right w:val="single" w:sz="2" w:space="0" w:color="auto"/>
            </w:tcBorders>
            <w:vAlign w:val="center"/>
          </w:tcPr>
          <w:p w14:paraId="424C26A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945,441.76</w:t>
            </w:r>
          </w:p>
        </w:tc>
        <w:tc>
          <w:tcPr>
            <w:tcW w:w="1928" w:type="dxa"/>
            <w:tcBorders>
              <w:top w:val="single" w:sz="2" w:space="0" w:color="auto"/>
              <w:left w:val="single" w:sz="2" w:space="0" w:color="auto"/>
              <w:bottom w:val="single" w:sz="2" w:space="0" w:color="auto"/>
              <w:right w:val="single" w:sz="2" w:space="0" w:color="auto"/>
            </w:tcBorders>
            <w:vAlign w:val="center"/>
          </w:tcPr>
          <w:p w14:paraId="7E739C3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43D227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85F9DC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945,441.76</w:t>
            </w:r>
          </w:p>
        </w:tc>
      </w:tr>
      <w:tr w:rsidR="006C011D" w:rsidRPr="005A284F" w14:paraId="5E8F1E72"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47BA294"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本期转回</w:t>
            </w:r>
          </w:p>
        </w:tc>
        <w:tc>
          <w:tcPr>
            <w:tcW w:w="1928" w:type="dxa"/>
            <w:tcBorders>
              <w:top w:val="single" w:sz="2" w:space="0" w:color="auto"/>
              <w:left w:val="single" w:sz="2" w:space="0" w:color="auto"/>
              <w:bottom w:val="single" w:sz="2" w:space="0" w:color="auto"/>
              <w:right w:val="single" w:sz="2" w:space="0" w:color="auto"/>
            </w:tcBorders>
            <w:vAlign w:val="center"/>
          </w:tcPr>
          <w:p w14:paraId="0618D6A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1F01BD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-333,194.00</w:t>
            </w:r>
          </w:p>
        </w:tc>
        <w:tc>
          <w:tcPr>
            <w:tcW w:w="1928" w:type="dxa"/>
            <w:tcBorders>
              <w:top w:val="single" w:sz="2" w:space="0" w:color="auto"/>
              <w:left w:val="single" w:sz="2" w:space="0" w:color="auto"/>
              <w:bottom w:val="single" w:sz="2" w:space="0" w:color="auto"/>
              <w:right w:val="single" w:sz="2" w:space="0" w:color="auto"/>
            </w:tcBorders>
            <w:vAlign w:val="center"/>
          </w:tcPr>
          <w:p w14:paraId="7369BA8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A25FE0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-333,194.00</w:t>
            </w:r>
          </w:p>
        </w:tc>
      </w:tr>
      <w:tr w:rsidR="006C011D" w:rsidRPr="005A284F" w14:paraId="75B46115"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38FD554"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本期核销</w:t>
            </w:r>
          </w:p>
        </w:tc>
        <w:tc>
          <w:tcPr>
            <w:tcW w:w="1928" w:type="dxa"/>
            <w:tcBorders>
              <w:top w:val="single" w:sz="2" w:space="0" w:color="auto"/>
              <w:left w:val="single" w:sz="2" w:space="0" w:color="auto"/>
              <w:bottom w:val="single" w:sz="2" w:space="0" w:color="auto"/>
              <w:right w:val="single" w:sz="2" w:space="0" w:color="auto"/>
            </w:tcBorders>
            <w:vAlign w:val="center"/>
          </w:tcPr>
          <w:p w14:paraId="2FF7D02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0F963C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A767E1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-61,361.52</w:t>
            </w:r>
          </w:p>
        </w:tc>
        <w:tc>
          <w:tcPr>
            <w:tcW w:w="1928" w:type="dxa"/>
            <w:tcBorders>
              <w:top w:val="single" w:sz="2" w:space="0" w:color="auto"/>
              <w:left w:val="single" w:sz="2" w:space="0" w:color="auto"/>
              <w:bottom w:val="single" w:sz="2" w:space="0" w:color="auto"/>
              <w:right w:val="single" w:sz="2" w:space="0" w:color="auto"/>
            </w:tcBorders>
            <w:vAlign w:val="center"/>
          </w:tcPr>
          <w:p w14:paraId="7ECF672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-61,361.52</w:t>
            </w:r>
          </w:p>
        </w:tc>
      </w:tr>
      <w:tr w:rsidR="006C011D" w:rsidRPr="005A284F" w14:paraId="7BDB1456"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3FD6BD3"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6</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30</w:t>
            </w:r>
            <w:r w:rsidRPr="005A284F">
              <w:rPr>
                <w:rFonts w:ascii="Times New Roman" w:eastAsia="宋体" w:hAnsi="Times New Roman" w:cs="Times New Roman"/>
                <w:sz w:val="18"/>
                <w:szCs w:val="18"/>
              </w:rPr>
              <w:t>日余额</w:t>
            </w:r>
          </w:p>
        </w:tc>
        <w:tc>
          <w:tcPr>
            <w:tcW w:w="1928" w:type="dxa"/>
            <w:tcBorders>
              <w:top w:val="single" w:sz="2" w:space="0" w:color="auto"/>
              <w:left w:val="single" w:sz="2" w:space="0" w:color="auto"/>
              <w:bottom w:val="single" w:sz="2" w:space="0" w:color="auto"/>
              <w:right w:val="single" w:sz="2" w:space="0" w:color="auto"/>
            </w:tcBorders>
            <w:vAlign w:val="center"/>
          </w:tcPr>
          <w:p w14:paraId="4C1E479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27,489,319.78</w:t>
            </w:r>
          </w:p>
        </w:tc>
        <w:tc>
          <w:tcPr>
            <w:tcW w:w="1928" w:type="dxa"/>
            <w:tcBorders>
              <w:top w:val="single" w:sz="2" w:space="0" w:color="auto"/>
              <w:left w:val="single" w:sz="2" w:space="0" w:color="auto"/>
              <w:bottom w:val="single" w:sz="2" w:space="0" w:color="auto"/>
              <w:right w:val="single" w:sz="2" w:space="0" w:color="auto"/>
            </w:tcBorders>
            <w:vAlign w:val="center"/>
          </w:tcPr>
          <w:p w14:paraId="40ADE9D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3,950,887.80</w:t>
            </w:r>
          </w:p>
        </w:tc>
        <w:tc>
          <w:tcPr>
            <w:tcW w:w="1928" w:type="dxa"/>
            <w:tcBorders>
              <w:top w:val="single" w:sz="2" w:space="0" w:color="auto"/>
              <w:left w:val="single" w:sz="2" w:space="0" w:color="auto"/>
              <w:bottom w:val="single" w:sz="2" w:space="0" w:color="auto"/>
              <w:right w:val="single" w:sz="2" w:space="0" w:color="auto"/>
            </w:tcBorders>
            <w:vAlign w:val="center"/>
          </w:tcPr>
          <w:p w14:paraId="6AF193F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0C6F61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31,440,207.58</w:t>
            </w:r>
          </w:p>
        </w:tc>
      </w:tr>
    </w:tbl>
    <w:p w14:paraId="1EA8147D"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各阶段划分依据和坏账准备计提比例</w:t>
      </w:r>
    </w:p>
    <w:p w14:paraId="3126D2F5" w14:textId="77777777" w:rsidR="000309B5" w:rsidRPr="005A284F" w:rsidRDefault="00000000">
      <w:pPr>
        <w:pStyle w:val="a3"/>
        <w:divId w:val="1689453221"/>
        <w:rPr>
          <w:rFonts w:ascii="Times New Roman" w:hAnsi="Times New Roman" w:cs="Times New Roman"/>
          <w:sz w:val="18"/>
          <w:szCs w:val="18"/>
        </w:rPr>
      </w:pPr>
      <w:r w:rsidRPr="005A284F">
        <w:rPr>
          <w:rFonts w:ascii="Times New Roman" w:hAnsi="Times New Roman" w:cs="Times New Roman"/>
          <w:sz w:val="18"/>
          <w:szCs w:val="18"/>
        </w:rPr>
        <w:t>无</w:t>
      </w:r>
    </w:p>
    <w:p w14:paraId="3977C8C9"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损失准备本期变动金额重大的账面余额变动情况</w:t>
      </w:r>
    </w:p>
    <w:p w14:paraId="435EA14F" w14:textId="77777777" w:rsidR="006C011D" w:rsidRPr="00D31566" w:rsidRDefault="00000000">
      <w:pPr>
        <w:spacing w:before="100" w:after="100" w:line="240" w:lineRule="exact"/>
        <w:rPr>
          <w:rFonts w:ascii="宋体" w:eastAsia="宋体" w:hAnsi="宋体" w:cs="Times New Roman" w:hint="eastAsia"/>
          <w:sz w:val="18"/>
          <w:szCs w:val="18"/>
        </w:rPr>
      </w:pPr>
      <w:r w:rsidRPr="00D31566">
        <w:rPr>
          <w:rFonts w:ascii="宋体" w:eastAsia="宋体" w:hAnsi="宋体" w:cs="Times New Roman"/>
          <w:sz w:val="18"/>
          <w:szCs w:val="18"/>
        </w:rPr>
        <w:t xml:space="preserve">□适用 </w:t>
      </w:r>
      <w:r w:rsidRPr="00D31566">
        <w:rPr>
          <w:rFonts w:ascii="宋体" w:eastAsia="宋体" w:hAnsi="宋体" w:cs="Times New Roman"/>
          <w:sz w:val="18"/>
          <w:szCs w:val="18"/>
        </w:rPr>
        <w:sym w:font="Wingdings 2" w:char="F052"/>
      </w:r>
      <w:r w:rsidRPr="00D31566">
        <w:rPr>
          <w:rFonts w:ascii="宋体" w:eastAsia="宋体" w:hAnsi="宋体" w:cs="Times New Roman"/>
          <w:sz w:val="18"/>
          <w:szCs w:val="18"/>
        </w:rPr>
        <w:t>不适用</w:t>
      </w:r>
    </w:p>
    <w:p w14:paraId="205F28D2" w14:textId="4DA2A6B0" w:rsidR="006C011D" w:rsidRPr="005A284F" w:rsidRDefault="00000000">
      <w:pPr>
        <w:keepNext/>
        <w:keepLines/>
        <w:spacing w:before="300" w:after="300" w:line="280" w:lineRule="exact"/>
        <w:outlineLvl w:val="4"/>
        <w:rPr>
          <w:rFonts w:ascii="Times New Roman" w:eastAsia="宋体" w:hAnsi="Times New Roman" w:cs="Times New Roman"/>
          <w:b/>
          <w:bCs/>
          <w:sz w:val="18"/>
          <w:szCs w:val="18"/>
        </w:rPr>
      </w:pPr>
      <w:bookmarkStart w:id="202" w:name="_Toc989114"/>
      <w:r w:rsidRPr="005A284F">
        <w:rPr>
          <w:rFonts w:ascii="Times New Roman" w:eastAsia="宋体" w:hAnsi="Times New Roman" w:cs="Times New Roman"/>
          <w:b/>
          <w:bCs/>
          <w:sz w:val="18"/>
          <w:szCs w:val="18"/>
        </w:rPr>
        <w:t>4</w:t>
      </w:r>
      <w:r w:rsidRPr="005A284F">
        <w:rPr>
          <w:rFonts w:ascii="Times New Roman" w:eastAsia="宋体" w:hAnsi="Times New Roman" w:cs="Times New Roman"/>
          <w:b/>
          <w:bCs/>
          <w:sz w:val="18"/>
          <w:szCs w:val="18"/>
        </w:rPr>
        <w:t>）本期计提、收回或转回的坏账准备情况</w:t>
      </w:r>
      <w:bookmarkEnd w:id="202"/>
    </w:p>
    <w:p w14:paraId="7DADC0F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本期计提坏账准备情况：</w:t>
      </w:r>
    </w:p>
    <w:p w14:paraId="0DD0211E" w14:textId="77777777" w:rsidR="006C011D" w:rsidRPr="005A284F" w:rsidRDefault="00000000">
      <w:pPr>
        <w:spacing w:before="120" w:after="12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6C011D" w:rsidRPr="005A284F" w14:paraId="5432A04F"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49332A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E0BC1D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4418D27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74DF16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r>
      <w:tr w:rsidR="006C011D" w:rsidRPr="005A284F" w14:paraId="3C76E57F"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53CD0C4" w14:textId="77777777" w:rsidR="006C011D" w:rsidRPr="005A284F" w:rsidRDefault="006C011D">
            <w:pPr>
              <w:rPr>
                <w:rFonts w:ascii="Times New Roman" w:eastAsia="宋体" w:hAnsi="Times New Roman" w:cs="Times New Roman"/>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921AF6A" w14:textId="77777777" w:rsidR="006C011D" w:rsidRPr="005A284F" w:rsidRDefault="006C011D">
            <w:pPr>
              <w:rPr>
                <w:rFonts w:ascii="Times New Roman" w:eastAsia="宋体" w:hAnsi="Times New Roman" w:cs="Times New Roman"/>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C5368E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6EC0EE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9049B7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转销或核销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0CD257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923C630" w14:textId="77777777" w:rsidR="006C011D" w:rsidRPr="005A284F" w:rsidRDefault="006C011D">
            <w:pPr>
              <w:rPr>
                <w:rFonts w:ascii="Times New Roman" w:eastAsia="宋体" w:hAnsi="Times New Roman" w:cs="Times New Roman"/>
              </w:rPr>
            </w:pPr>
          </w:p>
        </w:tc>
      </w:tr>
      <w:tr w:rsidR="006C011D" w:rsidRPr="005A284F" w14:paraId="56A0623C"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384F0C9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其他应收款坏账</w:t>
            </w:r>
          </w:p>
        </w:tc>
        <w:tc>
          <w:tcPr>
            <w:tcW w:w="1377" w:type="dxa"/>
            <w:tcBorders>
              <w:top w:val="single" w:sz="2" w:space="0" w:color="auto"/>
              <w:left w:val="single" w:sz="2" w:space="0" w:color="auto"/>
              <w:bottom w:val="single" w:sz="2" w:space="0" w:color="auto"/>
              <w:right w:val="single" w:sz="2" w:space="0" w:color="auto"/>
            </w:tcBorders>
            <w:vAlign w:val="center"/>
          </w:tcPr>
          <w:p w14:paraId="4BA37D7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30,889,321.34</w:t>
            </w:r>
          </w:p>
        </w:tc>
        <w:tc>
          <w:tcPr>
            <w:tcW w:w="1377" w:type="dxa"/>
            <w:tcBorders>
              <w:top w:val="single" w:sz="2" w:space="0" w:color="auto"/>
              <w:left w:val="single" w:sz="2" w:space="0" w:color="auto"/>
              <w:bottom w:val="single" w:sz="2" w:space="0" w:color="auto"/>
              <w:right w:val="single" w:sz="2" w:space="0" w:color="auto"/>
            </w:tcBorders>
            <w:vAlign w:val="center"/>
          </w:tcPr>
          <w:p w14:paraId="5A11DC7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945,441.76</w:t>
            </w:r>
          </w:p>
        </w:tc>
        <w:tc>
          <w:tcPr>
            <w:tcW w:w="1377" w:type="dxa"/>
            <w:tcBorders>
              <w:top w:val="single" w:sz="2" w:space="0" w:color="auto"/>
              <w:left w:val="single" w:sz="2" w:space="0" w:color="auto"/>
              <w:bottom w:val="single" w:sz="2" w:space="0" w:color="auto"/>
              <w:right w:val="single" w:sz="2" w:space="0" w:color="auto"/>
            </w:tcBorders>
            <w:vAlign w:val="center"/>
          </w:tcPr>
          <w:p w14:paraId="7A43493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-333,194.00</w:t>
            </w:r>
          </w:p>
        </w:tc>
        <w:tc>
          <w:tcPr>
            <w:tcW w:w="1377" w:type="dxa"/>
            <w:tcBorders>
              <w:top w:val="single" w:sz="2" w:space="0" w:color="auto"/>
              <w:left w:val="single" w:sz="2" w:space="0" w:color="auto"/>
              <w:bottom w:val="single" w:sz="2" w:space="0" w:color="auto"/>
              <w:right w:val="single" w:sz="2" w:space="0" w:color="auto"/>
            </w:tcBorders>
            <w:vAlign w:val="center"/>
          </w:tcPr>
          <w:p w14:paraId="025DE07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-61,361.52</w:t>
            </w:r>
          </w:p>
        </w:tc>
        <w:tc>
          <w:tcPr>
            <w:tcW w:w="1377" w:type="dxa"/>
            <w:tcBorders>
              <w:top w:val="single" w:sz="2" w:space="0" w:color="auto"/>
              <w:left w:val="single" w:sz="2" w:space="0" w:color="auto"/>
              <w:bottom w:val="single" w:sz="2" w:space="0" w:color="auto"/>
              <w:right w:val="single" w:sz="2" w:space="0" w:color="auto"/>
            </w:tcBorders>
            <w:vAlign w:val="center"/>
          </w:tcPr>
          <w:p w14:paraId="6677E78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0FAF54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31,440,207.58</w:t>
            </w:r>
          </w:p>
        </w:tc>
      </w:tr>
      <w:tr w:rsidR="006C011D" w:rsidRPr="005A284F" w14:paraId="54E62CB1"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1E56F89"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39F4CF8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30,889,321.34</w:t>
            </w:r>
          </w:p>
        </w:tc>
        <w:tc>
          <w:tcPr>
            <w:tcW w:w="1377" w:type="dxa"/>
            <w:tcBorders>
              <w:top w:val="single" w:sz="2" w:space="0" w:color="auto"/>
              <w:left w:val="single" w:sz="2" w:space="0" w:color="auto"/>
              <w:bottom w:val="single" w:sz="2" w:space="0" w:color="auto"/>
              <w:right w:val="single" w:sz="2" w:space="0" w:color="auto"/>
            </w:tcBorders>
            <w:vAlign w:val="center"/>
          </w:tcPr>
          <w:p w14:paraId="7FC987E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945,441.76</w:t>
            </w:r>
          </w:p>
        </w:tc>
        <w:tc>
          <w:tcPr>
            <w:tcW w:w="1377" w:type="dxa"/>
            <w:tcBorders>
              <w:top w:val="single" w:sz="2" w:space="0" w:color="auto"/>
              <w:left w:val="single" w:sz="2" w:space="0" w:color="auto"/>
              <w:bottom w:val="single" w:sz="2" w:space="0" w:color="auto"/>
              <w:right w:val="single" w:sz="2" w:space="0" w:color="auto"/>
            </w:tcBorders>
            <w:vAlign w:val="center"/>
          </w:tcPr>
          <w:p w14:paraId="7170061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-333,194.00</w:t>
            </w:r>
          </w:p>
        </w:tc>
        <w:tc>
          <w:tcPr>
            <w:tcW w:w="1377" w:type="dxa"/>
            <w:tcBorders>
              <w:top w:val="single" w:sz="2" w:space="0" w:color="auto"/>
              <w:left w:val="single" w:sz="2" w:space="0" w:color="auto"/>
              <w:bottom w:val="single" w:sz="2" w:space="0" w:color="auto"/>
              <w:right w:val="single" w:sz="2" w:space="0" w:color="auto"/>
            </w:tcBorders>
            <w:vAlign w:val="center"/>
          </w:tcPr>
          <w:p w14:paraId="71A71B7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-61,361.52</w:t>
            </w:r>
          </w:p>
        </w:tc>
        <w:tc>
          <w:tcPr>
            <w:tcW w:w="1377" w:type="dxa"/>
            <w:tcBorders>
              <w:top w:val="single" w:sz="2" w:space="0" w:color="auto"/>
              <w:left w:val="single" w:sz="2" w:space="0" w:color="auto"/>
              <w:bottom w:val="single" w:sz="2" w:space="0" w:color="auto"/>
              <w:right w:val="single" w:sz="2" w:space="0" w:color="auto"/>
            </w:tcBorders>
            <w:vAlign w:val="center"/>
          </w:tcPr>
          <w:p w14:paraId="32D48B9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EFC6CC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31,440,207.58</w:t>
            </w:r>
          </w:p>
        </w:tc>
      </w:tr>
    </w:tbl>
    <w:p w14:paraId="3BC36387" w14:textId="77777777" w:rsidR="000309B5" w:rsidRPr="005A284F" w:rsidRDefault="00000000">
      <w:pPr>
        <w:pStyle w:val="a3"/>
        <w:divId w:val="2086416020"/>
        <w:rPr>
          <w:rFonts w:ascii="Times New Roman" w:hAnsi="Times New Roman" w:cs="Times New Roman"/>
          <w:sz w:val="18"/>
          <w:szCs w:val="18"/>
        </w:rPr>
      </w:pPr>
      <w:r w:rsidRPr="005A284F">
        <w:rPr>
          <w:rFonts w:ascii="Times New Roman" w:hAnsi="Times New Roman" w:cs="Times New Roman"/>
          <w:sz w:val="18"/>
          <w:szCs w:val="18"/>
        </w:rPr>
        <w:t>无</w:t>
      </w:r>
    </w:p>
    <w:p w14:paraId="51CDFDCB"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其中本期坏账准备转回或收回金额重要的：</w:t>
      </w:r>
    </w:p>
    <w:p w14:paraId="5F9428A6" w14:textId="77777777" w:rsidR="000309B5" w:rsidRPr="005A284F" w:rsidRDefault="00000000">
      <w:pPr>
        <w:pStyle w:val="a3"/>
        <w:divId w:val="557788529"/>
        <w:rPr>
          <w:rFonts w:ascii="Times New Roman" w:hAnsi="Times New Roman" w:cs="Times New Roman"/>
          <w:sz w:val="18"/>
          <w:szCs w:val="18"/>
        </w:rPr>
      </w:pPr>
      <w:r w:rsidRPr="005A284F">
        <w:rPr>
          <w:rFonts w:ascii="Times New Roman" w:hAnsi="Times New Roman" w:cs="Times New Roman"/>
          <w:sz w:val="18"/>
          <w:szCs w:val="18"/>
        </w:rPr>
        <w:t>无</w:t>
      </w:r>
    </w:p>
    <w:p w14:paraId="51E85360" w14:textId="73E191AA" w:rsidR="006C011D" w:rsidRPr="005A284F" w:rsidRDefault="00000000">
      <w:pPr>
        <w:keepNext/>
        <w:keepLines/>
        <w:spacing w:before="300" w:after="300" w:line="280" w:lineRule="exact"/>
        <w:outlineLvl w:val="4"/>
        <w:rPr>
          <w:rFonts w:ascii="Times New Roman" w:eastAsia="宋体" w:hAnsi="Times New Roman" w:cs="Times New Roman"/>
          <w:b/>
          <w:bCs/>
          <w:sz w:val="18"/>
          <w:szCs w:val="18"/>
        </w:rPr>
      </w:pPr>
      <w:bookmarkStart w:id="203" w:name="_Toc989115"/>
      <w:r w:rsidRPr="005A284F">
        <w:rPr>
          <w:rFonts w:ascii="Times New Roman" w:eastAsia="宋体" w:hAnsi="Times New Roman" w:cs="Times New Roman"/>
          <w:b/>
          <w:bCs/>
          <w:sz w:val="18"/>
          <w:szCs w:val="18"/>
        </w:rPr>
        <w:t>5</w:t>
      </w:r>
      <w:r w:rsidRPr="005A284F">
        <w:rPr>
          <w:rFonts w:ascii="Times New Roman" w:eastAsia="宋体" w:hAnsi="Times New Roman" w:cs="Times New Roman"/>
          <w:b/>
          <w:bCs/>
          <w:sz w:val="18"/>
          <w:szCs w:val="18"/>
        </w:rPr>
        <w:t>）本期实际核销的其他应收款情况</w:t>
      </w:r>
      <w:bookmarkEnd w:id="203"/>
    </w:p>
    <w:p w14:paraId="58D3795E"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6C011D" w:rsidRPr="005A284F" w14:paraId="3530B0C6"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3E3EFC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A727CF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核销金额</w:t>
            </w:r>
          </w:p>
        </w:tc>
      </w:tr>
      <w:tr w:rsidR="006C011D" w:rsidRPr="005A284F" w14:paraId="2DFC61C2"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7FA79B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实际核销的其他应收账款</w:t>
            </w:r>
          </w:p>
        </w:tc>
        <w:tc>
          <w:tcPr>
            <w:tcW w:w="4820" w:type="dxa"/>
            <w:tcBorders>
              <w:top w:val="single" w:sz="2" w:space="0" w:color="auto"/>
              <w:left w:val="single" w:sz="2" w:space="0" w:color="auto"/>
              <w:bottom w:val="single" w:sz="2" w:space="0" w:color="auto"/>
              <w:right w:val="single" w:sz="2" w:space="0" w:color="auto"/>
            </w:tcBorders>
            <w:vAlign w:val="center"/>
          </w:tcPr>
          <w:p w14:paraId="4F1D316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61,361.52</w:t>
            </w:r>
          </w:p>
        </w:tc>
      </w:tr>
    </w:tbl>
    <w:p w14:paraId="73A64243" w14:textId="3C0C74FE" w:rsidR="006C011D" w:rsidRPr="005A284F" w:rsidRDefault="00000000" w:rsidP="00D31566">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其中重要的其他应收款核销情况：</w:t>
      </w:r>
    </w:p>
    <w:p w14:paraId="4C490883" w14:textId="77777777" w:rsidR="000309B5" w:rsidRPr="005A284F" w:rsidRDefault="00000000">
      <w:pPr>
        <w:pStyle w:val="a3"/>
        <w:divId w:val="713699354"/>
        <w:rPr>
          <w:rFonts w:ascii="Times New Roman" w:hAnsi="Times New Roman" w:cs="Times New Roman"/>
          <w:sz w:val="18"/>
          <w:szCs w:val="18"/>
        </w:rPr>
      </w:pPr>
      <w:r w:rsidRPr="005A284F">
        <w:rPr>
          <w:rFonts w:ascii="Times New Roman" w:hAnsi="Times New Roman" w:cs="Times New Roman"/>
          <w:sz w:val="18"/>
          <w:szCs w:val="18"/>
        </w:rPr>
        <w:t>无</w:t>
      </w:r>
    </w:p>
    <w:p w14:paraId="28D87351" w14:textId="7071EC4A" w:rsidR="006C011D" w:rsidRPr="005A284F" w:rsidRDefault="00000000">
      <w:pPr>
        <w:keepNext/>
        <w:keepLines/>
        <w:spacing w:before="300" w:after="300" w:line="280" w:lineRule="exact"/>
        <w:outlineLvl w:val="4"/>
        <w:rPr>
          <w:rFonts w:ascii="Times New Roman" w:eastAsia="宋体" w:hAnsi="Times New Roman" w:cs="Times New Roman"/>
          <w:b/>
          <w:bCs/>
          <w:sz w:val="18"/>
          <w:szCs w:val="18"/>
        </w:rPr>
      </w:pPr>
      <w:bookmarkStart w:id="204" w:name="_Toc989116"/>
      <w:r w:rsidRPr="005A284F">
        <w:rPr>
          <w:rFonts w:ascii="Times New Roman" w:eastAsia="宋体" w:hAnsi="Times New Roman" w:cs="Times New Roman"/>
          <w:b/>
          <w:bCs/>
          <w:sz w:val="18"/>
          <w:szCs w:val="18"/>
        </w:rPr>
        <w:t>6</w:t>
      </w:r>
      <w:r w:rsidRPr="005A284F">
        <w:rPr>
          <w:rFonts w:ascii="Times New Roman" w:eastAsia="宋体" w:hAnsi="Times New Roman" w:cs="Times New Roman"/>
          <w:b/>
          <w:bCs/>
          <w:sz w:val="18"/>
          <w:szCs w:val="18"/>
        </w:rPr>
        <w:t>）按欠款方归集的期末余额前五名的其他应收款情况</w:t>
      </w:r>
      <w:bookmarkEnd w:id="204"/>
    </w:p>
    <w:p w14:paraId="12CCA938"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6C011D" w:rsidRPr="005A284F" w14:paraId="1EBF3D87"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084851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6F187B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款项的性质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AF117B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E28320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账龄</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7133EE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占其他应收款期末余额合计数的比例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8603AD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坏账准备期末余额</w:t>
            </w:r>
          </w:p>
        </w:tc>
      </w:tr>
      <w:tr w:rsidR="006C011D" w:rsidRPr="005A284F" w14:paraId="22D20370"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29A826A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客户</w:t>
            </w:r>
            <w:r w:rsidRPr="005A284F">
              <w:rPr>
                <w:rFonts w:ascii="Times New Roman" w:eastAsia="宋体" w:hAnsi="Times New Roman" w:cs="Times New Roman"/>
                <w:sz w:val="18"/>
                <w:szCs w:val="18"/>
              </w:rPr>
              <w:t>A</w:t>
            </w:r>
          </w:p>
        </w:tc>
        <w:tc>
          <w:tcPr>
            <w:tcW w:w="1606" w:type="dxa"/>
            <w:tcBorders>
              <w:top w:val="single" w:sz="2" w:space="0" w:color="auto"/>
              <w:left w:val="single" w:sz="2" w:space="0" w:color="auto"/>
              <w:bottom w:val="single" w:sz="2" w:space="0" w:color="auto"/>
              <w:right w:val="single" w:sz="2" w:space="0" w:color="auto"/>
            </w:tcBorders>
            <w:vAlign w:val="center"/>
          </w:tcPr>
          <w:p w14:paraId="32DFC0D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利息补贴</w:t>
            </w:r>
          </w:p>
        </w:tc>
        <w:tc>
          <w:tcPr>
            <w:tcW w:w="1606" w:type="dxa"/>
            <w:tcBorders>
              <w:top w:val="single" w:sz="2" w:space="0" w:color="auto"/>
              <w:left w:val="single" w:sz="2" w:space="0" w:color="auto"/>
              <w:bottom w:val="single" w:sz="2" w:space="0" w:color="auto"/>
              <w:right w:val="single" w:sz="2" w:space="0" w:color="auto"/>
            </w:tcBorders>
            <w:vAlign w:val="center"/>
          </w:tcPr>
          <w:p w14:paraId="4CF6C33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16,339,196.67</w:t>
            </w:r>
          </w:p>
        </w:tc>
        <w:tc>
          <w:tcPr>
            <w:tcW w:w="1606" w:type="dxa"/>
            <w:tcBorders>
              <w:top w:val="single" w:sz="2" w:space="0" w:color="auto"/>
              <w:left w:val="single" w:sz="2" w:space="0" w:color="auto"/>
              <w:bottom w:val="single" w:sz="2" w:space="0" w:color="auto"/>
              <w:right w:val="single" w:sz="2" w:space="0" w:color="auto"/>
            </w:tcBorders>
            <w:vAlign w:val="center"/>
          </w:tcPr>
          <w:p w14:paraId="31ABE22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1-3</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4-6</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7-9</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10-12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2-3</w:t>
            </w:r>
            <w:r w:rsidRPr="005A284F">
              <w:rPr>
                <w:rFonts w:ascii="Times New Roman" w:eastAsia="宋体" w:hAnsi="Times New Roman" w:cs="Times New Roman"/>
                <w:sz w:val="18"/>
                <w:szCs w:val="18"/>
              </w:rPr>
              <w:t>年</w:t>
            </w:r>
          </w:p>
        </w:tc>
        <w:tc>
          <w:tcPr>
            <w:tcW w:w="1606" w:type="dxa"/>
            <w:tcBorders>
              <w:top w:val="single" w:sz="2" w:space="0" w:color="auto"/>
              <w:left w:val="single" w:sz="2" w:space="0" w:color="auto"/>
              <w:bottom w:val="single" w:sz="2" w:space="0" w:color="auto"/>
              <w:right w:val="single" w:sz="2" w:space="0" w:color="auto"/>
            </w:tcBorders>
            <w:vAlign w:val="center"/>
          </w:tcPr>
          <w:p w14:paraId="2A0FF5D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25.93%</w:t>
            </w:r>
          </w:p>
        </w:tc>
        <w:tc>
          <w:tcPr>
            <w:tcW w:w="1606" w:type="dxa"/>
            <w:tcBorders>
              <w:top w:val="single" w:sz="2" w:space="0" w:color="auto"/>
              <w:left w:val="single" w:sz="2" w:space="0" w:color="auto"/>
              <w:bottom w:val="single" w:sz="2" w:space="0" w:color="auto"/>
              <w:right w:val="single" w:sz="2" w:space="0" w:color="auto"/>
            </w:tcBorders>
            <w:vAlign w:val="center"/>
          </w:tcPr>
          <w:p w14:paraId="4156323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4,438,156.41</w:t>
            </w:r>
          </w:p>
        </w:tc>
      </w:tr>
      <w:tr w:rsidR="006C011D" w:rsidRPr="005A284F" w14:paraId="0390FA82"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DDA98C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客户</w:t>
            </w:r>
            <w:r w:rsidRPr="005A284F">
              <w:rPr>
                <w:rFonts w:ascii="Times New Roman" w:eastAsia="宋体" w:hAnsi="Times New Roman" w:cs="Times New Roman"/>
                <w:sz w:val="18"/>
                <w:szCs w:val="18"/>
              </w:rPr>
              <w:t>B</w:t>
            </w:r>
          </w:p>
        </w:tc>
        <w:tc>
          <w:tcPr>
            <w:tcW w:w="1606" w:type="dxa"/>
            <w:tcBorders>
              <w:top w:val="single" w:sz="2" w:space="0" w:color="auto"/>
              <w:left w:val="single" w:sz="2" w:space="0" w:color="auto"/>
              <w:bottom w:val="single" w:sz="2" w:space="0" w:color="auto"/>
              <w:right w:val="single" w:sz="2" w:space="0" w:color="auto"/>
            </w:tcBorders>
            <w:vAlign w:val="center"/>
          </w:tcPr>
          <w:p w14:paraId="76241A3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保证金</w:t>
            </w:r>
          </w:p>
        </w:tc>
        <w:tc>
          <w:tcPr>
            <w:tcW w:w="1606" w:type="dxa"/>
            <w:tcBorders>
              <w:top w:val="single" w:sz="2" w:space="0" w:color="auto"/>
              <w:left w:val="single" w:sz="2" w:space="0" w:color="auto"/>
              <w:bottom w:val="single" w:sz="2" w:space="0" w:color="auto"/>
              <w:right w:val="single" w:sz="2" w:space="0" w:color="auto"/>
            </w:tcBorders>
            <w:vAlign w:val="center"/>
          </w:tcPr>
          <w:p w14:paraId="620F20B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14,000,000.00</w:t>
            </w:r>
          </w:p>
        </w:tc>
        <w:tc>
          <w:tcPr>
            <w:tcW w:w="1606" w:type="dxa"/>
            <w:tcBorders>
              <w:top w:val="single" w:sz="2" w:space="0" w:color="auto"/>
              <w:left w:val="single" w:sz="2" w:space="0" w:color="auto"/>
              <w:bottom w:val="single" w:sz="2" w:space="0" w:color="auto"/>
              <w:right w:val="single" w:sz="2" w:space="0" w:color="auto"/>
            </w:tcBorders>
            <w:vAlign w:val="center"/>
          </w:tcPr>
          <w:p w14:paraId="79674A9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2-3</w:t>
            </w:r>
            <w:r w:rsidRPr="005A284F">
              <w:rPr>
                <w:rFonts w:ascii="Times New Roman" w:eastAsia="宋体" w:hAnsi="Times New Roman" w:cs="Times New Roman"/>
                <w:sz w:val="18"/>
                <w:szCs w:val="18"/>
              </w:rPr>
              <w:t>年</w:t>
            </w:r>
          </w:p>
        </w:tc>
        <w:tc>
          <w:tcPr>
            <w:tcW w:w="1606" w:type="dxa"/>
            <w:tcBorders>
              <w:top w:val="single" w:sz="2" w:space="0" w:color="auto"/>
              <w:left w:val="single" w:sz="2" w:space="0" w:color="auto"/>
              <w:bottom w:val="single" w:sz="2" w:space="0" w:color="auto"/>
              <w:right w:val="single" w:sz="2" w:space="0" w:color="auto"/>
            </w:tcBorders>
            <w:vAlign w:val="center"/>
          </w:tcPr>
          <w:p w14:paraId="0AA4BC6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22.22%</w:t>
            </w:r>
          </w:p>
        </w:tc>
        <w:tc>
          <w:tcPr>
            <w:tcW w:w="1606" w:type="dxa"/>
            <w:tcBorders>
              <w:top w:val="single" w:sz="2" w:space="0" w:color="auto"/>
              <w:left w:val="single" w:sz="2" w:space="0" w:color="auto"/>
              <w:bottom w:val="single" w:sz="2" w:space="0" w:color="auto"/>
              <w:right w:val="single" w:sz="2" w:space="0" w:color="auto"/>
            </w:tcBorders>
            <w:vAlign w:val="center"/>
          </w:tcPr>
          <w:p w14:paraId="6CDD5EF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11,175,562.64</w:t>
            </w:r>
          </w:p>
        </w:tc>
      </w:tr>
      <w:tr w:rsidR="006C011D" w:rsidRPr="005A284F" w14:paraId="18F1F9BD"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BE6F98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客户</w:t>
            </w:r>
            <w:r w:rsidRPr="005A284F">
              <w:rPr>
                <w:rFonts w:ascii="Times New Roman" w:eastAsia="宋体" w:hAnsi="Times New Roman" w:cs="Times New Roman"/>
                <w:sz w:val="18"/>
                <w:szCs w:val="18"/>
              </w:rPr>
              <w:t>C</w:t>
            </w:r>
          </w:p>
        </w:tc>
        <w:tc>
          <w:tcPr>
            <w:tcW w:w="1606" w:type="dxa"/>
            <w:tcBorders>
              <w:top w:val="single" w:sz="2" w:space="0" w:color="auto"/>
              <w:left w:val="single" w:sz="2" w:space="0" w:color="auto"/>
              <w:bottom w:val="single" w:sz="2" w:space="0" w:color="auto"/>
              <w:right w:val="single" w:sz="2" w:space="0" w:color="auto"/>
            </w:tcBorders>
            <w:vAlign w:val="center"/>
          </w:tcPr>
          <w:p w14:paraId="16FED77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保证金</w:t>
            </w:r>
          </w:p>
        </w:tc>
        <w:tc>
          <w:tcPr>
            <w:tcW w:w="1606" w:type="dxa"/>
            <w:tcBorders>
              <w:top w:val="single" w:sz="2" w:space="0" w:color="auto"/>
              <w:left w:val="single" w:sz="2" w:space="0" w:color="auto"/>
              <w:bottom w:val="single" w:sz="2" w:space="0" w:color="auto"/>
              <w:right w:val="single" w:sz="2" w:space="0" w:color="auto"/>
            </w:tcBorders>
            <w:vAlign w:val="center"/>
          </w:tcPr>
          <w:p w14:paraId="499D48D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5,500,000.00</w:t>
            </w:r>
          </w:p>
        </w:tc>
        <w:tc>
          <w:tcPr>
            <w:tcW w:w="1606" w:type="dxa"/>
            <w:tcBorders>
              <w:top w:val="single" w:sz="2" w:space="0" w:color="auto"/>
              <w:left w:val="single" w:sz="2" w:space="0" w:color="auto"/>
              <w:bottom w:val="single" w:sz="2" w:space="0" w:color="auto"/>
              <w:right w:val="single" w:sz="2" w:space="0" w:color="auto"/>
            </w:tcBorders>
            <w:vAlign w:val="center"/>
          </w:tcPr>
          <w:p w14:paraId="32008B6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年以上</w:t>
            </w:r>
          </w:p>
        </w:tc>
        <w:tc>
          <w:tcPr>
            <w:tcW w:w="1606" w:type="dxa"/>
            <w:tcBorders>
              <w:top w:val="single" w:sz="2" w:space="0" w:color="auto"/>
              <w:left w:val="single" w:sz="2" w:space="0" w:color="auto"/>
              <w:bottom w:val="single" w:sz="2" w:space="0" w:color="auto"/>
              <w:right w:val="single" w:sz="2" w:space="0" w:color="auto"/>
            </w:tcBorders>
            <w:vAlign w:val="center"/>
          </w:tcPr>
          <w:p w14:paraId="59F05E0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8.73%</w:t>
            </w:r>
          </w:p>
        </w:tc>
        <w:tc>
          <w:tcPr>
            <w:tcW w:w="1606" w:type="dxa"/>
            <w:tcBorders>
              <w:top w:val="single" w:sz="2" w:space="0" w:color="auto"/>
              <w:left w:val="single" w:sz="2" w:space="0" w:color="auto"/>
              <w:bottom w:val="single" w:sz="2" w:space="0" w:color="auto"/>
              <w:right w:val="single" w:sz="2" w:space="0" w:color="auto"/>
            </w:tcBorders>
            <w:vAlign w:val="center"/>
          </w:tcPr>
          <w:p w14:paraId="7553550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5,500,000.00</w:t>
            </w:r>
          </w:p>
        </w:tc>
      </w:tr>
      <w:tr w:rsidR="006C011D" w:rsidRPr="005A284F" w14:paraId="698A52DE"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606757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客户</w:t>
            </w:r>
            <w:r w:rsidRPr="005A284F">
              <w:rPr>
                <w:rFonts w:ascii="Times New Roman" w:eastAsia="宋体" w:hAnsi="Times New Roman" w:cs="Times New Roman"/>
                <w:sz w:val="18"/>
                <w:szCs w:val="18"/>
              </w:rPr>
              <w:t>D</w:t>
            </w:r>
          </w:p>
        </w:tc>
        <w:tc>
          <w:tcPr>
            <w:tcW w:w="1606" w:type="dxa"/>
            <w:tcBorders>
              <w:top w:val="single" w:sz="2" w:space="0" w:color="auto"/>
              <w:left w:val="single" w:sz="2" w:space="0" w:color="auto"/>
              <w:bottom w:val="single" w:sz="2" w:space="0" w:color="auto"/>
              <w:right w:val="single" w:sz="2" w:space="0" w:color="auto"/>
            </w:tcBorders>
            <w:vAlign w:val="center"/>
          </w:tcPr>
          <w:p w14:paraId="10D4493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融资租赁保证金</w:t>
            </w:r>
          </w:p>
        </w:tc>
        <w:tc>
          <w:tcPr>
            <w:tcW w:w="1606" w:type="dxa"/>
            <w:tcBorders>
              <w:top w:val="single" w:sz="2" w:space="0" w:color="auto"/>
              <w:left w:val="single" w:sz="2" w:space="0" w:color="auto"/>
              <w:bottom w:val="single" w:sz="2" w:space="0" w:color="auto"/>
              <w:right w:val="single" w:sz="2" w:space="0" w:color="auto"/>
            </w:tcBorders>
            <w:vAlign w:val="center"/>
          </w:tcPr>
          <w:p w14:paraId="3B09A2A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3,800,000.00</w:t>
            </w:r>
          </w:p>
        </w:tc>
        <w:tc>
          <w:tcPr>
            <w:tcW w:w="1606" w:type="dxa"/>
            <w:tcBorders>
              <w:top w:val="single" w:sz="2" w:space="0" w:color="auto"/>
              <w:left w:val="single" w:sz="2" w:space="0" w:color="auto"/>
              <w:bottom w:val="single" w:sz="2" w:space="0" w:color="auto"/>
              <w:right w:val="single" w:sz="2" w:space="0" w:color="auto"/>
            </w:tcBorders>
            <w:vAlign w:val="center"/>
          </w:tcPr>
          <w:p w14:paraId="7BB22BD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4-6</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年</w:t>
            </w:r>
          </w:p>
        </w:tc>
        <w:tc>
          <w:tcPr>
            <w:tcW w:w="1606" w:type="dxa"/>
            <w:tcBorders>
              <w:top w:val="single" w:sz="2" w:space="0" w:color="auto"/>
              <w:left w:val="single" w:sz="2" w:space="0" w:color="auto"/>
              <w:bottom w:val="single" w:sz="2" w:space="0" w:color="auto"/>
              <w:right w:val="single" w:sz="2" w:space="0" w:color="auto"/>
            </w:tcBorders>
            <w:vAlign w:val="center"/>
          </w:tcPr>
          <w:p w14:paraId="7D49FB3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6.03%</w:t>
            </w:r>
          </w:p>
        </w:tc>
        <w:tc>
          <w:tcPr>
            <w:tcW w:w="1606" w:type="dxa"/>
            <w:tcBorders>
              <w:top w:val="single" w:sz="2" w:space="0" w:color="auto"/>
              <w:left w:val="single" w:sz="2" w:space="0" w:color="auto"/>
              <w:bottom w:val="single" w:sz="2" w:space="0" w:color="auto"/>
              <w:right w:val="single" w:sz="2" w:space="0" w:color="auto"/>
            </w:tcBorders>
            <w:vAlign w:val="center"/>
          </w:tcPr>
          <w:p w14:paraId="1A37CB9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617,265.80</w:t>
            </w:r>
          </w:p>
        </w:tc>
      </w:tr>
      <w:tr w:rsidR="006C011D" w:rsidRPr="005A284F" w14:paraId="4EB9A10C"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7A9A07E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客户</w:t>
            </w:r>
            <w:r w:rsidRPr="005A284F">
              <w:rPr>
                <w:rFonts w:ascii="Times New Roman" w:eastAsia="宋体" w:hAnsi="Times New Roman" w:cs="Times New Roman"/>
                <w:sz w:val="18"/>
                <w:szCs w:val="18"/>
              </w:rPr>
              <w:t>E</w:t>
            </w:r>
          </w:p>
        </w:tc>
        <w:tc>
          <w:tcPr>
            <w:tcW w:w="1606" w:type="dxa"/>
            <w:tcBorders>
              <w:top w:val="single" w:sz="2" w:space="0" w:color="auto"/>
              <w:left w:val="single" w:sz="2" w:space="0" w:color="auto"/>
              <w:bottom w:val="single" w:sz="2" w:space="0" w:color="auto"/>
              <w:right w:val="single" w:sz="2" w:space="0" w:color="auto"/>
            </w:tcBorders>
            <w:vAlign w:val="center"/>
          </w:tcPr>
          <w:p w14:paraId="022D3EE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保证金</w:t>
            </w:r>
          </w:p>
        </w:tc>
        <w:tc>
          <w:tcPr>
            <w:tcW w:w="1606" w:type="dxa"/>
            <w:tcBorders>
              <w:top w:val="single" w:sz="2" w:space="0" w:color="auto"/>
              <w:left w:val="single" w:sz="2" w:space="0" w:color="auto"/>
              <w:bottom w:val="single" w:sz="2" w:space="0" w:color="auto"/>
              <w:right w:val="single" w:sz="2" w:space="0" w:color="auto"/>
            </w:tcBorders>
            <w:vAlign w:val="center"/>
          </w:tcPr>
          <w:p w14:paraId="1CD2B04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2,870,000.00</w:t>
            </w:r>
          </w:p>
        </w:tc>
        <w:tc>
          <w:tcPr>
            <w:tcW w:w="1606" w:type="dxa"/>
            <w:tcBorders>
              <w:top w:val="single" w:sz="2" w:space="0" w:color="auto"/>
              <w:left w:val="single" w:sz="2" w:space="0" w:color="auto"/>
              <w:bottom w:val="single" w:sz="2" w:space="0" w:color="auto"/>
              <w:right w:val="single" w:sz="2" w:space="0" w:color="auto"/>
            </w:tcBorders>
            <w:vAlign w:val="center"/>
          </w:tcPr>
          <w:p w14:paraId="59C192D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年以上</w:t>
            </w:r>
          </w:p>
        </w:tc>
        <w:tc>
          <w:tcPr>
            <w:tcW w:w="1606" w:type="dxa"/>
            <w:tcBorders>
              <w:top w:val="single" w:sz="2" w:space="0" w:color="auto"/>
              <w:left w:val="single" w:sz="2" w:space="0" w:color="auto"/>
              <w:bottom w:val="single" w:sz="2" w:space="0" w:color="auto"/>
              <w:right w:val="single" w:sz="2" w:space="0" w:color="auto"/>
            </w:tcBorders>
            <w:vAlign w:val="center"/>
          </w:tcPr>
          <w:p w14:paraId="722C684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4.55%</w:t>
            </w:r>
          </w:p>
        </w:tc>
        <w:tc>
          <w:tcPr>
            <w:tcW w:w="1606" w:type="dxa"/>
            <w:tcBorders>
              <w:top w:val="single" w:sz="2" w:space="0" w:color="auto"/>
              <w:left w:val="single" w:sz="2" w:space="0" w:color="auto"/>
              <w:bottom w:val="single" w:sz="2" w:space="0" w:color="auto"/>
              <w:right w:val="single" w:sz="2" w:space="0" w:color="auto"/>
            </w:tcBorders>
            <w:vAlign w:val="center"/>
          </w:tcPr>
          <w:p w14:paraId="2CA8470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2,296,000.00</w:t>
            </w:r>
          </w:p>
        </w:tc>
      </w:tr>
      <w:tr w:rsidR="006C011D" w:rsidRPr="005A284F" w14:paraId="02D6211A"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2642A77"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7BE00A8" w14:textId="77777777" w:rsidR="006C011D" w:rsidRPr="005A284F" w:rsidRDefault="006C011D">
            <w:pPr>
              <w:rPr>
                <w:rFonts w:ascii="Times New Roman" w:eastAsia="宋体" w:hAnsi="Times New Roman" w:cs="Times New Roman"/>
              </w:rPr>
            </w:pPr>
          </w:p>
        </w:tc>
        <w:tc>
          <w:tcPr>
            <w:tcW w:w="1606" w:type="dxa"/>
            <w:tcBorders>
              <w:top w:val="single" w:sz="2" w:space="0" w:color="auto"/>
              <w:left w:val="single" w:sz="2" w:space="0" w:color="auto"/>
              <w:bottom w:val="single" w:sz="2" w:space="0" w:color="auto"/>
              <w:right w:val="single" w:sz="2" w:space="0" w:color="auto"/>
            </w:tcBorders>
            <w:vAlign w:val="center"/>
          </w:tcPr>
          <w:p w14:paraId="6F2BF64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42,509,196.67</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4952745" w14:textId="77777777" w:rsidR="006C011D" w:rsidRPr="005A284F" w:rsidRDefault="006C011D">
            <w:pPr>
              <w:rPr>
                <w:rFonts w:ascii="Times New Roman" w:eastAsia="宋体" w:hAnsi="Times New Roman" w:cs="Times New Roman"/>
              </w:rPr>
            </w:pPr>
          </w:p>
        </w:tc>
        <w:tc>
          <w:tcPr>
            <w:tcW w:w="1606" w:type="dxa"/>
            <w:tcBorders>
              <w:top w:val="single" w:sz="2" w:space="0" w:color="auto"/>
              <w:left w:val="single" w:sz="2" w:space="0" w:color="auto"/>
              <w:bottom w:val="single" w:sz="2" w:space="0" w:color="auto"/>
              <w:right w:val="single" w:sz="2" w:space="0" w:color="auto"/>
            </w:tcBorders>
            <w:vAlign w:val="center"/>
          </w:tcPr>
          <w:p w14:paraId="69102B3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67.46%</w:t>
            </w:r>
          </w:p>
        </w:tc>
        <w:tc>
          <w:tcPr>
            <w:tcW w:w="1606" w:type="dxa"/>
            <w:tcBorders>
              <w:top w:val="single" w:sz="2" w:space="0" w:color="auto"/>
              <w:left w:val="single" w:sz="2" w:space="0" w:color="auto"/>
              <w:bottom w:val="single" w:sz="2" w:space="0" w:color="auto"/>
              <w:right w:val="single" w:sz="2" w:space="0" w:color="auto"/>
            </w:tcBorders>
            <w:vAlign w:val="center"/>
          </w:tcPr>
          <w:p w14:paraId="2C56390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24,026,984.85</w:t>
            </w:r>
          </w:p>
        </w:tc>
      </w:tr>
    </w:tbl>
    <w:p w14:paraId="6BC0A355" w14:textId="44F119A7" w:rsidR="006C011D" w:rsidRPr="005A284F" w:rsidRDefault="00000000">
      <w:pPr>
        <w:keepNext/>
        <w:keepLines/>
        <w:spacing w:before="300" w:after="300" w:line="280" w:lineRule="exact"/>
        <w:outlineLvl w:val="4"/>
        <w:rPr>
          <w:rFonts w:ascii="Times New Roman" w:eastAsia="宋体" w:hAnsi="Times New Roman" w:cs="Times New Roman"/>
          <w:b/>
          <w:bCs/>
          <w:sz w:val="21"/>
          <w:szCs w:val="21"/>
        </w:rPr>
      </w:pPr>
      <w:bookmarkStart w:id="205" w:name="_Toc989117"/>
      <w:r w:rsidRPr="005A284F">
        <w:rPr>
          <w:rFonts w:ascii="Times New Roman" w:eastAsia="宋体" w:hAnsi="Times New Roman" w:cs="Times New Roman"/>
          <w:b/>
          <w:bCs/>
          <w:sz w:val="21"/>
          <w:szCs w:val="21"/>
        </w:rPr>
        <w:t>7</w:t>
      </w:r>
      <w:r w:rsidRPr="005A284F">
        <w:rPr>
          <w:rFonts w:ascii="Times New Roman" w:eastAsia="宋体" w:hAnsi="Times New Roman" w:cs="Times New Roman"/>
          <w:b/>
          <w:bCs/>
          <w:sz w:val="21"/>
          <w:szCs w:val="21"/>
        </w:rPr>
        <w:t>）因资金集中管理而列报于其他应收款</w:t>
      </w:r>
      <w:bookmarkEnd w:id="205"/>
    </w:p>
    <w:p w14:paraId="596315CD" w14:textId="77777777" w:rsidR="000309B5" w:rsidRPr="005A284F" w:rsidRDefault="00000000">
      <w:pPr>
        <w:pStyle w:val="a3"/>
        <w:divId w:val="1287733556"/>
        <w:rPr>
          <w:rFonts w:ascii="Times New Roman" w:hAnsi="Times New Roman" w:cs="Times New Roman"/>
          <w:sz w:val="18"/>
          <w:szCs w:val="18"/>
        </w:rPr>
      </w:pPr>
      <w:r w:rsidRPr="005A284F">
        <w:rPr>
          <w:rFonts w:ascii="Times New Roman" w:hAnsi="Times New Roman" w:cs="Times New Roman"/>
          <w:sz w:val="18"/>
          <w:szCs w:val="18"/>
        </w:rPr>
        <w:t>无</w:t>
      </w:r>
    </w:p>
    <w:p w14:paraId="49483BDA" w14:textId="77777777" w:rsidR="006C011D" w:rsidRPr="005A284F" w:rsidRDefault="00000000">
      <w:pPr>
        <w:pStyle w:val="3"/>
        <w:spacing w:line="280" w:lineRule="exact"/>
        <w:jc w:val="left"/>
        <w:rPr>
          <w:rFonts w:ascii="Times New Roman" w:hAnsi="Times New Roman" w:cs="Times New Roman"/>
          <w:b/>
          <w:bCs/>
        </w:rPr>
      </w:pPr>
      <w:bookmarkStart w:id="206" w:name="_Toc989118"/>
      <w:r w:rsidRPr="005A284F">
        <w:rPr>
          <w:rFonts w:ascii="Times New Roman" w:hAnsi="Times New Roman" w:cs="Times New Roman"/>
          <w:b/>
          <w:bCs/>
        </w:rPr>
        <w:t>9</w:t>
      </w:r>
      <w:r w:rsidRPr="005A284F">
        <w:rPr>
          <w:rFonts w:ascii="Times New Roman" w:hAnsi="Times New Roman" w:cs="Times New Roman"/>
          <w:b/>
          <w:bCs/>
        </w:rPr>
        <w:t>、预付款项</w:t>
      </w:r>
      <w:bookmarkEnd w:id="206"/>
    </w:p>
    <w:p w14:paraId="732D06FD" w14:textId="5D82BDCE"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07" w:name="_Toc989119"/>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1</w:t>
      </w:r>
      <w:r w:rsidRPr="005A284F">
        <w:rPr>
          <w:rFonts w:ascii="Times New Roman" w:eastAsia="宋体" w:hAnsi="Times New Roman" w:cs="Times New Roman"/>
          <w:b/>
          <w:bCs/>
          <w:sz w:val="21"/>
          <w:szCs w:val="21"/>
        </w:rPr>
        <w:t>）预付款项按账龄列示</w:t>
      </w:r>
      <w:bookmarkEnd w:id="207"/>
    </w:p>
    <w:p w14:paraId="21720E39"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C011D" w:rsidRPr="005A284F" w14:paraId="38AAECDF" w14:textId="7777777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F98735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账龄</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68E2AF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7126B4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r>
      <w:tr w:rsidR="006C011D" w:rsidRPr="005A284F" w14:paraId="5AEC9D65" w14:textId="7777777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04DEB93" w14:textId="77777777" w:rsidR="006C011D" w:rsidRPr="005A284F" w:rsidRDefault="006C011D">
            <w:pPr>
              <w:rPr>
                <w:rFonts w:ascii="Times New Roman" w:eastAsia="宋体" w:hAnsi="Times New Roman" w:cs="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853219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83CB11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比例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B62964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02BC9E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比例</w:t>
            </w:r>
          </w:p>
        </w:tc>
      </w:tr>
      <w:tr w:rsidR="006C011D" w:rsidRPr="005A284F" w14:paraId="4356D091"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25F11D2"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年以内</w:t>
            </w:r>
          </w:p>
        </w:tc>
        <w:tc>
          <w:tcPr>
            <w:tcW w:w="1928" w:type="dxa"/>
            <w:tcBorders>
              <w:top w:val="single" w:sz="2" w:space="0" w:color="auto"/>
              <w:left w:val="single" w:sz="2" w:space="0" w:color="auto"/>
              <w:bottom w:val="single" w:sz="2" w:space="0" w:color="auto"/>
              <w:right w:val="single" w:sz="2" w:space="0" w:color="auto"/>
            </w:tcBorders>
            <w:vAlign w:val="center"/>
          </w:tcPr>
          <w:p w14:paraId="543B6ED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46,541,856.81</w:t>
            </w:r>
          </w:p>
        </w:tc>
        <w:tc>
          <w:tcPr>
            <w:tcW w:w="1928" w:type="dxa"/>
            <w:tcBorders>
              <w:top w:val="single" w:sz="2" w:space="0" w:color="auto"/>
              <w:left w:val="single" w:sz="2" w:space="0" w:color="auto"/>
              <w:bottom w:val="single" w:sz="2" w:space="0" w:color="auto"/>
              <w:right w:val="single" w:sz="2" w:space="0" w:color="auto"/>
            </w:tcBorders>
            <w:vAlign w:val="center"/>
          </w:tcPr>
          <w:p w14:paraId="071922B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92.80%</w:t>
            </w:r>
          </w:p>
        </w:tc>
        <w:tc>
          <w:tcPr>
            <w:tcW w:w="1928" w:type="dxa"/>
            <w:tcBorders>
              <w:top w:val="single" w:sz="2" w:space="0" w:color="auto"/>
              <w:left w:val="single" w:sz="2" w:space="0" w:color="auto"/>
              <w:bottom w:val="single" w:sz="2" w:space="0" w:color="auto"/>
              <w:right w:val="single" w:sz="2" w:space="0" w:color="auto"/>
            </w:tcBorders>
            <w:vAlign w:val="center"/>
          </w:tcPr>
          <w:p w14:paraId="6A55F88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26,459,488.53</w:t>
            </w:r>
          </w:p>
        </w:tc>
        <w:tc>
          <w:tcPr>
            <w:tcW w:w="1928" w:type="dxa"/>
            <w:tcBorders>
              <w:top w:val="single" w:sz="2" w:space="0" w:color="auto"/>
              <w:left w:val="single" w:sz="2" w:space="0" w:color="auto"/>
              <w:bottom w:val="single" w:sz="2" w:space="0" w:color="auto"/>
              <w:right w:val="single" w:sz="2" w:space="0" w:color="auto"/>
            </w:tcBorders>
            <w:vAlign w:val="center"/>
          </w:tcPr>
          <w:p w14:paraId="7F2B833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86.19%</w:t>
            </w:r>
          </w:p>
        </w:tc>
      </w:tr>
      <w:tr w:rsidR="006C011D" w:rsidRPr="005A284F" w14:paraId="522D7642"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48C2C01"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1</w:t>
            </w:r>
            <w:r w:rsidRPr="005A284F">
              <w:rPr>
                <w:rFonts w:ascii="Times New Roman" w:eastAsia="宋体" w:hAnsi="Times New Roman" w:cs="Times New Roman"/>
                <w:sz w:val="18"/>
                <w:szCs w:val="18"/>
              </w:rPr>
              <w:t>至</w:t>
            </w: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年</w:t>
            </w:r>
          </w:p>
        </w:tc>
        <w:tc>
          <w:tcPr>
            <w:tcW w:w="1928" w:type="dxa"/>
            <w:tcBorders>
              <w:top w:val="single" w:sz="2" w:space="0" w:color="auto"/>
              <w:left w:val="single" w:sz="2" w:space="0" w:color="auto"/>
              <w:bottom w:val="single" w:sz="2" w:space="0" w:color="auto"/>
              <w:right w:val="single" w:sz="2" w:space="0" w:color="auto"/>
            </w:tcBorders>
            <w:vAlign w:val="center"/>
          </w:tcPr>
          <w:p w14:paraId="408120B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2,081,810.49</w:t>
            </w:r>
          </w:p>
        </w:tc>
        <w:tc>
          <w:tcPr>
            <w:tcW w:w="1928" w:type="dxa"/>
            <w:tcBorders>
              <w:top w:val="single" w:sz="2" w:space="0" w:color="auto"/>
              <w:left w:val="single" w:sz="2" w:space="0" w:color="auto"/>
              <w:bottom w:val="single" w:sz="2" w:space="0" w:color="auto"/>
              <w:right w:val="single" w:sz="2" w:space="0" w:color="auto"/>
            </w:tcBorders>
            <w:vAlign w:val="center"/>
          </w:tcPr>
          <w:p w14:paraId="34D009B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4.15%</w:t>
            </w:r>
          </w:p>
        </w:tc>
        <w:tc>
          <w:tcPr>
            <w:tcW w:w="1928" w:type="dxa"/>
            <w:tcBorders>
              <w:top w:val="single" w:sz="2" w:space="0" w:color="auto"/>
              <w:left w:val="single" w:sz="2" w:space="0" w:color="auto"/>
              <w:bottom w:val="single" w:sz="2" w:space="0" w:color="auto"/>
              <w:right w:val="single" w:sz="2" w:space="0" w:color="auto"/>
            </w:tcBorders>
            <w:vAlign w:val="center"/>
          </w:tcPr>
          <w:p w14:paraId="2C12263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2,388,880.19</w:t>
            </w:r>
          </w:p>
        </w:tc>
        <w:tc>
          <w:tcPr>
            <w:tcW w:w="1928" w:type="dxa"/>
            <w:tcBorders>
              <w:top w:val="single" w:sz="2" w:space="0" w:color="auto"/>
              <w:left w:val="single" w:sz="2" w:space="0" w:color="auto"/>
              <w:bottom w:val="single" w:sz="2" w:space="0" w:color="auto"/>
              <w:right w:val="single" w:sz="2" w:space="0" w:color="auto"/>
            </w:tcBorders>
            <w:vAlign w:val="center"/>
          </w:tcPr>
          <w:p w14:paraId="4F502F2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7.78%</w:t>
            </w:r>
          </w:p>
        </w:tc>
      </w:tr>
      <w:tr w:rsidR="006C011D" w:rsidRPr="005A284F" w14:paraId="747C6CFF"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51E9752"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至</w:t>
            </w: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年</w:t>
            </w:r>
          </w:p>
        </w:tc>
        <w:tc>
          <w:tcPr>
            <w:tcW w:w="1928" w:type="dxa"/>
            <w:tcBorders>
              <w:top w:val="single" w:sz="2" w:space="0" w:color="auto"/>
              <w:left w:val="single" w:sz="2" w:space="0" w:color="auto"/>
              <w:bottom w:val="single" w:sz="2" w:space="0" w:color="auto"/>
              <w:right w:val="single" w:sz="2" w:space="0" w:color="auto"/>
            </w:tcBorders>
            <w:vAlign w:val="center"/>
          </w:tcPr>
          <w:p w14:paraId="719FFA5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204,504.30</w:t>
            </w:r>
          </w:p>
        </w:tc>
        <w:tc>
          <w:tcPr>
            <w:tcW w:w="1928" w:type="dxa"/>
            <w:tcBorders>
              <w:top w:val="single" w:sz="2" w:space="0" w:color="auto"/>
              <w:left w:val="single" w:sz="2" w:space="0" w:color="auto"/>
              <w:bottom w:val="single" w:sz="2" w:space="0" w:color="auto"/>
              <w:right w:val="single" w:sz="2" w:space="0" w:color="auto"/>
            </w:tcBorders>
            <w:vAlign w:val="center"/>
          </w:tcPr>
          <w:p w14:paraId="21545F8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0.41%</w:t>
            </w:r>
          </w:p>
        </w:tc>
        <w:tc>
          <w:tcPr>
            <w:tcW w:w="1928" w:type="dxa"/>
            <w:tcBorders>
              <w:top w:val="single" w:sz="2" w:space="0" w:color="auto"/>
              <w:left w:val="single" w:sz="2" w:space="0" w:color="auto"/>
              <w:bottom w:val="single" w:sz="2" w:space="0" w:color="auto"/>
              <w:right w:val="single" w:sz="2" w:space="0" w:color="auto"/>
            </w:tcBorders>
            <w:vAlign w:val="center"/>
          </w:tcPr>
          <w:p w14:paraId="3CE1C29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557,831.07</w:t>
            </w:r>
          </w:p>
        </w:tc>
        <w:tc>
          <w:tcPr>
            <w:tcW w:w="1928" w:type="dxa"/>
            <w:tcBorders>
              <w:top w:val="single" w:sz="2" w:space="0" w:color="auto"/>
              <w:left w:val="single" w:sz="2" w:space="0" w:color="auto"/>
              <w:bottom w:val="single" w:sz="2" w:space="0" w:color="auto"/>
              <w:right w:val="single" w:sz="2" w:space="0" w:color="auto"/>
            </w:tcBorders>
            <w:vAlign w:val="center"/>
          </w:tcPr>
          <w:p w14:paraId="3BF3010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1.82%</w:t>
            </w:r>
          </w:p>
        </w:tc>
      </w:tr>
      <w:tr w:rsidR="006C011D" w:rsidRPr="005A284F" w14:paraId="644A24D6"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46E5697"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年以上</w:t>
            </w:r>
          </w:p>
        </w:tc>
        <w:tc>
          <w:tcPr>
            <w:tcW w:w="1928" w:type="dxa"/>
            <w:tcBorders>
              <w:top w:val="single" w:sz="2" w:space="0" w:color="auto"/>
              <w:left w:val="single" w:sz="2" w:space="0" w:color="auto"/>
              <w:bottom w:val="single" w:sz="2" w:space="0" w:color="auto"/>
              <w:right w:val="single" w:sz="2" w:space="0" w:color="auto"/>
            </w:tcBorders>
            <w:vAlign w:val="center"/>
          </w:tcPr>
          <w:p w14:paraId="77FCC4A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1,325,302.18</w:t>
            </w:r>
          </w:p>
        </w:tc>
        <w:tc>
          <w:tcPr>
            <w:tcW w:w="1928" w:type="dxa"/>
            <w:tcBorders>
              <w:top w:val="single" w:sz="2" w:space="0" w:color="auto"/>
              <w:left w:val="single" w:sz="2" w:space="0" w:color="auto"/>
              <w:bottom w:val="single" w:sz="2" w:space="0" w:color="auto"/>
              <w:right w:val="single" w:sz="2" w:space="0" w:color="auto"/>
            </w:tcBorders>
            <w:vAlign w:val="center"/>
          </w:tcPr>
          <w:p w14:paraId="371241A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2.64%</w:t>
            </w:r>
          </w:p>
        </w:tc>
        <w:tc>
          <w:tcPr>
            <w:tcW w:w="1928" w:type="dxa"/>
            <w:tcBorders>
              <w:top w:val="single" w:sz="2" w:space="0" w:color="auto"/>
              <w:left w:val="single" w:sz="2" w:space="0" w:color="auto"/>
              <w:bottom w:val="single" w:sz="2" w:space="0" w:color="auto"/>
              <w:right w:val="single" w:sz="2" w:space="0" w:color="auto"/>
            </w:tcBorders>
            <w:vAlign w:val="center"/>
          </w:tcPr>
          <w:p w14:paraId="526D294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1,291,951.18</w:t>
            </w:r>
          </w:p>
        </w:tc>
        <w:tc>
          <w:tcPr>
            <w:tcW w:w="1928" w:type="dxa"/>
            <w:tcBorders>
              <w:top w:val="single" w:sz="2" w:space="0" w:color="auto"/>
              <w:left w:val="single" w:sz="2" w:space="0" w:color="auto"/>
              <w:bottom w:val="single" w:sz="2" w:space="0" w:color="auto"/>
              <w:right w:val="single" w:sz="2" w:space="0" w:color="auto"/>
            </w:tcBorders>
            <w:vAlign w:val="center"/>
          </w:tcPr>
          <w:p w14:paraId="40D5C74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4.21%</w:t>
            </w:r>
          </w:p>
        </w:tc>
      </w:tr>
      <w:tr w:rsidR="006C011D" w:rsidRPr="005A284F" w14:paraId="1144CB9D"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B741B3C"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0045791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50,153,473.78</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442DB85" w14:textId="77777777" w:rsidR="006C011D" w:rsidRPr="005A284F" w:rsidRDefault="006C011D">
            <w:pPr>
              <w:rPr>
                <w:rFonts w:ascii="Times New Roman" w:eastAsia="宋体" w:hAnsi="Times New Roman" w:cs="Times New Roman"/>
              </w:rPr>
            </w:pPr>
          </w:p>
        </w:tc>
        <w:tc>
          <w:tcPr>
            <w:tcW w:w="1928" w:type="dxa"/>
            <w:tcBorders>
              <w:top w:val="single" w:sz="2" w:space="0" w:color="auto"/>
              <w:left w:val="single" w:sz="2" w:space="0" w:color="auto"/>
              <w:bottom w:val="single" w:sz="2" w:space="0" w:color="auto"/>
              <w:right w:val="single" w:sz="2" w:space="0" w:color="auto"/>
            </w:tcBorders>
            <w:vAlign w:val="center"/>
          </w:tcPr>
          <w:p w14:paraId="13EC3C5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30,698,150.97</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8D367DF" w14:textId="77777777" w:rsidR="006C011D" w:rsidRPr="005A284F" w:rsidRDefault="006C011D">
            <w:pPr>
              <w:rPr>
                <w:rFonts w:ascii="Times New Roman" w:eastAsia="宋体" w:hAnsi="Times New Roman" w:cs="Times New Roman"/>
              </w:rPr>
            </w:pPr>
          </w:p>
        </w:tc>
      </w:tr>
    </w:tbl>
    <w:p w14:paraId="17440FEB"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账龄超过</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年且金额重要的预付款项未及时结算原因的说明：</w:t>
      </w:r>
    </w:p>
    <w:p w14:paraId="29236198" w14:textId="77777777" w:rsidR="000309B5" w:rsidRPr="005A284F" w:rsidRDefault="00000000">
      <w:pPr>
        <w:pStyle w:val="a3"/>
        <w:divId w:val="1969506198"/>
        <w:rPr>
          <w:rFonts w:ascii="Times New Roman" w:hAnsi="Times New Roman" w:cs="Times New Roman"/>
          <w:sz w:val="18"/>
          <w:szCs w:val="18"/>
        </w:rPr>
      </w:pPr>
      <w:r w:rsidRPr="005A284F">
        <w:rPr>
          <w:rFonts w:ascii="Times New Roman" w:hAnsi="Times New Roman" w:cs="Times New Roman"/>
          <w:sz w:val="18"/>
          <w:szCs w:val="18"/>
        </w:rPr>
        <w:t>无</w:t>
      </w:r>
    </w:p>
    <w:p w14:paraId="4D63D909" w14:textId="7BB86977"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08" w:name="_Toc989120"/>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2</w:t>
      </w:r>
      <w:r w:rsidRPr="005A284F">
        <w:rPr>
          <w:rFonts w:ascii="Times New Roman" w:eastAsia="宋体" w:hAnsi="Times New Roman" w:cs="Times New Roman"/>
          <w:b/>
          <w:bCs/>
          <w:sz w:val="21"/>
          <w:szCs w:val="21"/>
        </w:rPr>
        <w:t>）按预付对象归集的期末余额前五名的预付款情况</w:t>
      </w:r>
      <w:bookmarkEnd w:id="208"/>
    </w:p>
    <w:p w14:paraId="0A8A1FCA" w14:textId="77777777" w:rsidR="000309B5" w:rsidRPr="005A284F" w:rsidRDefault="00000000">
      <w:pPr>
        <w:pStyle w:val="a3"/>
        <w:spacing w:before="0" w:beforeAutospacing="0" w:after="0" w:afterAutospacing="0" w:line="273" w:lineRule="auto"/>
        <w:ind w:firstLine="360"/>
        <w:textAlignment w:val="baseline"/>
        <w:divId w:val="1361855675"/>
        <w:rPr>
          <w:rFonts w:ascii="Times New Roman" w:hAnsi="Times New Roman" w:cs="Times New Roman"/>
        </w:rPr>
      </w:pPr>
      <w:r w:rsidRPr="005A284F">
        <w:rPr>
          <w:rFonts w:ascii="Times New Roman" w:hAnsi="Times New Roman" w:cs="Times New Roman"/>
          <w:color w:val="000000"/>
          <w:sz w:val="18"/>
          <w:szCs w:val="18"/>
        </w:rPr>
        <w:t>本集团按预付对象归集的年末余额前五名预付账款汇总金额为</w:t>
      </w:r>
      <w:r w:rsidRPr="005A284F">
        <w:rPr>
          <w:rFonts w:ascii="Times New Roman" w:hAnsi="Times New Roman" w:cs="Times New Roman"/>
          <w:color w:val="000000"/>
          <w:sz w:val="18"/>
          <w:szCs w:val="18"/>
        </w:rPr>
        <w:t>20,601,792.32</w:t>
      </w:r>
      <w:r w:rsidRPr="005A284F">
        <w:rPr>
          <w:rFonts w:ascii="Times New Roman" w:hAnsi="Times New Roman" w:cs="Times New Roman"/>
          <w:color w:val="000000"/>
          <w:spacing w:val="-1"/>
          <w:sz w:val="18"/>
          <w:szCs w:val="18"/>
        </w:rPr>
        <w:t>元，占预付账款年末余额合计数的比例为</w:t>
      </w:r>
      <w:r w:rsidRPr="005A284F">
        <w:rPr>
          <w:rFonts w:ascii="Times New Roman" w:hAnsi="Times New Roman" w:cs="Times New Roman"/>
          <w:color w:val="000000"/>
          <w:spacing w:val="-1"/>
          <w:sz w:val="18"/>
          <w:szCs w:val="18"/>
        </w:rPr>
        <w:t>41.08%</w:t>
      </w:r>
      <w:r w:rsidRPr="005A284F">
        <w:rPr>
          <w:rFonts w:ascii="Times New Roman" w:hAnsi="Times New Roman" w:cs="Times New Roman"/>
          <w:color w:val="000000"/>
          <w:spacing w:val="-1"/>
          <w:sz w:val="18"/>
          <w:szCs w:val="18"/>
        </w:rPr>
        <w:t>。</w:t>
      </w:r>
    </w:p>
    <w:p w14:paraId="6FF242F9"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w:t>
      </w:r>
    </w:p>
    <w:p w14:paraId="3C004C4F" w14:textId="77777777" w:rsidR="000309B5" w:rsidRPr="005A284F" w:rsidRDefault="00000000">
      <w:pPr>
        <w:pStyle w:val="a3"/>
        <w:divId w:val="1860465006"/>
        <w:rPr>
          <w:rFonts w:ascii="Times New Roman" w:hAnsi="Times New Roman" w:cs="Times New Roman"/>
          <w:sz w:val="18"/>
          <w:szCs w:val="18"/>
        </w:rPr>
      </w:pPr>
      <w:r w:rsidRPr="005A284F">
        <w:rPr>
          <w:rFonts w:ascii="Times New Roman" w:hAnsi="Times New Roman" w:cs="Times New Roman"/>
          <w:sz w:val="18"/>
          <w:szCs w:val="18"/>
        </w:rPr>
        <w:t>无</w:t>
      </w:r>
    </w:p>
    <w:p w14:paraId="727C444B" w14:textId="77777777" w:rsidR="006C011D" w:rsidRPr="005A284F" w:rsidRDefault="00000000">
      <w:pPr>
        <w:pStyle w:val="3"/>
        <w:spacing w:line="280" w:lineRule="exact"/>
        <w:jc w:val="left"/>
        <w:rPr>
          <w:rFonts w:ascii="Times New Roman" w:hAnsi="Times New Roman" w:cs="Times New Roman"/>
          <w:b/>
          <w:bCs/>
        </w:rPr>
      </w:pPr>
      <w:bookmarkStart w:id="209" w:name="_Toc989121"/>
      <w:r w:rsidRPr="005A284F">
        <w:rPr>
          <w:rFonts w:ascii="Times New Roman" w:hAnsi="Times New Roman" w:cs="Times New Roman"/>
          <w:b/>
          <w:bCs/>
        </w:rPr>
        <w:t>10</w:t>
      </w:r>
      <w:r w:rsidRPr="005A284F">
        <w:rPr>
          <w:rFonts w:ascii="Times New Roman" w:hAnsi="Times New Roman" w:cs="Times New Roman"/>
          <w:b/>
          <w:bCs/>
        </w:rPr>
        <w:t>、存货</w:t>
      </w:r>
      <w:bookmarkEnd w:id="209"/>
    </w:p>
    <w:p w14:paraId="2454EA0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公司是否需要遵守房地产行业的披露要求</w:t>
      </w:r>
    </w:p>
    <w:p w14:paraId="68A30740" w14:textId="77777777" w:rsidR="006C011D" w:rsidRPr="005A284F" w:rsidRDefault="00000000" w:rsidP="00A63401">
      <w:pPr>
        <w:spacing w:beforeLines="50" w:before="156"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p w14:paraId="515A13FE" w14:textId="6CB2EE11"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10" w:name="_Toc989122"/>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1</w:t>
      </w:r>
      <w:r w:rsidRPr="005A284F">
        <w:rPr>
          <w:rFonts w:ascii="Times New Roman" w:eastAsia="宋体" w:hAnsi="Times New Roman" w:cs="Times New Roman"/>
          <w:b/>
          <w:bCs/>
          <w:sz w:val="21"/>
          <w:szCs w:val="21"/>
        </w:rPr>
        <w:t>）存货分类</w:t>
      </w:r>
      <w:bookmarkEnd w:id="210"/>
    </w:p>
    <w:p w14:paraId="07BDC6C7"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923"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580"/>
        <w:gridCol w:w="1417"/>
        <w:gridCol w:w="1418"/>
      </w:tblGrid>
      <w:tr w:rsidR="006C011D" w:rsidRPr="005A284F" w14:paraId="28DA9974" w14:textId="77777777" w:rsidTr="00D31566">
        <w:trPr>
          <w:trHeight w:val="240"/>
          <w:jc w:val="center"/>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67F690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30EE10B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4415"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3804BD3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r>
      <w:tr w:rsidR="006C011D" w:rsidRPr="005A284F" w14:paraId="5B77B19A" w14:textId="77777777" w:rsidTr="00D31566">
        <w:trPr>
          <w:trHeight w:val="240"/>
          <w:jc w:val="center"/>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53DC7C3" w14:textId="77777777" w:rsidR="006C011D" w:rsidRPr="005A284F" w:rsidRDefault="006C011D">
            <w:pPr>
              <w:rPr>
                <w:rFonts w:ascii="Times New Roman" w:eastAsia="宋体" w:hAnsi="Times New Roman" w:cs="Times New Roman"/>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E256EC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D17106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存货跌价准备或合同履约成本减值准备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8DCDF9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账面价值</w:t>
            </w:r>
          </w:p>
        </w:tc>
        <w:tc>
          <w:tcPr>
            <w:tcW w:w="1580" w:type="dxa"/>
            <w:tcBorders>
              <w:top w:val="single" w:sz="2" w:space="0" w:color="auto"/>
              <w:left w:val="single" w:sz="2" w:space="0" w:color="auto"/>
              <w:bottom w:val="single" w:sz="2" w:space="0" w:color="auto"/>
              <w:right w:val="single" w:sz="2" w:space="0" w:color="auto"/>
            </w:tcBorders>
            <w:shd w:val="clear" w:color="auto" w:fill="D3D3D3"/>
            <w:vAlign w:val="center"/>
          </w:tcPr>
          <w:p w14:paraId="1C796E3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账面余额</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79869BE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存货跌价准备或合同履约成本减值准备</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3C170DC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账面价值</w:t>
            </w:r>
          </w:p>
        </w:tc>
      </w:tr>
      <w:tr w:rsidR="006C011D" w:rsidRPr="005A284F" w14:paraId="4B724B36" w14:textId="77777777" w:rsidTr="00D31566">
        <w:trPr>
          <w:trHeight w:val="240"/>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9E550E4"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原材料</w:t>
            </w:r>
          </w:p>
        </w:tc>
        <w:tc>
          <w:tcPr>
            <w:tcW w:w="1377" w:type="dxa"/>
            <w:tcBorders>
              <w:top w:val="single" w:sz="2" w:space="0" w:color="auto"/>
              <w:left w:val="single" w:sz="2" w:space="0" w:color="auto"/>
              <w:bottom w:val="single" w:sz="2" w:space="0" w:color="auto"/>
              <w:right w:val="single" w:sz="2" w:space="0" w:color="auto"/>
            </w:tcBorders>
            <w:vAlign w:val="center"/>
          </w:tcPr>
          <w:p w14:paraId="0D5CFC8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173,185,808.56</w:t>
            </w:r>
          </w:p>
        </w:tc>
        <w:tc>
          <w:tcPr>
            <w:tcW w:w="1377" w:type="dxa"/>
            <w:tcBorders>
              <w:top w:val="single" w:sz="2" w:space="0" w:color="auto"/>
              <w:left w:val="single" w:sz="2" w:space="0" w:color="auto"/>
              <w:bottom w:val="single" w:sz="2" w:space="0" w:color="auto"/>
              <w:right w:val="single" w:sz="2" w:space="0" w:color="auto"/>
            </w:tcBorders>
            <w:vAlign w:val="center"/>
          </w:tcPr>
          <w:p w14:paraId="43511F7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1,326,519.37</w:t>
            </w:r>
          </w:p>
        </w:tc>
        <w:tc>
          <w:tcPr>
            <w:tcW w:w="1377" w:type="dxa"/>
            <w:tcBorders>
              <w:top w:val="single" w:sz="2" w:space="0" w:color="auto"/>
              <w:left w:val="single" w:sz="2" w:space="0" w:color="auto"/>
              <w:bottom w:val="single" w:sz="2" w:space="0" w:color="auto"/>
              <w:right w:val="single" w:sz="2" w:space="0" w:color="auto"/>
            </w:tcBorders>
            <w:vAlign w:val="center"/>
          </w:tcPr>
          <w:p w14:paraId="1A2FD55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171,859,289.19</w:t>
            </w:r>
          </w:p>
        </w:tc>
        <w:tc>
          <w:tcPr>
            <w:tcW w:w="1580" w:type="dxa"/>
            <w:tcBorders>
              <w:top w:val="single" w:sz="2" w:space="0" w:color="auto"/>
              <w:left w:val="single" w:sz="2" w:space="0" w:color="auto"/>
              <w:bottom w:val="single" w:sz="2" w:space="0" w:color="auto"/>
              <w:right w:val="single" w:sz="2" w:space="0" w:color="auto"/>
            </w:tcBorders>
            <w:vAlign w:val="center"/>
          </w:tcPr>
          <w:p w14:paraId="381859A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127,502,328.69</w:t>
            </w:r>
          </w:p>
        </w:tc>
        <w:tc>
          <w:tcPr>
            <w:tcW w:w="1417" w:type="dxa"/>
            <w:tcBorders>
              <w:top w:val="single" w:sz="2" w:space="0" w:color="auto"/>
              <w:left w:val="single" w:sz="2" w:space="0" w:color="auto"/>
              <w:bottom w:val="single" w:sz="2" w:space="0" w:color="auto"/>
              <w:right w:val="single" w:sz="2" w:space="0" w:color="auto"/>
            </w:tcBorders>
            <w:vAlign w:val="center"/>
          </w:tcPr>
          <w:p w14:paraId="1934167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1,952,932.76</w:t>
            </w:r>
          </w:p>
        </w:tc>
        <w:tc>
          <w:tcPr>
            <w:tcW w:w="1418" w:type="dxa"/>
            <w:tcBorders>
              <w:top w:val="single" w:sz="2" w:space="0" w:color="auto"/>
              <w:left w:val="single" w:sz="2" w:space="0" w:color="auto"/>
              <w:bottom w:val="single" w:sz="2" w:space="0" w:color="auto"/>
              <w:right w:val="single" w:sz="2" w:space="0" w:color="auto"/>
            </w:tcBorders>
            <w:vAlign w:val="center"/>
          </w:tcPr>
          <w:p w14:paraId="7E4F837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125,549,395.93</w:t>
            </w:r>
          </w:p>
        </w:tc>
      </w:tr>
      <w:tr w:rsidR="006C011D" w:rsidRPr="005A284F" w14:paraId="6BD9E559" w14:textId="77777777" w:rsidTr="00D31566">
        <w:trPr>
          <w:trHeight w:val="240"/>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ABC2344"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在产品</w:t>
            </w:r>
          </w:p>
        </w:tc>
        <w:tc>
          <w:tcPr>
            <w:tcW w:w="1377" w:type="dxa"/>
            <w:tcBorders>
              <w:top w:val="single" w:sz="2" w:space="0" w:color="auto"/>
              <w:left w:val="single" w:sz="2" w:space="0" w:color="auto"/>
              <w:bottom w:val="single" w:sz="2" w:space="0" w:color="auto"/>
              <w:right w:val="single" w:sz="2" w:space="0" w:color="auto"/>
            </w:tcBorders>
            <w:vAlign w:val="center"/>
          </w:tcPr>
          <w:p w14:paraId="1EA1E0F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48,111,248.49</w:t>
            </w:r>
          </w:p>
        </w:tc>
        <w:tc>
          <w:tcPr>
            <w:tcW w:w="1377" w:type="dxa"/>
            <w:tcBorders>
              <w:top w:val="single" w:sz="2" w:space="0" w:color="auto"/>
              <w:left w:val="single" w:sz="2" w:space="0" w:color="auto"/>
              <w:bottom w:val="single" w:sz="2" w:space="0" w:color="auto"/>
              <w:right w:val="single" w:sz="2" w:space="0" w:color="auto"/>
            </w:tcBorders>
            <w:vAlign w:val="center"/>
          </w:tcPr>
          <w:p w14:paraId="433F2D2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9B331F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48,111,248.49</w:t>
            </w:r>
          </w:p>
        </w:tc>
        <w:tc>
          <w:tcPr>
            <w:tcW w:w="1580" w:type="dxa"/>
            <w:tcBorders>
              <w:top w:val="single" w:sz="2" w:space="0" w:color="auto"/>
              <w:left w:val="single" w:sz="2" w:space="0" w:color="auto"/>
              <w:bottom w:val="single" w:sz="2" w:space="0" w:color="auto"/>
              <w:right w:val="single" w:sz="2" w:space="0" w:color="auto"/>
            </w:tcBorders>
            <w:vAlign w:val="center"/>
          </w:tcPr>
          <w:p w14:paraId="1A8FB40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72,088,777.90</w:t>
            </w:r>
          </w:p>
        </w:tc>
        <w:tc>
          <w:tcPr>
            <w:tcW w:w="1417" w:type="dxa"/>
            <w:tcBorders>
              <w:top w:val="single" w:sz="2" w:space="0" w:color="auto"/>
              <w:left w:val="single" w:sz="2" w:space="0" w:color="auto"/>
              <w:bottom w:val="single" w:sz="2" w:space="0" w:color="auto"/>
              <w:right w:val="single" w:sz="2" w:space="0" w:color="auto"/>
            </w:tcBorders>
            <w:vAlign w:val="center"/>
          </w:tcPr>
          <w:p w14:paraId="15FB5E3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6759673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72,088,777.90</w:t>
            </w:r>
          </w:p>
        </w:tc>
      </w:tr>
      <w:tr w:rsidR="006C011D" w:rsidRPr="005A284F" w14:paraId="54CAB312" w14:textId="77777777" w:rsidTr="00D31566">
        <w:trPr>
          <w:trHeight w:val="240"/>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14079E6"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库存商品</w:t>
            </w:r>
          </w:p>
        </w:tc>
        <w:tc>
          <w:tcPr>
            <w:tcW w:w="1377" w:type="dxa"/>
            <w:tcBorders>
              <w:top w:val="single" w:sz="2" w:space="0" w:color="auto"/>
              <w:left w:val="single" w:sz="2" w:space="0" w:color="auto"/>
              <w:bottom w:val="single" w:sz="2" w:space="0" w:color="auto"/>
              <w:right w:val="single" w:sz="2" w:space="0" w:color="auto"/>
            </w:tcBorders>
            <w:vAlign w:val="center"/>
          </w:tcPr>
          <w:p w14:paraId="41913C0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571,577,099.94</w:t>
            </w:r>
          </w:p>
        </w:tc>
        <w:tc>
          <w:tcPr>
            <w:tcW w:w="1377" w:type="dxa"/>
            <w:tcBorders>
              <w:top w:val="single" w:sz="2" w:space="0" w:color="auto"/>
              <w:left w:val="single" w:sz="2" w:space="0" w:color="auto"/>
              <w:bottom w:val="single" w:sz="2" w:space="0" w:color="auto"/>
              <w:right w:val="single" w:sz="2" w:space="0" w:color="auto"/>
            </w:tcBorders>
            <w:vAlign w:val="center"/>
          </w:tcPr>
          <w:p w14:paraId="7BB9B43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88,695,431.77</w:t>
            </w:r>
          </w:p>
        </w:tc>
        <w:tc>
          <w:tcPr>
            <w:tcW w:w="1377" w:type="dxa"/>
            <w:tcBorders>
              <w:top w:val="single" w:sz="2" w:space="0" w:color="auto"/>
              <w:left w:val="single" w:sz="2" w:space="0" w:color="auto"/>
              <w:bottom w:val="single" w:sz="2" w:space="0" w:color="auto"/>
              <w:right w:val="single" w:sz="2" w:space="0" w:color="auto"/>
            </w:tcBorders>
            <w:vAlign w:val="center"/>
          </w:tcPr>
          <w:p w14:paraId="1E434E4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482,881,668.17</w:t>
            </w:r>
          </w:p>
        </w:tc>
        <w:tc>
          <w:tcPr>
            <w:tcW w:w="1580" w:type="dxa"/>
            <w:tcBorders>
              <w:top w:val="single" w:sz="2" w:space="0" w:color="auto"/>
              <w:left w:val="single" w:sz="2" w:space="0" w:color="auto"/>
              <w:bottom w:val="single" w:sz="2" w:space="0" w:color="auto"/>
              <w:right w:val="single" w:sz="2" w:space="0" w:color="auto"/>
            </w:tcBorders>
            <w:vAlign w:val="center"/>
          </w:tcPr>
          <w:p w14:paraId="171E47A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691,051,991.27</w:t>
            </w:r>
          </w:p>
        </w:tc>
        <w:tc>
          <w:tcPr>
            <w:tcW w:w="1417" w:type="dxa"/>
            <w:tcBorders>
              <w:top w:val="single" w:sz="2" w:space="0" w:color="auto"/>
              <w:left w:val="single" w:sz="2" w:space="0" w:color="auto"/>
              <w:bottom w:val="single" w:sz="2" w:space="0" w:color="auto"/>
              <w:right w:val="single" w:sz="2" w:space="0" w:color="auto"/>
            </w:tcBorders>
            <w:vAlign w:val="center"/>
          </w:tcPr>
          <w:p w14:paraId="7FB0311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125,924,920.66</w:t>
            </w:r>
          </w:p>
        </w:tc>
        <w:tc>
          <w:tcPr>
            <w:tcW w:w="1418" w:type="dxa"/>
            <w:tcBorders>
              <w:top w:val="single" w:sz="2" w:space="0" w:color="auto"/>
              <w:left w:val="single" w:sz="2" w:space="0" w:color="auto"/>
              <w:bottom w:val="single" w:sz="2" w:space="0" w:color="auto"/>
              <w:right w:val="single" w:sz="2" w:space="0" w:color="auto"/>
            </w:tcBorders>
            <w:vAlign w:val="center"/>
          </w:tcPr>
          <w:p w14:paraId="2558A55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565,127,070.61</w:t>
            </w:r>
          </w:p>
        </w:tc>
      </w:tr>
      <w:tr w:rsidR="006C011D" w:rsidRPr="005A284F" w14:paraId="2CA9BC4B" w14:textId="77777777" w:rsidTr="00D31566">
        <w:trPr>
          <w:trHeight w:val="240"/>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F449E8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消耗性生物资产</w:t>
            </w:r>
          </w:p>
        </w:tc>
        <w:tc>
          <w:tcPr>
            <w:tcW w:w="1377" w:type="dxa"/>
            <w:tcBorders>
              <w:top w:val="single" w:sz="2" w:space="0" w:color="auto"/>
              <w:left w:val="single" w:sz="2" w:space="0" w:color="auto"/>
              <w:bottom w:val="single" w:sz="2" w:space="0" w:color="auto"/>
              <w:right w:val="single" w:sz="2" w:space="0" w:color="auto"/>
            </w:tcBorders>
            <w:vAlign w:val="center"/>
          </w:tcPr>
          <w:p w14:paraId="06830EA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198,854,052.50</w:t>
            </w:r>
          </w:p>
        </w:tc>
        <w:tc>
          <w:tcPr>
            <w:tcW w:w="1377" w:type="dxa"/>
            <w:tcBorders>
              <w:top w:val="single" w:sz="2" w:space="0" w:color="auto"/>
              <w:left w:val="single" w:sz="2" w:space="0" w:color="auto"/>
              <w:bottom w:val="single" w:sz="2" w:space="0" w:color="auto"/>
              <w:right w:val="single" w:sz="2" w:space="0" w:color="auto"/>
            </w:tcBorders>
            <w:vAlign w:val="center"/>
          </w:tcPr>
          <w:p w14:paraId="6CD582D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608729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198,854,052.50</w:t>
            </w:r>
          </w:p>
        </w:tc>
        <w:tc>
          <w:tcPr>
            <w:tcW w:w="1580" w:type="dxa"/>
            <w:tcBorders>
              <w:top w:val="single" w:sz="2" w:space="0" w:color="auto"/>
              <w:left w:val="single" w:sz="2" w:space="0" w:color="auto"/>
              <w:bottom w:val="single" w:sz="2" w:space="0" w:color="auto"/>
              <w:right w:val="single" w:sz="2" w:space="0" w:color="auto"/>
            </w:tcBorders>
            <w:vAlign w:val="center"/>
          </w:tcPr>
          <w:p w14:paraId="1D206BE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235,667,531.35</w:t>
            </w:r>
          </w:p>
        </w:tc>
        <w:tc>
          <w:tcPr>
            <w:tcW w:w="1417" w:type="dxa"/>
            <w:tcBorders>
              <w:top w:val="single" w:sz="2" w:space="0" w:color="auto"/>
              <w:left w:val="single" w:sz="2" w:space="0" w:color="auto"/>
              <w:bottom w:val="single" w:sz="2" w:space="0" w:color="auto"/>
              <w:right w:val="single" w:sz="2" w:space="0" w:color="auto"/>
            </w:tcBorders>
            <w:vAlign w:val="center"/>
          </w:tcPr>
          <w:p w14:paraId="7FD8A2C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4,074,767.98</w:t>
            </w:r>
          </w:p>
        </w:tc>
        <w:tc>
          <w:tcPr>
            <w:tcW w:w="1418" w:type="dxa"/>
            <w:tcBorders>
              <w:top w:val="single" w:sz="2" w:space="0" w:color="auto"/>
              <w:left w:val="single" w:sz="2" w:space="0" w:color="auto"/>
              <w:bottom w:val="single" w:sz="2" w:space="0" w:color="auto"/>
              <w:right w:val="single" w:sz="2" w:space="0" w:color="auto"/>
            </w:tcBorders>
            <w:vAlign w:val="center"/>
          </w:tcPr>
          <w:p w14:paraId="34EABEE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231,592,763.37</w:t>
            </w:r>
          </w:p>
        </w:tc>
      </w:tr>
      <w:tr w:rsidR="006C011D" w:rsidRPr="005A284F" w14:paraId="5CDEB14F" w14:textId="77777777" w:rsidTr="00D31566">
        <w:trPr>
          <w:trHeight w:val="240"/>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6A95B12"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2A17828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991,728,209.49</w:t>
            </w:r>
          </w:p>
        </w:tc>
        <w:tc>
          <w:tcPr>
            <w:tcW w:w="1377" w:type="dxa"/>
            <w:tcBorders>
              <w:top w:val="single" w:sz="2" w:space="0" w:color="auto"/>
              <w:left w:val="single" w:sz="2" w:space="0" w:color="auto"/>
              <w:bottom w:val="single" w:sz="2" w:space="0" w:color="auto"/>
              <w:right w:val="single" w:sz="2" w:space="0" w:color="auto"/>
            </w:tcBorders>
            <w:vAlign w:val="center"/>
          </w:tcPr>
          <w:p w14:paraId="62F654D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90,021,951.14</w:t>
            </w:r>
          </w:p>
        </w:tc>
        <w:tc>
          <w:tcPr>
            <w:tcW w:w="1377" w:type="dxa"/>
            <w:tcBorders>
              <w:top w:val="single" w:sz="2" w:space="0" w:color="auto"/>
              <w:left w:val="single" w:sz="2" w:space="0" w:color="auto"/>
              <w:bottom w:val="single" w:sz="2" w:space="0" w:color="auto"/>
              <w:right w:val="single" w:sz="2" w:space="0" w:color="auto"/>
            </w:tcBorders>
            <w:vAlign w:val="center"/>
          </w:tcPr>
          <w:p w14:paraId="1F21D55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901,706,258.35</w:t>
            </w:r>
          </w:p>
        </w:tc>
        <w:tc>
          <w:tcPr>
            <w:tcW w:w="1580" w:type="dxa"/>
            <w:tcBorders>
              <w:top w:val="single" w:sz="2" w:space="0" w:color="auto"/>
              <w:left w:val="single" w:sz="2" w:space="0" w:color="auto"/>
              <w:bottom w:val="single" w:sz="2" w:space="0" w:color="auto"/>
              <w:right w:val="single" w:sz="2" w:space="0" w:color="auto"/>
            </w:tcBorders>
            <w:vAlign w:val="center"/>
          </w:tcPr>
          <w:p w14:paraId="7002092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1,126,310,629.21</w:t>
            </w:r>
          </w:p>
        </w:tc>
        <w:tc>
          <w:tcPr>
            <w:tcW w:w="1417" w:type="dxa"/>
            <w:tcBorders>
              <w:top w:val="single" w:sz="2" w:space="0" w:color="auto"/>
              <w:left w:val="single" w:sz="2" w:space="0" w:color="auto"/>
              <w:bottom w:val="single" w:sz="2" w:space="0" w:color="auto"/>
              <w:right w:val="single" w:sz="2" w:space="0" w:color="auto"/>
            </w:tcBorders>
            <w:vAlign w:val="center"/>
          </w:tcPr>
          <w:p w14:paraId="1926E16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131,952,621.40</w:t>
            </w:r>
          </w:p>
        </w:tc>
        <w:tc>
          <w:tcPr>
            <w:tcW w:w="1418" w:type="dxa"/>
            <w:tcBorders>
              <w:top w:val="single" w:sz="2" w:space="0" w:color="auto"/>
              <w:left w:val="single" w:sz="2" w:space="0" w:color="auto"/>
              <w:bottom w:val="single" w:sz="2" w:space="0" w:color="auto"/>
              <w:right w:val="single" w:sz="2" w:space="0" w:color="auto"/>
            </w:tcBorders>
            <w:vAlign w:val="center"/>
          </w:tcPr>
          <w:p w14:paraId="03A144F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994,358,007.81</w:t>
            </w:r>
          </w:p>
        </w:tc>
      </w:tr>
    </w:tbl>
    <w:p w14:paraId="664502C8"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公司需遵守《深圳证券交易所上市公司自律监管指引第</w:t>
      </w: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号</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行业信息披露》中的</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食品及酒制造相关业务</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的披露要求</w:t>
      </w:r>
    </w:p>
    <w:p w14:paraId="00889FC2" w14:textId="77777777" w:rsidR="000309B5" w:rsidRPr="005A284F" w:rsidRDefault="00000000">
      <w:pPr>
        <w:pStyle w:val="a3"/>
        <w:divId w:val="1127044458"/>
        <w:rPr>
          <w:rFonts w:ascii="Times New Roman" w:hAnsi="Times New Roman" w:cs="Times New Roman"/>
          <w:sz w:val="18"/>
          <w:szCs w:val="18"/>
        </w:rPr>
      </w:pPr>
      <w:r w:rsidRPr="005A284F">
        <w:rPr>
          <w:rFonts w:ascii="Times New Roman" w:hAnsi="Times New Roman" w:cs="Times New Roman"/>
          <w:sz w:val="18"/>
          <w:szCs w:val="18"/>
        </w:rPr>
        <w:t>无</w:t>
      </w:r>
    </w:p>
    <w:p w14:paraId="14657493" w14:textId="7D351A37"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11" w:name="_Toc989123"/>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2</w:t>
      </w:r>
      <w:r w:rsidRPr="005A284F">
        <w:rPr>
          <w:rFonts w:ascii="Times New Roman" w:eastAsia="宋体" w:hAnsi="Times New Roman" w:cs="Times New Roman"/>
          <w:b/>
          <w:bCs/>
          <w:sz w:val="21"/>
          <w:szCs w:val="21"/>
        </w:rPr>
        <w:t>）确认为存货的数据资源</w:t>
      </w:r>
      <w:bookmarkEnd w:id="211"/>
    </w:p>
    <w:p w14:paraId="422AFCAE" w14:textId="793BBCFE" w:rsidR="006C011D" w:rsidRPr="005A284F" w:rsidRDefault="00D31566">
      <w:pPr>
        <w:rPr>
          <w:rFonts w:ascii="Times New Roman" w:eastAsia="宋体" w:hAnsi="Times New Roman" w:cs="Times New Roman"/>
        </w:rPr>
      </w:pPr>
      <w:r>
        <w:rPr>
          <w:rFonts w:ascii="Times New Roman" w:eastAsia="宋体" w:hAnsi="Times New Roman" w:cs="Times New Roman" w:hint="eastAsia"/>
          <w:sz w:val="18"/>
          <w:szCs w:val="18"/>
        </w:rPr>
        <w:t>无</w:t>
      </w:r>
    </w:p>
    <w:p w14:paraId="062C6DE4" w14:textId="03CE56C9" w:rsidR="006C011D" w:rsidRDefault="00000000">
      <w:pPr>
        <w:keepNext/>
        <w:keepLines/>
        <w:spacing w:before="300" w:after="300" w:line="280" w:lineRule="exact"/>
        <w:outlineLvl w:val="3"/>
        <w:rPr>
          <w:rFonts w:ascii="Times New Roman" w:eastAsia="宋体" w:hAnsi="Times New Roman" w:cs="Times New Roman"/>
          <w:b/>
          <w:bCs/>
          <w:sz w:val="21"/>
          <w:szCs w:val="21"/>
        </w:rPr>
      </w:pPr>
      <w:bookmarkStart w:id="212" w:name="_Toc989124"/>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3</w:t>
      </w:r>
      <w:r w:rsidRPr="005A284F">
        <w:rPr>
          <w:rFonts w:ascii="Times New Roman" w:eastAsia="宋体" w:hAnsi="Times New Roman" w:cs="Times New Roman"/>
          <w:b/>
          <w:bCs/>
          <w:sz w:val="21"/>
          <w:szCs w:val="21"/>
        </w:rPr>
        <w:t>）存货跌价准备和合同履约成本减值准备</w:t>
      </w:r>
      <w:bookmarkEnd w:id="212"/>
    </w:p>
    <w:p w14:paraId="209A522B" w14:textId="77777777" w:rsidR="00EE3DD0" w:rsidRDefault="00EE3DD0">
      <w:pPr>
        <w:spacing w:before="40" w:after="40" w:line="240" w:lineRule="exact"/>
        <w:jc w:val="right"/>
        <w:rPr>
          <w:rFonts w:ascii="Times New Roman" w:eastAsia="宋体" w:hAnsi="Times New Roman" w:cs="Times New Roman"/>
          <w:sz w:val="18"/>
          <w:szCs w:val="18"/>
        </w:rPr>
      </w:pPr>
    </w:p>
    <w:p w14:paraId="71806CA9" w14:textId="1C4BBCE5"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6C011D" w:rsidRPr="005A284F" w14:paraId="005178EF"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6D58F5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9EA12A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3DA035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本期增加金额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DBEA0F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本期减少金额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532938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r>
      <w:tr w:rsidR="006C011D" w:rsidRPr="005A284F" w14:paraId="13E39681"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0991DB9" w14:textId="77777777" w:rsidR="006C011D" w:rsidRPr="005A284F" w:rsidRDefault="006C011D">
            <w:pPr>
              <w:rPr>
                <w:rFonts w:ascii="Times New Roman" w:eastAsia="宋体" w:hAnsi="Times New Roman" w:cs="Times New Roman"/>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D162531" w14:textId="77777777" w:rsidR="006C011D" w:rsidRPr="005A284F" w:rsidRDefault="006C011D">
            <w:pPr>
              <w:rPr>
                <w:rFonts w:ascii="Times New Roman" w:eastAsia="宋体" w:hAnsi="Times New Roman" w:cs="Times New Roman"/>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59D88A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78FCC2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296CBA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转回或转销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E0FB25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B388F71" w14:textId="77777777" w:rsidR="006C011D" w:rsidRPr="005A284F" w:rsidRDefault="006C011D">
            <w:pPr>
              <w:rPr>
                <w:rFonts w:ascii="Times New Roman" w:eastAsia="宋体" w:hAnsi="Times New Roman" w:cs="Times New Roman"/>
              </w:rPr>
            </w:pPr>
          </w:p>
        </w:tc>
      </w:tr>
      <w:tr w:rsidR="006C011D" w:rsidRPr="005A284F" w14:paraId="08022172"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D118C09"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原材料</w:t>
            </w:r>
          </w:p>
        </w:tc>
        <w:tc>
          <w:tcPr>
            <w:tcW w:w="1377" w:type="dxa"/>
            <w:tcBorders>
              <w:top w:val="single" w:sz="2" w:space="0" w:color="auto"/>
              <w:left w:val="single" w:sz="2" w:space="0" w:color="auto"/>
              <w:bottom w:val="single" w:sz="2" w:space="0" w:color="auto"/>
              <w:right w:val="single" w:sz="2" w:space="0" w:color="auto"/>
            </w:tcBorders>
            <w:vAlign w:val="center"/>
          </w:tcPr>
          <w:p w14:paraId="4535FF7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1,952,932.76</w:t>
            </w:r>
          </w:p>
        </w:tc>
        <w:tc>
          <w:tcPr>
            <w:tcW w:w="1377" w:type="dxa"/>
            <w:tcBorders>
              <w:top w:val="single" w:sz="2" w:space="0" w:color="auto"/>
              <w:left w:val="single" w:sz="2" w:space="0" w:color="auto"/>
              <w:bottom w:val="single" w:sz="2" w:space="0" w:color="auto"/>
              <w:right w:val="single" w:sz="2" w:space="0" w:color="auto"/>
            </w:tcBorders>
            <w:vAlign w:val="center"/>
          </w:tcPr>
          <w:p w14:paraId="4395B1D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0D5A2B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ECFECC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626,413.39</w:t>
            </w:r>
          </w:p>
        </w:tc>
        <w:tc>
          <w:tcPr>
            <w:tcW w:w="1377" w:type="dxa"/>
            <w:tcBorders>
              <w:top w:val="single" w:sz="2" w:space="0" w:color="auto"/>
              <w:left w:val="single" w:sz="2" w:space="0" w:color="auto"/>
              <w:bottom w:val="single" w:sz="2" w:space="0" w:color="auto"/>
              <w:right w:val="single" w:sz="2" w:space="0" w:color="auto"/>
            </w:tcBorders>
            <w:vAlign w:val="center"/>
          </w:tcPr>
          <w:p w14:paraId="09BB147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90BE2A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1,326,519.37</w:t>
            </w:r>
          </w:p>
        </w:tc>
      </w:tr>
      <w:tr w:rsidR="006C011D" w:rsidRPr="005A284F" w14:paraId="1D3583E0"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4C9B58E"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库存商品</w:t>
            </w:r>
          </w:p>
        </w:tc>
        <w:tc>
          <w:tcPr>
            <w:tcW w:w="1377" w:type="dxa"/>
            <w:tcBorders>
              <w:top w:val="single" w:sz="2" w:space="0" w:color="auto"/>
              <w:left w:val="single" w:sz="2" w:space="0" w:color="auto"/>
              <w:bottom w:val="single" w:sz="2" w:space="0" w:color="auto"/>
              <w:right w:val="single" w:sz="2" w:space="0" w:color="auto"/>
            </w:tcBorders>
            <w:vAlign w:val="center"/>
          </w:tcPr>
          <w:p w14:paraId="5946E9B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125,924,920.66</w:t>
            </w:r>
          </w:p>
        </w:tc>
        <w:tc>
          <w:tcPr>
            <w:tcW w:w="1377" w:type="dxa"/>
            <w:tcBorders>
              <w:top w:val="single" w:sz="2" w:space="0" w:color="auto"/>
              <w:left w:val="single" w:sz="2" w:space="0" w:color="auto"/>
              <w:bottom w:val="single" w:sz="2" w:space="0" w:color="auto"/>
              <w:right w:val="single" w:sz="2" w:space="0" w:color="auto"/>
            </w:tcBorders>
            <w:vAlign w:val="center"/>
          </w:tcPr>
          <w:p w14:paraId="108014B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1,986,143.43</w:t>
            </w:r>
          </w:p>
        </w:tc>
        <w:tc>
          <w:tcPr>
            <w:tcW w:w="1377" w:type="dxa"/>
            <w:tcBorders>
              <w:top w:val="single" w:sz="2" w:space="0" w:color="auto"/>
              <w:left w:val="single" w:sz="2" w:space="0" w:color="auto"/>
              <w:bottom w:val="single" w:sz="2" w:space="0" w:color="auto"/>
              <w:right w:val="single" w:sz="2" w:space="0" w:color="auto"/>
            </w:tcBorders>
            <w:vAlign w:val="center"/>
          </w:tcPr>
          <w:p w14:paraId="1CA7ECD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136336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39,215,632.32</w:t>
            </w:r>
          </w:p>
        </w:tc>
        <w:tc>
          <w:tcPr>
            <w:tcW w:w="1377" w:type="dxa"/>
            <w:tcBorders>
              <w:top w:val="single" w:sz="2" w:space="0" w:color="auto"/>
              <w:left w:val="single" w:sz="2" w:space="0" w:color="auto"/>
              <w:bottom w:val="single" w:sz="2" w:space="0" w:color="auto"/>
              <w:right w:val="single" w:sz="2" w:space="0" w:color="auto"/>
            </w:tcBorders>
            <w:vAlign w:val="center"/>
          </w:tcPr>
          <w:p w14:paraId="475E9F7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418F9D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88,695,431.77</w:t>
            </w:r>
          </w:p>
        </w:tc>
      </w:tr>
      <w:tr w:rsidR="006C011D" w:rsidRPr="005A284F" w14:paraId="36186ECD"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910E8E4"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消耗性生物资产</w:t>
            </w:r>
          </w:p>
        </w:tc>
        <w:tc>
          <w:tcPr>
            <w:tcW w:w="1377" w:type="dxa"/>
            <w:tcBorders>
              <w:top w:val="single" w:sz="2" w:space="0" w:color="auto"/>
              <w:left w:val="single" w:sz="2" w:space="0" w:color="auto"/>
              <w:bottom w:val="single" w:sz="2" w:space="0" w:color="auto"/>
              <w:right w:val="single" w:sz="2" w:space="0" w:color="auto"/>
            </w:tcBorders>
            <w:vAlign w:val="center"/>
          </w:tcPr>
          <w:p w14:paraId="08C3355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4,074,767.98</w:t>
            </w:r>
          </w:p>
        </w:tc>
        <w:tc>
          <w:tcPr>
            <w:tcW w:w="1377" w:type="dxa"/>
            <w:tcBorders>
              <w:top w:val="single" w:sz="2" w:space="0" w:color="auto"/>
              <w:left w:val="single" w:sz="2" w:space="0" w:color="auto"/>
              <w:bottom w:val="single" w:sz="2" w:space="0" w:color="auto"/>
              <w:right w:val="single" w:sz="2" w:space="0" w:color="auto"/>
            </w:tcBorders>
            <w:vAlign w:val="center"/>
          </w:tcPr>
          <w:p w14:paraId="43E3160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9D05A2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91EE3E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4,074,767.98</w:t>
            </w:r>
          </w:p>
        </w:tc>
        <w:tc>
          <w:tcPr>
            <w:tcW w:w="1377" w:type="dxa"/>
            <w:tcBorders>
              <w:top w:val="single" w:sz="2" w:space="0" w:color="auto"/>
              <w:left w:val="single" w:sz="2" w:space="0" w:color="auto"/>
              <w:bottom w:val="single" w:sz="2" w:space="0" w:color="auto"/>
              <w:right w:val="single" w:sz="2" w:space="0" w:color="auto"/>
            </w:tcBorders>
            <w:vAlign w:val="center"/>
          </w:tcPr>
          <w:p w14:paraId="41190F9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9791B47"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551FF0CD"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25F79A0"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03C9D01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131,952,621.40</w:t>
            </w:r>
          </w:p>
        </w:tc>
        <w:tc>
          <w:tcPr>
            <w:tcW w:w="1377" w:type="dxa"/>
            <w:tcBorders>
              <w:top w:val="single" w:sz="2" w:space="0" w:color="auto"/>
              <w:left w:val="single" w:sz="2" w:space="0" w:color="auto"/>
              <w:bottom w:val="single" w:sz="2" w:space="0" w:color="auto"/>
              <w:right w:val="single" w:sz="2" w:space="0" w:color="auto"/>
            </w:tcBorders>
            <w:vAlign w:val="center"/>
          </w:tcPr>
          <w:p w14:paraId="7040911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1,986,143.43</w:t>
            </w:r>
          </w:p>
        </w:tc>
        <w:tc>
          <w:tcPr>
            <w:tcW w:w="1377" w:type="dxa"/>
            <w:tcBorders>
              <w:top w:val="single" w:sz="2" w:space="0" w:color="auto"/>
              <w:left w:val="single" w:sz="2" w:space="0" w:color="auto"/>
              <w:bottom w:val="single" w:sz="2" w:space="0" w:color="auto"/>
              <w:right w:val="single" w:sz="2" w:space="0" w:color="auto"/>
            </w:tcBorders>
            <w:vAlign w:val="center"/>
          </w:tcPr>
          <w:p w14:paraId="780BFD6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F05E3A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43,916,813.69</w:t>
            </w:r>
          </w:p>
        </w:tc>
        <w:tc>
          <w:tcPr>
            <w:tcW w:w="1377" w:type="dxa"/>
            <w:tcBorders>
              <w:top w:val="single" w:sz="2" w:space="0" w:color="auto"/>
              <w:left w:val="single" w:sz="2" w:space="0" w:color="auto"/>
              <w:bottom w:val="single" w:sz="2" w:space="0" w:color="auto"/>
              <w:right w:val="single" w:sz="2" w:space="0" w:color="auto"/>
            </w:tcBorders>
            <w:vAlign w:val="center"/>
          </w:tcPr>
          <w:p w14:paraId="1FFCAD7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B9819B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90,021,951.14</w:t>
            </w:r>
          </w:p>
        </w:tc>
      </w:tr>
    </w:tbl>
    <w:p w14:paraId="4A4C48EC" w14:textId="1DE40FE6" w:rsidR="006C011D" w:rsidRPr="005A284F" w:rsidRDefault="00000000" w:rsidP="00D31566">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按组合计提存货跌价准备</w:t>
      </w:r>
    </w:p>
    <w:p w14:paraId="6B966B09" w14:textId="77777777" w:rsidR="000309B5" w:rsidRPr="005A284F" w:rsidRDefault="00000000">
      <w:pPr>
        <w:pStyle w:val="a3"/>
        <w:divId w:val="46033559"/>
        <w:rPr>
          <w:rFonts w:ascii="Times New Roman" w:hAnsi="Times New Roman" w:cs="Times New Roman"/>
          <w:sz w:val="18"/>
          <w:szCs w:val="18"/>
        </w:rPr>
      </w:pPr>
      <w:r w:rsidRPr="005A284F">
        <w:rPr>
          <w:rFonts w:ascii="Times New Roman" w:hAnsi="Times New Roman" w:cs="Times New Roman"/>
          <w:sz w:val="18"/>
          <w:szCs w:val="18"/>
        </w:rPr>
        <w:t>无</w:t>
      </w:r>
    </w:p>
    <w:p w14:paraId="0495284B" w14:textId="5142AAD8"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13" w:name="_Toc989125"/>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4</w:t>
      </w:r>
      <w:r w:rsidRPr="005A284F">
        <w:rPr>
          <w:rFonts w:ascii="Times New Roman" w:eastAsia="宋体" w:hAnsi="Times New Roman" w:cs="Times New Roman"/>
          <w:b/>
          <w:bCs/>
          <w:sz w:val="21"/>
          <w:szCs w:val="21"/>
        </w:rPr>
        <w:t>）存货期末余额含有借款费用资本化金额的说明</w:t>
      </w:r>
      <w:bookmarkEnd w:id="213"/>
    </w:p>
    <w:p w14:paraId="693767A3" w14:textId="77777777" w:rsidR="000309B5" w:rsidRPr="005A284F" w:rsidRDefault="00000000">
      <w:pPr>
        <w:pStyle w:val="a3"/>
        <w:divId w:val="1204634958"/>
        <w:rPr>
          <w:rFonts w:ascii="Times New Roman" w:hAnsi="Times New Roman" w:cs="Times New Roman"/>
          <w:sz w:val="18"/>
          <w:szCs w:val="18"/>
        </w:rPr>
      </w:pPr>
      <w:r w:rsidRPr="005A284F">
        <w:rPr>
          <w:rFonts w:ascii="Times New Roman" w:hAnsi="Times New Roman" w:cs="Times New Roman"/>
          <w:sz w:val="18"/>
          <w:szCs w:val="18"/>
        </w:rPr>
        <w:t>无</w:t>
      </w:r>
    </w:p>
    <w:p w14:paraId="0D8FC05E" w14:textId="05A0F478"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14" w:name="_Toc989126"/>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5</w:t>
      </w:r>
      <w:r w:rsidRPr="005A284F">
        <w:rPr>
          <w:rFonts w:ascii="Times New Roman" w:eastAsia="宋体" w:hAnsi="Times New Roman" w:cs="Times New Roman"/>
          <w:b/>
          <w:bCs/>
          <w:sz w:val="21"/>
          <w:szCs w:val="21"/>
        </w:rPr>
        <w:t>）合同履约成本本期摊销金额的说明</w:t>
      </w:r>
      <w:bookmarkEnd w:id="214"/>
    </w:p>
    <w:p w14:paraId="5ED39C0E" w14:textId="77777777" w:rsidR="000309B5" w:rsidRPr="005A284F" w:rsidRDefault="00000000">
      <w:pPr>
        <w:pStyle w:val="a3"/>
        <w:divId w:val="564226236"/>
        <w:rPr>
          <w:rFonts w:ascii="Times New Roman" w:hAnsi="Times New Roman" w:cs="Times New Roman"/>
          <w:sz w:val="18"/>
          <w:szCs w:val="18"/>
        </w:rPr>
      </w:pPr>
      <w:r w:rsidRPr="005A284F">
        <w:rPr>
          <w:rFonts w:ascii="Times New Roman" w:hAnsi="Times New Roman" w:cs="Times New Roman"/>
          <w:sz w:val="18"/>
          <w:szCs w:val="18"/>
        </w:rPr>
        <w:t>无</w:t>
      </w:r>
    </w:p>
    <w:p w14:paraId="7716B0FB" w14:textId="77777777" w:rsidR="006C011D" w:rsidRPr="005A284F" w:rsidRDefault="00000000">
      <w:pPr>
        <w:pStyle w:val="3"/>
        <w:spacing w:line="280" w:lineRule="exact"/>
        <w:jc w:val="left"/>
        <w:rPr>
          <w:rFonts w:ascii="Times New Roman" w:hAnsi="Times New Roman" w:cs="Times New Roman"/>
          <w:b/>
          <w:bCs/>
        </w:rPr>
      </w:pPr>
      <w:bookmarkStart w:id="215" w:name="_Toc989127"/>
      <w:r w:rsidRPr="005A284F">
        <w:rPr>
          <w:rFonts w:ascii="Times New Roman" w:hAnsi="Times New Roman" w:cs="Times New Roman"/>
          <w:b/>
          <w:bCs/>
        </w:rPr>
        <w:t>11</w:t>
      </w:r>
      <w:r w:rsidRPr="005A284F">
        <w:rPr>
          <w:rFonts w:ascii="Times New Roman" w:hAnsi="Times New Roman" w:cs="Times New Roman"/>
          <w:b/>
          <w:bCs/>
        </w:rPr>
        <w:t>、持有待售资产</w:t>
      </w:r>
      <w:bookmarkEnd w:id="215"/>
    </w:p>
    <w:p w14:paraId="3D7A4998" w14:textId="77777777" w:rsidR="000309B5" w:rsidRPr="005A284F" w:rsidRDefault="00000000">
      <w:pPr>
        <w:pStyle w:val="a3"/>
        <w:divId w:val="2074740675"/>
        <w:rPr>
          <w:rFonts w:ascii="Times New Roman" w:hAnsi="Times New Roman" w:cs="Times New Roman"/>
          <w:sz w:val="18"/>
          <w:szCs w:val="18"/>
        </w:rPr>
      </w:pPr>
      <w:r w:rsidRPr="005A284F">
        <w:rPr>
          <w:rFonts w:ascii="Times New Roman" w:hAnsi="Times New Roman" w:cs="Times New Roman"/>
          <w:sz w:val="18"/>
          <w:szCs w:val="18"/>
        </w:rPr>
        <w:t>无</w:t>
      </w:r>
    </w:p>
    <w:p w14:paraId="17662D1B" w14:textId="77777777" w:rsidR="006C011D" w:rsidRPr="005A284F" w:rsidRDefault="00000000">
      <w:pPr>
        <w:pStyle w:val="3"/>
        <w:spacing w:line="280" w:lineRule="exact"/>
        <w:jc w:val="left"/>
        <w:rPr>
          <w:rFonts w:ascii="Times New Roman" w:hAnsi="Times New Roman" w:cs="Times New Roman"/>
          <w:b/>
          <w:bCs/>
        </w:rPr>
      </w:pPr>
      <w:bookmarkStart w:id="216" w:name="_Toc989128"/>
      <w:r w:rsidRPr="005A284F">
        <w:rPr>
          <w:rFonts w:ascii="Times New Roman" w:hAnsi="Times New Roman" w:cs="Times New Roman"/>
          <w:b/>
          <w:bCs/>
        </w:rPr>
        <w:t>12</w:t>
      </w:r>
      <w:r w:rsidRPr="005A284F">
        <w:rPr>
          <w:rFonts w:ascii="Times New Roman" w:hAnsi="Times New Roman" w:cs="Times New Roman"/>
          <w:b/>
          <w:bCs/>
        </w:rPr>
        <w:t>、一年内到期的非流动资产</w:t>
      </w:r>
      <w:bookmarkEnd w:id="216"/>
    </w:p>
    <w:p w14:paraId="5F227E3A" w14:textId="5DA68555"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17" w:name="_Toc989129"/>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1</w:t>
      </w:r>
      <w:r w:rsidRPr="005A284F">
        <w:rPr>
          <w:rFonts w:ascii="Times New Roman" w:eastAsia="宋体" w:hAnsi="Times New Roman" w:cs="Times New Roman"/>
          <w:b/>
          <w:bCs/>
          <w:sz w:val="21"/>
          <w:szCs w:val="21"/>
        </w:rPr>
        <w:t>）一年内到期的债权投资</w:t>
      </w:r>
      <w:bookmarkEnd w:id="217"/>
    </w:p>
    <w:p w14:paraId="49516C68" w14:textId="77777777" w:rsidR="006C011D" w:rsidRPr="00471F74" w:rsidRDefault="00000000">
      <w:pPr>
        <w:spacing w:before="100" w:after="100" w:line="240" w:lineRule="exact"/>
        <w:rPr>
          <w:rFonts w:ascii="宋体" w:eastAsia="宋体" w:hAnsi="宋体" w:cs="Times New Roman" w:hint="eastAsia"/>
          <w:sz w:val="18"/>
          <w:szCs w:val="18"/>
        </w:rPr>
      </w:pPr>
      <w:r w:rsidRPr="00471F74">
        <w:rPr>
          <w:rFonts w:ascii="宋体" w:eastAsia="宋体" w:hAnsi="宋体" w:cs="Times New Roman"/>
          <w:sz w:val="18"/>
          <w:szCs w:val="18"/>
        </w:rPr>
        <w:t xml:space="preserve">□适用 </w:t>
      </w:r>
      <w:r w:rsidRPr="00471F74">
        <w:rPr>
          <w:rFonts w:ascii="宋体" w:eastAsia="宋体" w:hAnsi="宋体" w:cs="Times New Roman"/>
          <w:sz w:val="18"/>
          <w:szCs w:val="18"/>
        </w:rPr>
        <w:sym w:font="Wingdings 2" w:char="F052"/>
      </w:r>
      <w:r w:rsidRPr="00471F74">
        <w:rPr>
          <w:rFonts w:ascii="宋体" w:eastAsia="宋体" w:hAnsi="宋体" w:cs="Times New Roman"/>
          <w:sz w:val="18"/>
          <w:szCs w:val="18"/>
        </w:rPr>
        <w:t>不适用</w:t>
      </w:r>
    </w:p>
    <w:p w14:paraId="53B8BCDA" w14:textId="5855FBB9"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18" w:name="_Toc989130"/>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2</w:t>
      </w:r>
      <w:r w:rsidRPr="005A284F">
        <w:rPr>
          <w:rFonts w:ascii="Times New Roman" w:eastAsia="宋体" w:hAnsi="Times New Roman" w:cs="Times New Roman"/>
          <w:b/>
          <w:bCs/>
          <w:sz w:val="21"/>
          <w:szCs w:val="21"/>
        </w:rPr>
        <w:t>）一年内到期的其他债权投资</w:t>
      </w:r>
      <w:bookmarkEnd w:id="218"/>
    </w:p>
    <w:p w14:paraId="7131E6B0" w14:textId="77777777" w:rsidR="006C011D" w:rsidRPr="00471F74" w:rsidRDefault="00000000">
      <w:pPr>
        <w:spacing w:before="100" w:after="100" w:line="240" w:lineRule="exact"/>
        <w:rPr>
          <w:rFonts w:ascii="宋体" w:eastAsia="宋体" w:hAnsi="宋体" w:cs="Times New Roman" w:hint="eastAsia"/>
          <w:sz w:val="18"/>
          <w:szCs w:val="18"/>
        </w:rPr>
      </w:pPr>
      <w:r w:rsidRPr="00471F74">
        <w:rPr>
          <w:rFonts w:ascii="宋体" w:eastAsia="宋体" w:hAnsi="宋体" w:cs="Times New Roman"/>
          <w:sz w:val="18"/>
          <w:szCs w:val="18"/>
        </w:rPr>
        <w:t xml:space="preserve">□适用 </w:t>
      </w:r>
      <w:r w:rsidRPr="00471F74">
        <w:rPr>
          <w:rFonts w:ascii="宋体" w:eastAsia="宋体" w:hAnsi="宋体" w:cs="Times New Roman"/>
          <w:sz w:val="18"/>
          <w:szCs w:val="18"/>
        </w:rPr>
        <w:sym w:font="Wingdings 2" w:char="F052"/>
      </w:r>
      <w:r w:rsidRPr="00471F74">
        <w:rPr>
          <w:rFonts w:ascii="宋体" w:eastAsia="宋体" w:hAnsi="宋体" w:cs="Times New Roman"/>
          <w:sz w:val="18"/>
          <w:szCs w:val="18"/>
        </w:rPr>
        <w:t>不适用</w:t>
      </w:r>
    </w:p>
    <w:p w14:paraId="226BD291" w14:textId="77777777" w:rsidR="006C011D" w:rsidRPr="005A284F" w:rsidRDefault="00000000">
      <w:pPr>
        <w:pStyle w:val="3"/>
        <w:spacing w:line="280" w:lineRule="exact"/>
        <w:jc w:val="left"/>
        <w:rPr>
          <w:rFonts w:ascii="Times New Roman" w:hAnsi="Times New Roman" w:cs="Times New Roman"/>
          <w:b/>
          <w:bCs/>
        </w:rPr>
      </w:pPr>
      <w:bookmarkStart w:id="219" w:name="_Toc989131"/>
      <w:r w:rsidRPr="005A284F">
        <w:rPr>
          <w:rFonts w:ascii="Times New Roman" w:hAnsi="Times New Roman" w:cs="Times New Roman"/>
          <w:b/>
          <w:bCs/>
        </w:rPr>
        <w:t>13</w:t>
      </w:r>
      <w:r w:rsidRPr="005A284F">
        <w:rPr>
          <w:rFonts w:ascii="Times New Roman" w:hAnsi="Times New Roman" w:cs="Times New Roman"/>
          <w:b/>
          <w:bCs/>
        </w:rPr>
        <w:t>、其他流动资产</w:t>
      </w:r>
      <w:bookmarkEnd w:id="219"/>
    </w:p>
    <w:p w14:paraId="1D79DC6B"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7242862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09C33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94219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D8EE8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r>
      <w:tr w:rsidR="006C011D" w:rsidRPr="005A284F" w14:paraId="55B9A6C0"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D2093D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待抵扣</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认证</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留抵进项税</w:t>
            </w:r>
          </w:p>
        </w:tc>
        <w:tc>
          <w:tcPr>
            <w:tcW w:w="3213" w:type="dxa"/>
            <w:tcBorders>
              <w:top w:val="single" w:sz="2" w:space="0" w:color="auto"/>
              <w:left w:val="single" w:sz="2" w:space="0" w:color="auto"/>
              <w:bottom w:val="single" w:sz="2" w:space="0" w:color="auto"/>
              <w:right w:val="single" w:sz="2" w:space="0" w:color="auto"/>
            </w:tcBorders>
            <w:vAlign w:val="center"/>
          </w:tcPr>
          <w:p w14:paraId="65D3FEF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0E9003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18,272.00</w:t>
            </w:r>
          </w:p>
        </w:tc>
      </w:tr>
      <w:tr w:rsidR="006C011D" w:rsidRPr="005A284F" w14:paraId="7E01BF5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3F081D"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63271DB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14:paraId="6EAD00B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18,272.00</w:t>
            </w:r>
          </w:p>
        </w:tc>
      </w:tr>
    </w:tbl>
    <w:p w14:paraId="2415D8C0"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w:t>
      </w:r>
    </w:p>
    <w:p w14:paraId="7529127E" w14:textId="77777777" w:rsidR="000309B5" w:rsidRPr="005A284F" w:rsidRDefault="00000000">
      <w:pPr>
        <w:pStyle w:val="a3"/>
        <w:divId w:val="1661469949"/>
        <w:rPr>
          <w:rFonts w:ascii="Times New Roman" w:hAnsi="Times New Roman" w:cs="Times New Roman"/>
          <w:sz w:val="18"/>
          <w:szCs w:val="18"/>
        </w:rPr>
      </w:pPr>
      <w:r w:rsidRPr="005A284F">
        <w:rPr>
          <w:rFonts w:ascii="Times New Roman" w:hAnsi="Times New Roman" w:cs="Times New Roman"/>
          <w:sz w:val="18"/>
          <w:szCs w:val="18"/>
        </w:rPr>
        <w:t>无</w:t>
      </w:r>
    </w:p>
    <w:p w14:paraId="43B75652" w14:textId="77777777" w:rsidR="006C011D" w:rsidRPr="005A284F" w:rsidRDefault="00000000">
      <w:pPr>
        <w:pStyle w:val="3"/>
        <w:spacing w:line="280" w:lineRule="exact"/>
        <w:jc w:val="left"/>
        <w:rPr>
          <w:rFonts w:ascii="Times New Roman" w:hAnsi="Times New Roman" w:cs="Times New Roman"/>
          <w:b/>
          <w:bCs/>
        </w:rPr>
      </w:pPr>
      <w:bookmarkStart w:id="220" w:name="_Toc989132"/>
      <w:r w:rsidRPr="005A284F">
        <w:rPr>
          <w:rFonts w:ascii="Times New Roman" w:hAnsi="Times New Roman" w:cs="Times New Roman"/>
          <w:b/>
          <w:bCs/>
        </w:rPr>
        <w:t>14</w:t>
      </w:r>
      <w:r w:rsidRPr="005A284F">
        <w:rPr>
          <w:rFonts w:ascii="Times New Roman" w:hAnsi="Times New Roman" w:cs="Times New Roman"/>
          <w:b/>
          <w:bCs/>
        </w:rPr>
        <w:t>、债权投资</w:t>
      </w:r>
      <w:bookmarkEnd w:id="220"/>
    </w:p>
    <w:p w14:paraId="65568288" w14:textId="77777777" w:rsidR="000309B5" w:rsidRPr="005A284F" w:rsidRDefault="00000000">
      <w:pPr>
        <w:pStyle w:val="a3"/>
        <w:divId w:val="134642884"/>
        <w:rPr>
          <w:rFonts w:ascii="Times New Roman" w:hAnsi="Times New Roman" w:cs="Times New Roman"/>
          <w:sz w:val="18"/>
          <w:szCs w:val="18"/>
        </w:rPr>
      </w:pPr>
      <w:r w:rsidRPr="005A284F">
        <w:rPr>
          <w:rFonts w:ascii="Times New Roman" w:hAnsi="Times New Roman" w:cs="Times New Roman"/>
          <w:sz w:val="18"/>
          <w:szCs w:val="18"/>
        </w:rPr>
        <w:t>无</w:t>
      </w:r>
    </w:p>
    <w:p w14:paraId="42DA8FEB" w14:textId="77777777" w:rsidR="006C011D" w:rsidRPr="005A284F" w:rsidRDefault="00000000">
      <w:pPr>
        <w:pStyle w:val="3"/>
        <w:spacing w:line="280" w:lineRule="exact"/>
        <w:jc w:val="left"/>
        <w:rPr>
          <w:rFonts w:ascii="Times New Roman" w:hAnsi="Times New Roman" w:cs="Times New Roman"/>
          <w:b/>
          <w:bCs/>
        </w:rPr>
      </w:pPr>
      <w:bookmarkStart w:id="221" w:name="_Toc989137"/>
      <w:r w:rsidRPr="005A284F">
        <w:rPr>
          <w:rFonts w:ascii="Times New Roman" w:hAnsi="Times New Roman" w:cs="Times New Roman"/>
          <w:b/>
          <w:bCs/>
        </w:rPr>
        <w:lastRenderedPageBreak/>
        <w:t>15</w:t>
      </w:r>
      <w:r w:rsidRPr="005A284F">
        <w:rPr>
          <w:rFonts w:ascii="Times New Roman" w:hAnsi="Times New Roman" w:cs="Times New Roman"/>
          <w:b/>
          <w:bCs/>
        </w:rPr>
        <w:t>、其他债权投资</w:t>
      </w:r>
      <w:bookmarkEnd w:id="221"/>
    </w:p>
    <w:p w14:paraId="18112B19" w14:textId="77777777" w:rsidR="000309B5" w:rsidRPr="005A284F" w:rsidRDefault="00000000">
      <w:pPr>
        <w:pStyle w:val="a3"/>
        <w:divId w:val="1890339111"/>
        <w:rPr>
          <w:rFonts w:ascii="Times New Roman" w:hAnsi="Times New Roman" w:cs="Times New Roman"/>
          <w:sz w:val="18"/>
          <w:szCs w:val="18"/>
        </w:rPr>
      </w:pPr>
      <w:r w:rsidRPr="005A284F">
        <w:rPr>
          <w:rFonts w:ascii="Times New Roman" w:hAnsi="Times New Roman" w:cs="Times New Roman"/>
          <w:sz w:val="18"/>
          <w:szCs w:val="18"/>
        </w:rPr>
        <w:t>无</w:t>
      </w:r>
    </w:p>
    <w:p w14:paraId="58D1F598" w14:textId="77777777" w:rsidR="006C011D" w:rsidRPr="005A284F" w:rsidRDefault="00000000">
      <w:pPr>
        <w:pStyle w:val="3"/>
        <w:spacing w:line="280" w:lineRule="exact"/>
        <w:jc w:val="left"/>
        <w:rPr>
          <w:rFonts w:ascii="Times New Roman" w:hAnsi="Times New Roman" w:cs="Times New Roman"/>
          <w:b/>
          <w:bCs/>
        </w:rPr>
      </w:pPr>
      <w:bookmarkStart w:id="222" w:name="_Toc989142"/>
      <w:r w:rsidRPr="005A284F">
        <w:rPr>
          <w:rFonts w:ascii="Times New Roman" w:hAnsi="Times New Roman" w:cs="Times New Roman"/>
          <w:b/>
          <w:bCs/>
        </w:rPr>
        <w:t>16</w:t>
      </w:r>
      <w:r w:rsidRPr="005A284F">
        <w:rPr>
          <w:rFonts w:ascii="Times New Roman" w:hAnsi="Times New Roman" w:cs="Times New Roman"/>
          <w:b/>
          <w:bCs/>
        </w:rPr>
        <w:t>、其他权益工具投资</w:t>
      </w:r>
      <w:bookmarkEnd w:id="222"/>
    </w:p>
    <w:p w14:paraId="09C7BF82"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71"/>
        <w:gridCol w:w="1071"/>
        <w:gridCol w:w="1071"/>
        <w:gridCol w:w="1071"/>
        <w:gridCol w:w="1071"/>
        <w:gridCol w:w="1071"/>
        <w:gridCol w:w="1071"/>
        <w:gridCol w:w="1071"/>
        <w:gridCol w:w="1071"/>
      </w:tblGrid>
      <w:tr w:rsidR="006C011D" w:rsidRPr="005A284F" w14:paraId="6C5DED29"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F0A984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项目名称</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4816CA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4333D9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本期计入其他综合收益的利得</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CCE45F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本期计入其他综合收益的损失</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05EB72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本期末累计计入其他综合收益的利得</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CA4086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本期末累计计入其他综合收益的损失</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BE3906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本期确认的股利收入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4281E7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22624C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指定为以公允价值计量且其变动计入其他综合收益的原因</w:t>
            </w:r>
          </w:p>
        </w:tc>
      </w:tr>
      <w:tr w:rsidR="006C011D" w:rsidRPr="005A284F" w14:paraId="4E903945"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6A603C4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北京佰镒通科技有限公司股权投资</w:t>
            </w:r>
          </w:p>
        </w:tc>
        <w:tc>
          <w:tcPr>
            <w:tcW w:w="1071" w:type="dxa"/>
            <w:tcBorders>
              <w:top w:val="single" w:sz="2" w:space="0" w:color="auto"/>
              <w:left w:val="single" w:sz="2" w:space="0" w:color="auto"/>
              <w:bottom w:val="single" w:sz="2" w:space="0" w:color="auto"/>
              <w:right w:val="single" w:sz="2" w:space="0" w:color="auto"/>
            </w:tcBorders>
            <w:vAlign w:val="center"/>
          </w:tcPr>
          <w:p w14:paraId="08F619F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644DB5F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44BDF1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DBB2F7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1185FC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F1EA7E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61B867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29020BED" w14:textId="77777777" w:rsidR="006C011D" w:rsidRPr="005A284F" w:rsidRDefault="006C011D">
            <w:pPr>
              <w:spacing w:after="0" w:line="240" w:lineRule="exact"/>
              <w:rPr>
                <w:rFonts w:ascii="Times New Roman" w:eastAsia="宋体" w:hAnsi="Times New Roman" w:cs="Times New Roman"/>
                <w:sz w:val="18"/>
                <w:szCs w:val="18"/>
              </w:rPr>
            </w:pPr>
          </w:p>
        </w:tc>
      </w:tr>
    </w:tbl>
    <w:p w14:paraId="0DF1F26C"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本期存在终止确认</w:t>
      </w:r>
    </w:p>
    <w:p w14:paraId="6FF2AE50" w14:textId="77777777" w:rsidR="00471F74" w:rsidRPr="005A284F" w:rsidRDefault="00471F74" w:rsidP="00471F74">
      <w:pPr>
        <w:pStyle w:val="a3"/>
        <w:rPr>
          <w:rFonts w:ascii="Times New Roman" w:hAnsi="Times New Roman" w:cs="Times New Roman"/>
          <w:sz w:val="18"/>
          <w:szCs w:val="18"/>
        </w:rPr>
      </w:pPr>
      <w:r w:rsidRPr="005A284F">
        <w:rPr>
          <w:rFonts w:ascii="Times New Roman" w:hAnsi="Times New Roman" w:cs="Times New Roman"/>
          <w:sz w:val="18"/>
          <w:szCs w:val="18"/>
        </w:rPr>
        <w:t>无</w:t>
      </w:r>
    </w:p>
    <w:p w14:paraId="37F46F99" w14:textId="20C72081"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分项披露本期非交易性权益工具投资</w:t>
      </w:r>
    </w:p>
    <w:p w14:paraId="376A0392" w14:textId="77777777" w:rsidR="006C011D" w:rsidRPr="005A284F" w:rsidRDefault="00000000">
      <w:pPr>
        <w:spacing w:before="120" w:after="12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6C011D" w:rsidRPr="005A284F" w14:paraId="0AEEBA16"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917BA5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项目名称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E54DF0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确认的股利收入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8FC91D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累计利得</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C74BD5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累计损失</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590048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其他综合收益转入留存收益的金额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10A6DA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指定为以公允价值计量且其变动计入其他综合收益的原因</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81EA6B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其他综合收益转入留存收益的原因</w:t>
            </w:r>
          </w:p>
        </w:tc>
      </w:tr>
      <w:tr w:rsidR="006C011D" w:rsidRPr="005A284F" w14:paraId="6D2E79E1"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03659E4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北京佰镒通科技有限公司股权投资</w:t>
            </w:r>
          </w:p>
        </w:tc>
        <w:tc>
          <w:tcPr>
            <w:tcW w:w="1377" w:type="dxa"/>
            <w:tcBorders>
              <w:top w:val="single" w:sz="2" w:space="0" w:color="auto"/>
              <w:left w:val="single" w:sz="2" w:space="0" w:color="auto"/>
              <w:bottom w:val="single" w:sz="2" w:space="0" w:color="auto"/>
              <w:right w:val="single" w:sz="2" w:space="0" w:color="auto"/>
            </w:tcBorders>
            <w:vAlign w:val="center"/>
          </w:tcPr>
          <w:p w14:paraId="6C76042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68A176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AB0659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12,100,000.00</w:t>
            </w:r>
          </w:p>
        </w:tc>
        <w:tc>
          <w:tcPr>
            <w:tcW w:w="1377" w:type="dxa"/>
            <w:tcBorders>
              <w:top w:val="single" w:sz="2" w:space="0" w:color="auto"/>
              <w:left w:val="single" w:sz="2" w:space="0" w:color="auto"/>
              <w:bottom w:val="single" w:sz="2" w:space="0" w:color="auto"/>
              <w:right w:val="single" w:sz="2" w:space="0" w:color="auto"/>
            </w:tcBorders>
            <w:vAlign w:val="center"/>
          </w:tcPr>
          <w:p w14:paraId="5C3735C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D16724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基于战略投资的考虑</w:t>
            </w:r>
          </w:p>
        </w:tc>
        <w:tc>
          <w:tcPr>
            <w:tcW w:w="1377" w:type="dxa"/>
            <w:tcBorders>
              <w:top w:val="single" w:sz="2" w:space="0" w:color="auto"/>
              <w:left w:val="single" w:sz="2" w:space="0" w:color="auto"/>
              <w:bottom w:val="single" w:sz="2" w:space="0" w:color="auto"/>
              <w:right w:val="single" w:sz="2" w:space="0" w:color="auto"/>
            </w:tcBorders>
            <w:vAlign w:val="center"/>
          </w:tcPr>
          <w:p w14:paraId="7129D71D" w14:textId="77777777" w:rsidR="006C011D" w:rsidRPr="005A284F" w:rsidRDefault="006C011D">
            <w:pPr>
              <w:spacing w:after="0" w:line="240" w:lineRule="exact"/>
              <w:rPr>
                <w:rFonts w:ascii="Times New Roman" w:eastAsia="宋体" w:hAnsi="Times New Roman" w:cs="Times New Roman"/>
                <w:sz w:val="18"/>
                <w:szCs w:val="18"/>
              </w:rPr>
            </w:pPr>
          </w:p>
        </w:tc>
      </w:tr>
    </w:tbl>
    <w:p w14:paraId="2B06A0CE"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w:t>
      </w:r>
    </w:p>
    <w:p w14:paraId="3853C040" w14:textId="77777777" w:rsidR="000309B5" w:rsidRPr="005A284F" w:rsidRDefault="00000000">
      <w:pPr>
        <w:pStyle w:val="a3"/>
        <w:divId w:val="1373848816"/>
        <w:rPr>
          <w:rFonts w:ascii="Times New Roman" w:hAnsi="Times New Roman" w:cs="Times New Roman"/>
          <w:sz w:val="18"/>
          <w:szCs w:val="18"/>
        </w:rPr>
      </w:pPr>
      <w:r w:rsidRPr="005A284F">
        <w:rPr>
          <w:rFonts w:ascii="Times New Roman" w:hAnsi="Times New Roman" w:cs="Times New Roman"/>
          <w:sz w:val="18"/>
          <w:szCs w:val="18"/>
        </w:rPr>
        <w:t>无</w:t>
      </w:r>
    </w:p>
    <w:p w14:paraId="000320AF" w14:textId="77777777" w:rsidR="006C011D" w:rsidRPr="005A284F" w:rsidRDefault="00000000">
      <w:pPr>
        <w:pStyle w:val="3"/>
        <w:spacing w:line="280" w:lineRule="exact"/>
        <w:jc w:val="left"/>
        <w:rPr>
          <w:rFonts w:ascii="Times New Roman" w:hAnsi="Times New Roman" w:cs="Times New Roman"/>
          <w:b/>
          <w:bCs/>
        </w:rPr>
      </w:pPr>
      <w:bookmarkStart w:id="223" w:name="_Toc989143"/>
      <w:r w:rsidRPr="005A284F">
        <w:rPr>
          <w:rFonts w:ascii="Times New Roman" w:hAnsi="Times New Roman" w:cs="Times New Roman"/>
          <w:b/>
          <w:bCs/>
        </w:rPr>
        <w:t>17</w:t>
      </w:r>
      <w:r w:rsidRPr="005A284F">
        <w:rPr>
          <w:rFonts w:ascii="Times New Roman" w:hAnsi="Times New Roman" w:cs="Times New Roman"/>
          <w:b/>
          <w:bCs/>
        </w:rPr>
        <w:t>、长期应收款</w:t>
      </w:r>
      <w:bookmarkEnd w:id="223"/>
    </w:p>
    <w:p w14:paraId="5E3FF532" w14:textId="77777777" w:rsidR="000309B5" w:rsidRPr="005A284F" w:rsidRDefault="00000000">
      <w:pPr>
        <w:pStyle w:val="a3"/>
        <w:divId w:val="2040935814"/>
        <w:rPr>
          <w:rFonts w:ascii="Times New Roman" w:hAnsi="Times New Roman" w:cs="Times New Roman"/>
          <w:sz w:val="18"/>
          <w:szCs w:val="18"/>
        </w:rPr>
      </w:pPr>
      <w:r w:rsidRPr="005A284F">
        <w:rPr>
          <w:rFonts w:ascii="Times New Roman" w:hAnsi="Times New Roman" w:cs="Times New Roman"/>
          <w:sz w:val="18"/>
          <w:szCs w:val="18"/>
        </w:rPr>
        <w:t>无</w:t>
      </w:r>
    </w:p>
    <w:p w14:paraId="56AE54CE" w14:textId="77777777" w:rsidR="006C011D" w:rsidRPr="005A284F" w:rsidRDefault="00000000">
      <w:pPr>
        <w:pStyle w:val="3"/>
        <w:spacing w:line="280" w:lineRule="exact"/>
        <w:jc w:val="left"/>
        <w:rPr>
          <w:rFonts w:ascii="Times New Roman" w:hAnsi="Times New Roman" w:cs="Times New Roman"/>
          <w:b/>
          <w:bCs/>
        </w:rPr>
      </w:pPr>
      <w:bookmarkStart w:id="224" w:name="_Toc989148"/>
      <w:r w:rsidRPr="005A284F">
        <w:rPr>
          <w:rFonts w:ascii="Times New Roman" w:hAnsi="Times New Roman" w:cs="Times New Roman"/>
          <w:b/>
          <w:bCs/>
        </w:rPr>
        <w:t>18</w:t>
      </w:r>
      <w:r w:rsidRPr="005A284F">
        <w:rPr>
          <w:rFonts w:ascii="Times New Roman" w:hAnsi="Times New Roman" w:cs="Times New Roman"/>
          <w:b/>
          <w:bCs/>
        </w:rPr>
        <w:t>、长期股权投资</w:t>
      </w:r>
      <w:bookmarkEnd w:id="224"/>
    </w:p>
    <w:p w14:paraId="79AA3676" w14:textId="77777777" w:rsidR="000309B5" w:rsidRPr="005A284F" w:rsidRDefault="00000000">
      <w:pPr>
        <w:pStyle w:val="a3"/>
        <w:divId w:val="127091115"/>
        <w:rPr>
          <w:rFonts w:ascii="Times New Roman" w:hAnsi="Times New Roman" w:cs="Times New Roman"/>
          <w:sz w:val="18"/>
          <w:szCs w:val="18"/>
        </w:rPr>
      </w:pPr>
      <w:r w:rsidRPr="005A284F">
        <w:rPr>
          <w:rFonts w:ascii="Times New Roman" w:hAnsi="Times New Roman" w:cs="Times New Roman"/>
          <w:sz w:val="18"/>
          <w:szCs w:val="18"/>
        </w:rPr>
        <w:t>无</w:t>
      </w:r>
    </w:p>
    <w:p w14:paraId="11F850F8" w14:textId="77777777" w:rsidR="006C011D" w:rsidRPr="005A284F" w:rsidRDefault="00000000">
      <w:pPr>
        <w:pStyle w:val="3"/>
        <w:spacing w:line="280" w:lineRule="exact"/>
        <w:jc w:val="left"/>
        <w:rPr>
          <w:rFonts w:ascii="Times New Roman" w:hAnsi="Times New Roman" w:cs="Times New Roman"/>
          <w:b/>
          <w:bCs/>
        </w:rPr>
      </w:pPr>
      <w:bookmarkStart w:id="225" w:name="_Toc989149"/>
      <w:r w:rsidRPr="005A284F">
        <w:rPr>
          <w:rFonts w:ascii="Times New Roman" w:hAnsi="Times New Roman" w:cs="Times New Roman"/>
          <w:b/>
          <w:bCs/>
        </w:rPr>
        <w:t>19</w:t>
      </w:r>
      <w:r w:rsidRPr="005A284F">
        <w:rPr>
          <w:rFonts w:ascii="Times New Roman" w:hAnsi="Times New Roman" w:cs="Times New Roman"/>
          <w:b/>
          <w:bCs/>
        </w:rPr>
        <w:t>、其他非流动金融资产</w:t>
      </w:r>
      <w:bookmarkEnd w:id="225"/>
    </w:p>
    <w:p w14:paraId="259C9CC7" w14:textId="77777777" w:rsidR="000309B5" w:rsidRPr="005A284F" w:rsidRDefault="00000000">
      <w:pPr>
        <w:pStyle w:val="a3"/>
        <w:divId w:val="903224989"/>
        <w:rPr>
          <w:rFonts w:ascii="Times New Roman" w:hAnsi="Times New Roman" w:cs="Times New Roman"/>
          <w:sz w:val="18"/>
          <w:szCs w:val="18"/>
        </w:rPr>
      </w:pPr>
      <w:r w:rsidRPr="005A284F">
        <w:rPr>
          <w:rFonts w:ascii="Times New Roman" w:hAnsi="Times New Roman" w:cs="Times New Roman"/>
          <w:sz w:val="18"/>
          <w:szCs w:val="18"/>
        </w:rPr>
        <w:t>无</w:t>
      </w:r>
    </w:p>
    <w:p w14:paraId="04374CF9" w14:textId="77777777" w:rsidR="006C011D" w:rsidRPr="005A284F" w:rsidRDefault="00000000">
      <w:pPr>
        <w:pStyle w:val="3"/>
        <w:spacing w:line="280" w:lineRule="exact"/>
        <w:jc w:val="left"/>
        <w:rPr>
          <w:rFonts w:ascii="Times New Roman" w:hAnsi="Times New Roman" w:cs="Times New Roman"/>
          <w:b/>
          <w:bCs/>
        </w:rPr>
      </w:pPr>
      <w:bookmarkStart w:id="226" w:name="_Toc989150"/>
      <w:r w:rsidRPr="005A284F">
        <w:rPr>
          <w:rFonts w:ascii="Times New Roman" w:hAnsi="Times New Roman" w:cs="Times New Roman"/>
          <w:b/>
          <w:bCs/>
        </w:rPr>
        <w:lastRenderedPageBreak/>
        <w:t>20</w:t>
      </w:r>
      <w:r w:rsidRPr="005A284F">
        <w:rPr>
          <w:rFonts w:ascii="Times New Roman" w:hAnsi="Times New Roman" w:cs="Times New Roman"/>
          <w:b/>
          <w:bCs/>
        </w:rPr>
        <w:t>、投资性房地产</w:t>
      </w:r>
      <w:bookmarkEnd w:id="226"/>
    </w:p>
    <w:p w14:paraId="429C7382" w14:textId="77777777" w:rsidR="000309B5" w:rsidRPr="005A284F" w:rsidRDefault="00000000">
      <w:pPr>
        <w:pStyle w:val="a3"/>
        <w:divId w:val="1501851126"/>
        <w:rPr>
          <w:rFonts w:ascii="Times New Roman" w:hAnsi="Times New Roman" w:cs="Times New Roman"/>
          <w:sz w:val="18"/>
          <w:szCs w:val="18"/>
        </w:rPr>
      </w:pPr>
      <w:r w:rsidRPr="005A284F">
        <w:rPr>
          <w:rFonts w:ascii="Times New Roman" w:hAnsi="Times New Roman" w:cs="Times New Roman"/>
          <w:sz w:val="18"/>
          <w:szCs w:val="18"/>
        </w:rPr>
        <w:t>无</w:t>
      </w:r>
    </w:p>
    <w:p w14:paraId="0708237D" w14:textId="77777777" w:rsidR="006C011D" w:rsidRPr="005A284F" w:rsidRDefault="00000000">
      <w:pPr>
        <w:pStyle w:val="3"/>
        <w:spacing w:line="280" w:lineRule="exact"/>
        <w:jc w:val="left"/>
        <w:rPr>
          <w:rFonts w:ascii="Times New Roman" w:hAnsi="Times New Roman" w:cs="Times New Roman"/>
          <w:b/>
          <w:bCs/>
        </w:rPr>
      </w:pPr>
      <w:bookmarkStart w:id="227" w:name="_Toc989155"/>
      <w:r w:rsidRPr="005A284F">
        <w:rPr>
          <w:rFonts w:ascii="Times New Roman" w:hAnsi="Times New Roman" w:cs="Times New Roman"/>
          <w:b/>
          <w:bCs/>
        </w:rPr>
        <w:t>21</w:t>
      </w:r>
      <w:r w:rsidRPr="005A284F">
        <w:rPr>
          <w:rFonts w:ascii="Times New Roman" w:hAnsi="Times New Roman" w:cs="Times New Roman"/>
          <w:b/>
          <w:bCs/>
        </w:rPr>
        <w:t>、固定资产</w:t>
      </w:r>
      <w:bookmarkEnd w:id="227"/>
    </w:p>
    <w:p w14:paraId="5E461D0B"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38944C7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D5166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C9140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11591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r>
      <w:tr w:rsidR="006C011D" w:rsidRPr="005A284F" w14:paraId="5639340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46E533"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14:paraId="36D3993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2,307,204,546.25</w:t>
            </w:r>
          </w:p>
        </w:tc>
        <w:tc>
          <w:tcPr>
            <w:tcW w:w="3213" w:type="dxa"/>
            <w:tcBorders>
              <w:top w:val="single" w:sz="2" w:space="0" w:color="auto"/>
              <w:left w:val="single" w:sz="2" w:space="0" w:color="auto"/>
              <w:bottom w:val="single" w:sz="2" w:space="0" w:color="auto"/>
              <w:right w:val="single" w:sz="2" w:space="0" w:color="auto"/>
            </w:tcBorders>
            <w:vAlign w:val="center"/>
          </w:tcPr>
          <w:p w14:paraId="6EA8A11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2,369,509,841.69</w:t>
            </w:r>
          </w:p>
        </w:tc>
      </w:tr>
      <w:tr w:rsidR="006C011D" w:rsidRPr="005A284F" w14:paraId="3C1FAAE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8E5C7D"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F7F271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2,307,204,546.25</w:t>
            </w:r>
          </w:p>
        </w:tc>
        <w:tc>
          <w:tcPr>
            <w:tcW w:w="3213" w:type="dxa"/>
            <w:tcBorders>
              <w:top w:val="single" w:sz="2" w:space="0" w:color="auto"/>
              <w:left w:val="single" w:sz="2" w:space="0" w:color="auto"/>
              <w:bottom w:val="single" w:sz="2" w:space="0" w:color="auto"/>
              <w:right w:val="single" w:sz="2" w:space="0" w:color="auto"/>
            </w:tcBorders>
            <w:vAlign w:val="center"/>
          </w:tcPr>
          <w:p w14:paraId="5C0B649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2,369,509,841.69</w:t>
            </w:r>
          </w:p>
        </w:tc>
      </w:tr>
    </w:tbl>
    <w:p w14:paraId="25EC7840" w14:textId="1B1A5AC6"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28" w:name="_Toc989156"/>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1</w:t>
      </w:r>
      <w:r w:rsidRPr="005A284F">
        <w:rPr>
          <w:rFonts w:ascii="Times New Roman" w:eastAsia="宋体" w:hAnsi="Times New Roman" w:cs="Times New Roman"/>
          <w:b/>
          <w:bCs/>
          <w:sz w:val="21"/>
          <w:szCs w:val="21"/>
        </w:rPr>
        <w:t>）固定资产情况</w:t>
      </w:r>
      <w:bookmarkEnd w:id="228"/>
    </w:p>
    <w:p w14:paraId="7BCDED4A"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0" w:type="dxa"/>
          <w:right w:w="0" w:type="dxa"/>
        </w:tblCellMar>
        <w:tblLook w:val="04A0" w:firstRow="1" w:lastRow="0" w:firstColumn="1" w:lastColumn="0" w:noHBand="0" w:noVBand="1"/>
      </w:tblPr>
      <w:tblGrid>
        <w:gridCol w:w="1377"/>
        <w:gridCol w:w="1353"/>
        <w:gridCol w:w="1401"/>
        <w:gridCol w:w="1377"/>
        <w:gridCol w:w="1377"/>
        <w:gridCol w:w="1377"/>
        <w:gridCol w:w="1377"/>
      </w:tblGrid>
      <w:tr w:rsidR="006C011D" w:rsidRPr="005A284F" w14:paraId="7F2D997B" w14:textId="77777777" w:rsidTr="00471F7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615190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1353" w:type="dxa"/>
            <w:tcBorders>
              <w:top w:val="single" w:sz="2" w:space="0" w:color="auto"/>
              <w:left w:val="single" w:sz="2" w:space="0" w:color="auto"/>
              <w:bottom w:val="single" w:sz="2" w:space="0" w:color="auto"/>
              <w:right w:val="single" w:sz="2" w:space="0" w:color="auto"/>
            </w:tcBorders>
            <w:vAlign w:val="center"/>
          </w:tcPr>
          <w:p w14:paraId="126D3593" w14:textId="77777777" w:rsidR="006C011D" w:rsidRPr="005A284F" w:rsidRDefault="00000000">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房屋及建筑物</w:t>
            </w:r>
          </w:p>
        </w:tc>
        <w:tc>
          <w:tcPr>
            <w:tcW w:w="1401" w:type="dxa"/>
            <w:tcBorders>
              <w:top w:val="single" w:sz="2" w:space="0" w:color="auto"/>
              <w:left w:val="single" w:sz="2" w:space="0" w:color="auto"/>
              <w:bottom w:val="single" w:sz="2" w:space="0" w:color="auto"/>
              <w:right w:val="single" w:sz="2" w:space="0" w:color="auto"/>
            </w:tcBorders>
            <w:vAlign w:val="center"/>
          </w:tcPr>
          <w:p w14:paraId="02AD05B3" w14:textId="77777777" w:rsidR="006C011D" w:rsidRPr="005A284F" w:rsidRDefault="00000000">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机器设备</w:t>
            </w:r>
          </w:p>
        </w:tc>
        <w:tc>
          <w:tcPr>
            <w:tcW w:w="1377" w:type="dxa"/>
            <w:tcBorders>
              <w:top w:val="single" w:sz="2" w:space="0" w:color="auto"/>
              <w:left w:val="single" w:sz="2" w:space="0" w:color="auto"/>
              <w:bottom w:val="single" w:sz="2" w:space="0" w:color="auto"/>
              <w:right w:val="single" w:sz="2" w:space="0" w:color="auto"/>
            </w:tcBorders>
            <w:vAlign w:val="center"/>
          </w:tcPr>
          <w:p w14:paraId="42C04778" w14:textId="77777777" w:rsidR="006C011D" w:rsidRPr="005A284F" w:rsidRDefault="00000000">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电子设备</w:t>
            </w:r>
          </w:p>
        </w:tc>
        <w:tc>
          <w:tcPr>
            <w:tcW w:w="1377" w:type="dxa"/>
            <w:tcBorders>
              <w:top w:val="single" w:sz="2" w:space="0" w:color="auto"/>
              <w:left w:val="single" w:sz="2" w:space="0" w:color="auto"/>
              <w:bottom w:val="single" w:sz="2" w:space="0" w:color="auto"/>
              <w:right w:val="single" w:sz="2" w:space="0" w:color="auto"/>
            </w:tcBorders>
            <w:vAlign w:val="center"/>
          </w:tcPr>
          <w:p w14:paraId="65829D36" w14:textId="77777777" w:rsidR="006C011D" w:rsidRPr="005A284F" w:rsidRDefault="00000000">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交通运输设备</w:t>
            </w:r>
          </w:p>
        </w:tc>
        <w:tc>
          <w:tcPr>
            <w:tcW w:w="1377" w:type="dxa"/>
            <w:tcBorders>
              <w:top w:val="single" w:sz="2" w:space="0" w:color="auto"/>
              <w:left w:val="single" w:sz="2" w:space="0" w:color="auto"/>
              <w:bottom w:val="single" w:sz="2" w:space="0" w:color="auto"/>
              <w:right w:val="single" w:sz="2" w:space="0" w:color="auto"/>
            </w:tcBorders>
            <w:vAlign w:val="center"/>
          </w:tcPr>
          <w:p w14:paraId="5ED6108F" w14:textId="77777777" w:rsidR="006C011D" w:rsidRPr="005A284F" w:rsidRDefault="00000000">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家具等</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546260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r>
      <w:tr w:rsidR="006C011D" w:rsidRPr="005A284F" w14:paraId="5EDC64F0" w14:textId="77777777" w:rsidTr="00471F7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365F3B4"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一、账面原值：</w:t>
            </w:r>
          </w:p>
        </w:tc>
        <w:tc>
          <w:tcPr>
            <w:tcW w:w="1353" w:type="dxa"/>
            <w:tcBorders>
              <w:top w:val="single" w:sz="2" w:space="0" w:color="auto"/>
              <w:left w:val="single" w:sz="2" w:space="0" w:color="auto"/>
              <w:bottom w:val="single" w:sz="2" w:space="0" w:color="auto"/>
              <w:right w:val="single" w:sz="2" w:space="0" w:color="auto"/>
            </w:tcBorders>
            <w:vAlign w:val="center"/>
          </w:tcPr>
          <w:p w14:paraId="4943092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01" w:type="dxa"/>
            <w:tcBorders>
              <w:top w:val="single" w:sz="2" w:space="0" w:color="auto"/>
              <w:left w:val="single" w:sz="2" w:space="0" w:color="auto"/>
              <w:bottom w:val="single" w:sz="2" w:space="0" w:color="auto"/>
              <w:right w:val="single" w:sz="2" w:space="0" w:color="auto"/>
            </w:tcBorders>
            <w:vAlign w:val="center"/>
          </w:tcPr>
          <w:p w14:paraId="2BC2B89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830652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3A4688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54AA5B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BC4FAF5"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15DC0456" w14:textId="77777777" w:rsidTr="00471F7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8194685" w14:textId="77777777" w:rsidR="006C011D" w:rsidRPr="005A284F" w:rsidRDefault="00000000" w:rsidP="00471F74">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期初余额</w:t>
            </w:r>
          </w:p>
        </w:tc>
        <w:tc>
          <w:tcPr>
            <w:tcW w:w="1353" w:type="dxa"/>
            <w:tcBorders>
              <w:top w:val="single" w:sz="2" w:space="0" w:color="auto"/>
              <w:left w:val="single" w:sz="2" w:space="0" w:color="auto"/>
              <w:bottom w:val="single" w:sz="2" w:space="0" w:color="auto"/>
              <w:right w:val="single" w:sz="2" w:space="0" w:color="auto"/>
            </w:tcBorders>
            <w:vAlign w:val="center"/>
          </w:tcPr>
          <w:p w14:paraId="0CB3356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2,214,802,707.84</w:t>
            </w:r>
          </w:p>
        </w:tc>
        <w:tc>
          <w:tcPr>
            <w:tcW w:w="1401" w:type="dxa"/>
            <w:tcBorders>
              <w:top w:val="single" w:sz="2" w:space="0" w:color="auto"/>
              <w:left w:val="single" w:sz="2" w:space="0" w:color="auto"/>
              <w:bottom w:val="single" w:sz="2" w:space="0" w:color="auto"/>
              <w:right w:val="single" w:sz="2" w:space="0" w:color="auto"/>
            </w:tcBorders>
            <w:vAlign w:val="center"/>
          </w:tcPr>
          <w:p w14:paraId="5214AF7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1,055,877,025.62</w:t>
            </w:r>
          </w:p>
        </w:tc>
        <w:tc>
          <w:tcPr>
            <w:tcW w:w="1377" w:type="dxa"/>
            <w:tcBorders>
              <w:top w:val="single" w:sz="2" w:space="0" w:color="auto"/>
              <w:left w:val="single" w:sz="2" w:space="0" w:color="auto"/>
              <w:bottom w:val="single" w:sz="2" w:space="0" w:color="auto"/>
              <w:right w:val="single" w:sz="2" w:space="0" w:color="auto"/>
            </w:tcBorders>
            <w:vAlign w:val="center"/>
          </w:tcPr>
          <w:p w14:paraId="7E9D775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47,799,792.59</w:t>
            </w:r>
          </w:p>
        </w:tc>
        <w:tc>
          <w:tcPr>
            <w:tcW w:w="1377" w:type="dxa"/>
            <w:tcBorders>
              <w:top w:val="single" w:sz="2" w:space="0" w:color="auto"/>
              <w:left w:val="single" w:sz="2" w:space="0" w:color="auto"/>
              <w:bottom w:val="single" w:sz="2" w:space="0" w:color="auto"/>
              <w:right w:val="single" w:sz="2" w:space="0" w:color="auto"/>
            </w:tcBorders>
            <w:vAlign w:val="center"/>
          </w:tcPr>
          <w:p w14:paraId="79F9685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33,843,318.77</w:t>
            </w:r>
          </w:p>
        </w:tc>
        <w:tc>
          <w:tcPr>
            <w:tcW w:w="1377" w:type="dxa"/>
            <w:tcBorders>
              <w:top w:val="single" w:sz="2" w:space="0" w:color="auto"/>
              <w:left w:val="single" w:sz="2" w:space="0" w:color="auto"/>
              <w:bottom w:val="single" w:sz="2" w:space="0" w:color="auto"/>
              <w:right w:val="single" w:sz="2" w:space="0" w:color="auto"/>
            </w:tcBorders>
            <w:vAlign w:val="center"/>
          </w:tcPr>
          <w:p w14:paraId="702533D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79,328,722.40</w:t>
            </w:r>
          </w:p>
        </w:tc>
        <w:tc>
          <w:tcPr>
            <w:tcW w:w="1377" w:type="dxa"/>
            <w:tcBorders>
              <w:top w:val="single" w:sz="2" w:space="0" w:color="auto"/>
              <w:left w:val="single" w:sz="2" w:space="0" w:color="auto"/>
              <w:bottom w:val="single" w:sz="2" w:space="0" w:color="auto"/>
              <w:right w:val="single" w:sz="2" w:space="0" w:color="auto"/>
            </w:tcBorders>
            <w:vAlign w:val="center"/>
          </w:tcPr>
          <w:p w14:paraId="5E419AC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3,431,651,567.22</w:t>
            </w:r>
          </w:p>
        </w:tc>
      </w:tr>
      <w:tr w:rsidR="006C011D" w:rsidRPr="005A284F" w14:paraId="61604C0B" w14:textId="77777777" w:rsidTr="00471F7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49F1FA0" w14:textId="77777777" w:rsidR="006C011D" w:rsidRPr="005A284F" w:rsidRDefault="00000000" w:rsidP="00471F74">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本期增加金额</w:t>
            </w:r>
          </w:p>
        </w:tc>
        <w:tc>
          <w:tcPr>
            <w:tcW w:w="1353" w:type="dxa"/>
            <w:tcBorders>
              <w:top w:val="single" w:sz="2" w:space="0" w:color="auto"/>
              <w:left w:val="single" w:sz="2" w:space="0" w:color="auto"/>
              <w:bottom w:val="single" w:sz="2" w:space="0" w:color="auto"/>
              <w:right w:val="single" w:sz="2" w:space="0" w:color="auto"/>
            </w:tcBorders>
            <w:vAlign w:val="center"/>
          </w:tcPr>
          <w:p w14:paraId="578D026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8,209,613.40</w:t>
            </w:r>
          </w:p>
        </w:tc>
        <w:tc>
          <w:tcPr>
            <w:tcW w:w="1401" w:type="dxa"/>
            <w:tcBorders>
              <w:top w:val="single" w:sz="2" w:space="0" w:color="auto"/>
              <w:left w:val="single" w:sz="2" w:space="0" w:color="auto"/>
              <w:bottom w:val="single" w:sz="2" w:space="0" w:color="auto"/>
              <w:right w:val="single" w:sz="2" w:space="0" w:color="auto"/>
            </w:tcBorders>
            <w:vAlign w:val="center"/>
          </w:tcPr>
          <w:p w14:paraId="57A336D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15,964,378.49</w:t>
            </w:r>
          </w:p>
        </w:tc>
        <w:tc>
          <w:tcPr>
            <w:tcW w:w="1377" w:type="dxa"/>
            <w:tcBorders>
              <w:top w:val="single" w:sz="2" w:space="0" w:color="auto"/>
              <w:left w:val="single" w:sz="2" w:space="0" w:color="auto"/>
              <w:bottom w:val="single" w:sz="2" w:space="0" w:color="auto"/>
              <w:right w:val="single" w:sz="2" w:space="0" w:color="auto"/>
            </w:tcBorders>
            <w:vAlign w:val="center"/>
          </w:tcPr>
          <w:p w14:paraId="2B7B99C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1,173,293.42</w:t>
            </w:r>
          </w:p>
        </w:tc>
        <w:tc>
          <w:tcPr>
            <w:tcW w:w="1377" w:type="dxa"/>
            <w:tcBorders>
              <w:top w:val="single" w:sz="2" w:space="0" w:color="auto"/>
              <w:left w:val="single" w:sz="2" w:space="0" w:color="auto"/>
              <w:bottom w:val="single" w:sz="2" w:space="0" w:color="auto"/>
              <w:right w:val="single" w:sz="2" w:space="0" w:color="auto"/>
            </w:tcBorders>
            <w:vAlign w:val="center"/>
          </w:tcPr>
          <w:p w14:paraId="3FC6CED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109,397.42</w:t>
            </w:r>
          </w:p>
        </w:tc>
        <w:tc>
          <w:tcPr>
            <w:tcW w:w="1377" w:type="dxa"/>
            <w:tcBorders>
              <w:top w:val="single" w:sz="2" w:space="0" w:color="auto"/>
              <w:left w:val="single" w:sz="2" w:space="0" w:color="auto"/>
              <w:bottom w:val="single" w:sz="2" w:space="0" w:color="auto"/>
              <w:right w:val="single" w:sz="2" w:space="0" w:color="auto"/>
            </w:tcBorders>
            <w:vAlign w:val="center"/>
          </w:tcPr>
          <w:p w14:paraId="48FAEC3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2,758,891.36</w:t>
            </w:r>
          </w:p>
        </w:tc>
        <w:tc>
          <w:tcPr>
            <w:tcW w:w="1377" w:type="dxa"/>
            <w:tcBorders>
              <w:top w:val="single" w:sz="2" w:space="0" w:color="auto"/>
              <w:left w:val="single" w:sz="2" w:space="0" w:color="auto"/>
              <w:bottom w:val="single" w:sz="2" w:space="0" w:color="auto"/>
              <w:right w:val="single" w:sz="2" w:space="0" w:color="auto"/>
            </w:tcBorders>
            <w:vAlign w:val="center"/>
          </w:tcPr>
          <w:p w14:paraId="5D45FF4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28,215,574.09</w:t>
            </w:r>
          </w:p>
        </w:tc>
      </w:tr>
      <w:tr w:rsidR="006C011D" w:rsidRPr="005A284F" w14:paraId="0B58CE37" w14:textId="77777777" w:rsidTr="00471F7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65233BD" w14:textId="77777777" w:rsidR="006C011D" w:rsidRPr="005A284F" w:rsidRDefault="00000000" w:rsidP="00471F74">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）购置</w:t>
            </w:r>
          </w:p>
        </w:tc>
        <w:tc>
          <w:tcPr>
            <w:tcW w:w="1353" w:type="dxa"/>
            <w:tcBorders>
              <w:top w:val="single" w:sz="2" w:space="0" w:color="auto"/>
              <w:left w:val="single" w:sz="2" w:space="0" w:color="auto"/>
              <w:bottom w:val="single" w:sz="2" w:space="0" w:color="auto"/>
              <w:right w:val="single" w:sz="2" w:space="0" w:color="auto"/>
            </w:tcBorders>
            <w:vAlign w:val="center"/>
          </w:tcPr>
          <w:p w14:paraId="5A97A92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45,112.07</w:t>
            </w:r>
          </w:p>
        </w:tc>
        <w:tc>
          <w:tcPr>
            <w:tcW w:w="1401" w:type="dxa"/>
            <w:tcBorders>
              <w:top w:val="single" w:sz="2" w:space="0" w:color="auto"/>
              <w:left w:val="single" w:sz="2" w:space="0" w:color="auto"/>
              <w:bottom w:val="single" w:sz="2" w:space="0" w:color="auto"/>
              <w:right w:val="single" w:sz="2" w:space="0" w:color="auto"/>
            </w:tcBorders>
            <w:vAlign w:val="center"/>
          </w:tcPr>
          <w:p w14:paraId="0741590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6,589,447.70</w:t>
            </w:r>
          </w:p>
        </w:tc>
        <w:tc>
          <w:tcPr>
            <w:tcW w:w="1377" w:type="dxa"/>
            <w:tcBorders>
              <w:top w:val="single" w:sz="2" w:space="0" w:color="auto"/>
              <w:left w:val="single" w:sz="2" w:space="0" w:color="auto"/>
              <w:bottom w:val="single" w:sz="2" w:space="0" w:color="auto"/>
              <w:right w:val="single" w:sz="2" w:space="0" w:color="auto"/>
            </w:tcBorders>
            <w:vAlign w:val="center"/>
          </w:tcPr>
          <w:p w14:paraId="7100E77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1,172,242.61</w:t>
            </w:r>
          </w:p>
        </w:tc>
        <w:tc>
          <w:tcPr>
            <w:tcW w:w="1377" w:type="dxa"/>
            <w:tcBorders>
              <w:top w:val="single" w:sz="2" w:space="0" w:color="auto"/>
              <w:left w:val="single" w:sz="2" w:space="0" w:color="auto"/>
              <w:bottom w:val="single" w:sz="2" w:space="0" w:color="auto"/>
              <w:right w:val="single" w:sz="2" w:space="0" w:color="auto"/>
            </w:tcBorders>
            <w:vAlign w:val="center"/>
          </w:tcPr>
          <w:p w14:paraId="4ABC811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109,397.42</w:t>
            </w:r>
          </w:p>
        </w:tc>
        <w:tc>
          <w:tcPr>
            <w:tcW w:w="1377" w:type="dxa"/>
            <w:tcBorders>
              <w:top w:val="single" w:sz="2" w:space="0" w:color="auto"/>
              <w:left w:val="single" w:sz="2" w:space="0" w:color="auto"/>
              <w:bottom w:val="single" w:sz="2" w:space="0" w:color="auto"/>
              <w:right w:val="single" w:sz="2" w:space="0" w:color="auto"/>
            </w:tcBorders>
            <w:vAlign w:val="center"/>
          </w:tcPr>
          <w:p w14:paraId="3CB2416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2,700,812.55</w:t>
            </w:r>
          </w:p>
        </w:tc>
        <w:tc>
          <w:tcPr>
            <w:tcW w:w="1377" w:type="dxa"/>
            <w:tcBorders>
              <w:top w:val="single" w:sz="2" w:space="0" w:color="auto"/>
              <w:left w:val="single" w:sz="2" w:space="0" w:color="auto"/>
              <w:bottom w:val="single" w:sz="2" w:space="0" w:color="auto"/>
              <w:right w:val="single" w:sz="2" w:space="0" w:color="auto"/>
            </w:tcBorders>
            <w:vAlign w:val="center"/>
          </w:tcPr>
          <w:p w14:paraId="1D84D12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10,617,012.35</w:t>
            </w:r>
          </w:p>
        </w:tc>
      </w:tr>
      <w:tr w:rsidR="006C011D" w:rsidRPr="005A284F" w14:paraId="513FF950" w14:textId="77777777" w:rsidTr="00471F7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8EBCFEC" w14:textId="77777777" w:rsidR="006C011D" w:rsidRPr="005A284F" w:rsidRDefault="00000000" w:rsidP="00471F74">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）在建工程转入</w:t>
            </w:r>
          </w:p>
        </w:tc>
        <w:tc>
          <w:tcPr>
            <w:tcW w:w="1353" w:type="dxa"/>
            <w:tcBorders>
              <w:top w:val="single" w:sz="2" w:space="0" w:color="auto"/>
              <w:left w:val="single" w:sz="2" w:space="0" w:color="auto"/>
              <w:bottom w:val="single" w:sz="2" w:space="0" w:color="auto"/>
              <w:right w:val="single" w:sz="2" w:space="0" w:color="auto"/>
            </w:tcBorders>
            <w:vAlign w:val="center"/>
          </w:tcPr>
          <w:p w14:paraId="3994769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8,164,501.33</w:t>
            </w:r>
          </w:p>
        </w:tc>
        <w:tc>
          <w:tcPr>
            <w:tcW w:w="1401" w:type="dxa"/>
            <w:tcBorders>
              <w:top w:val="single" w:sz="2" w:space="0" w:color="auto"/>
              <w:left w:val="single" w:sz="2" w:space="0" w:color="auto"/>
              <w:bottom w:val="single" w:sz="2" w:space="0" w:color="auto"/>
              <w:right w:val="single" w:sz="2" w:space="0" w:color="auto"/>
            </w:tcBorders>
            <w:vAlign w:val="center"/>
          </w:tcPr>
          <w:p w14:paraId="0F95466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9,374,930.79</w:t>
            </w:r>
          </w:p>
        </w:tc>
        <w:tc>
          <w:tcPr>
            <w:tcW w:w="1377" w:type="dxa"/>
            <w:tcBorders>
              <w:top w:val="single" w:sz="2" w:space="0" w:color="auto"/>
              <w:left w:val="single" w:sz="2" w:space="0" w:color="auto"/>
              <w:bottom w:val="single" w:sz="2" w:space="0" w:color="auto"/>
              <w:right w:val="single" w:sz="2" w:space="0" w:color="auto"/>
            </w:tcBorders>
            <w:vAlign w:val="center"/>
          </w:tcPr>
          <w:p w14:paraId="6CB9EFC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1,050.81</w:t>
            </w:r>
          </w:p>
        </w:tc>
        <w:tc>
          <w:tcPr>
            <w:tcW w:w="1377" w:type="dxa"/>
            <w:tcBorders>
              <w:top w:val="single" w:sz="2" w:space="0" w:color="auto"/>
              <w:left w:val="single" w:sz="2" w:space="0" w:color="auto"/>
              <w:bottom w:val="single" w:sz="2" w:space="0" w:color="auto"/>
              <w:right w:val="single" w:sz="2" w:space="0" w:color="auto"/>
            </w:tcBorders>
            <w:vAlign w:val="center"/>
          </w:tcPr>
          <w:p w14:paraId="343148E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1C710B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58,078.81</w:t>
            </w:r>
          </w:p>
        </w:tc>
        <w:tc>
          <w:tcPr>
            <w:tcW w:w="1377" w:type="dxa"/>
            <w:tcBorders>
              <w:top w:val="single" w:sz="2" w:space="0" w:color="auto"/>
              <w:left w:val="single" w:sz="2" w:space="0" w:color="auto"/>
              <w:bottom w:val="single" w:sz="2" w:space="0" w:color="auto"/>
              <w:right w:val="single" w:sz="2" w:space="0" w:color="auto"/>
            </w:tcBorders>
            <w:vAlign w:val="center"/>
          </w:tcPr>
          <w:p w14:paraId="2CDA642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17,598,561.74</w:t>
            </w:r>
          </w:p>
        </w:tc>
      </w:tr>
      <w:tr w:rsidR="006C011D" w:rsidRPr="005A284F" w14:paraId="01A9F369" w14:textId="77777777" w:rsidTr="00471F7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E4C5C2A" w14:textId="77777777" w:rsidR="006C011D" w:rsidRPr="005A284F" w:rsidRDefault="00000000" w:rsidP="00471F74">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）企业合并增加</w:t>
            </w:r>
          </w:p>
        </w:tc>
        <w:tc>
          <w:tcPr>
            <w:tcW w:w="1353" w:type="dxa"/>
            <w:tcBorders>
              <w:top w:val="single" w:sz="2" w:space="0" w:color="auto"/>
              <w:left w:val="single" w:sz="2" w:space="0" w:color="auto"/>
              <w:bottom w:val="single" w:sz="2" w:space="0" w:color="auto"/>
              <w:right w:val="single" w:sz="2" w:space="0" w:color="auto"/>
            </w:tcBorders>
            <w:vAlign w:val="center"/>
          </w:tcPr>
          <w:p w14:paraId="7278728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01" w:type="dxa"/>
            <w:tcBorders>
              <w:top w:val="single" w:sz="2" w:space="0" w:color="auto"/>
              <w:left w:val="single" w:sz="2" w:space="0" w:color="auto"/>
              <w:bottom w:val="single" w:sz="2" w:space="0" w:color="auto"/>
              <w:right w:val="single" w:sz="2" w:space="0" w:color="auto"/>
            </w:tcBorders>
            <w:vAlign w:val="center"/>
          </w:tcPr>
          <w:p w14:paraId="11CE728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80C2B4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5E4861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AF9685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D24A3B9"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4F5C62F6" w14:textId="77777777" w:rsidTr="00471F74">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6FEBB8B7" w14:textId="77777777" w:rsidR="006C011D" w:rsidRPr="005A284F" w:rsidRDefault="006C011D">
            <w:pPr>
              <w:spacing w:after="0" w:line="240" w:lineRule="exact"/>
              <w:rPr>
                <w:rFonts w:ascii="Times New Roman" w:eastAsia="宋体" w:hAnsi="Times New Roman" w:cs="Times New Roman"/>
                <w:sz w:val="18"/>
                <w:szCs w:val="18"/>
              </w:rPr>
            </w:pPr>
          </w:p>
        </w:tc>
        <w:tc>
          <w:tcPr>
            <w:tcW w:w="1353" w:type="dxa"/>
            <w:tcBorders>
              <w:top w:val="single" w:sz="2" w:space="0" w:color="auto"/>
              <w:left w:val="single" w:sz="2" w:space="0" w:color="auto"/>
              <w:bottom w:val="single" w:sz="2" w:space="0" w:color="auto"/>
              <w:right w:val="single" w:sz="2" w:space="0" w:color="auto"/>
            </w:tcBorders>
            <w:vAlign w:val="center"/>
          </w:tcPr>
          <w:p w14:paraId="411A3FD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01" w:type="dxa"/>
            <w:tcBorders>
              <w:top w:val="single" w:sz="2" w:space="0" w:color="auto"/>
              <w:left w:val="single" w:sz="2" w:space="0" w:color="auto"/>
              <w:bottom w:val="single" w:sz="2" w:space="0" w:color="auto"/>
              <w:right w:val="single" w:sz="2" w:space="0" w:color="auto"/>
            </w:tcBorders>
            <w:vAlign w:val="center"/>
          </w:tcPr>
          <w:p w14:paraId="270EF33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394767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191A0F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ADA5AC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5DAA0ED"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318BB813" w14:textId="77777777" w:rsidTr="00471F7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64D606B" w14:textId="77777777" w:rsidR="006C011D" w:rsidRPr="005A284F" w:rsidRDefault="00000000" w:rsidP="00471F74">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本期减少金额</w:t>
            </w:r>
          </w:p>
        </w:tc>
        <w:tc>
          <w:tcPr>
            <w:tcW w:w="1353" w:type="dxa"/>
            <w:tcBorders>
              <w:top w:val="single" w:sz="2" w:space="0" w:color="auto"/>
              <w:left w:val="single" w:sz="2" w:space="0" w:color="auto"/>
              <w:bottom w:val="single" w:sz="2" w:space="0" w:color="auto"/>
              <w:right w:val="single" w:sz="2" w:space="0" w:color="auto"/>
            </w:tcBorders>
            <w:vAlign w:val="center"/>
          </w:tcPr>
          <w:p w14:paraId="0178B5A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01" w:type="dxa"/>
            <w:tcBorders>
              <w:top w:val="single" w:sz="2" w:space="0" w:color="auto"/>
              <w:left w:val="single" w:sz="2" w:space="0" w:color="auto"/>
              <w:bottom w:val="single" w:sz="2" w:space="0" w:color="auto"/>
              <w:right w:val="single" w:sz="2" w:space="0" w:color="auto"/>
            </w:tcBorders>
            <w:vAlign w:val="center"/>
          </w:tcPr>
          <w:p w14:paraId="0EDE684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7,253,727.35</w:t>
            </w:r>
          </w:p>
        </w:tc>
        <w:tc>
          <w:tcPr>
            <w:tcW w:w="1377" w:type="dxa"/>
            <w:tcBorders>
              <w:top w:val="single" w:sz="2" w:space="0" w:color="auto"/>
              <w:left w:val="single" w:sz="2" w:space="0" w:color="auto"/>
              <w:bottom w:val="single" w:sz="2" w:space="0" w:color="auto"/>
              <w:right w:val="single" w:sz="2" w:space="0" w:color="auto"/>
            </w:tcBorders>
            <w:vAlign w:val="center"/>
          </w:tcPr>
          <w:p w14:paraId="0553D2C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946,517.88</w:t>
            </w:r>
          </w:p>
        </w:tc>
        <w:tc>
          <w:tcPr>
            <w:tcW w:w="1377" w:type="dxa"/>
            <w:tcBorders>
              <w:top w:val="single" w:sz="2" w:space="0" w:color="auto"/>
              <w:left w:val="single" w:sz="2" w:space="0" w:color="auto"/>
              <w:bottom w:val="single" w:sz="2" w:space="0" w:color="auto"/>
              <w:right w:val="single" w:sz="2" w:space="0" w:color="auto"/>
            </w:tcBorders>
            <w:vAlign w:val="center"/>
          </w:tcPr>
          <w:p w14:paraId="7BCAC15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556,909.21</w:t>
            </w:r>
          </w:p>
        </w:tc>
        <w:tc>
          <w:tcPr>
            <w:tcW w:w="1377" w:type="dxa"/>
            <w:tcBorders>
              <w:top w:val="single" w:sz="2" w:space="0" w:color="auto"/>
              <w:left w:val="single" w:sz="2" w:space="0" w:color="auto"/>
              <w:bottom w:val="single" w:sz="2" w:space="0" w:color="auto"/>
              <w:right w:val="single" w:sz="2" w:space="0" w:color="auto"/>
            </w:tcBorders>
            <w:vAlign w:val="center"/>
          </w:tcPr>
          <w:p w14:paraId="2C69593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521,604.34</w:t>
            </w:r>
          </w:p>
        </w:tc>
        <w:tc>
          <w:tcPr>
            <w:tcW w:w="1377" w:type="dxa"/>
            <w:tcBorders>
              <w:top w:val="single" w:sz="2" w:space="0" w:color="auto"/>
              <w:left w:val="single" w:sz="2" w:space="0" w:color="auto"/>
              <w:bottom w:val="single" w:sz="2" w:space="0" w:color="auto"/>
              <w:right w:val="single" w:sz="2" w:space="0" w:color="auto"/>
            </w:tcBorders>
            <w:vAlign w:val="center"/>
          </w:tcPr>
          <w:p w14:paraId="6090E41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9,278,758.78</w:t>
            </w:r>
          </w:p>
        </w:tc>
      </w:tr>
      <w:tr w:rsidR="006C011D" w:rsidRPr="005A284F" w14:paraId="273E5C7A" w14:textId="77777777" w:rsidTr="00471F7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82189B1" w14:textId="77777777" w:rsidR="006C011D" w:rsidRPr="005A284F" w:rsidRDefault="00000000" w:rsidP="00471F74">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）处置或报废</w:t>
            </w:r>
          </w:p>
        </w:tc>
        <w:tc>
          <w:tcPr>
            <w:tcW w:w="1353" w:type="dxa"/>
            <w:tcBorders>
              <w:top w:val="single" w:sz="2" w:space="0" w:color="auto"/>
              <w:left w:val="single" w:sz="2" w:space="0" w:color="auto"/>
              <w:bottom w:val="single" w:sz="2" w:space="0" w:color="auto"/>
              <w:right w:val="single" w:sz="2" w:space="0" w:color="auto"/>
            </w:tcBorders>
            <w:vAlign w:val="center"/>
          </w:tcPr>
          <w:p w14:paraId="19AC2E8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01" w:type="dxa"/>
            <w:tcBorders>
              <w:top w:val="single" w:sz="2" w:space="0" w:color="auto"/>
              <w:left w:val="single" w:sz="2" w:space="0" w:color="auto"/>
              <w:bottom w:val="single" w:sz="2" w:space="0" w:color="auto"/>
              <w:right w:val="single" w:sz="2" w:space="0" w:color="auto"/>
            </w:tcBorders>
            <w:vAlign w:val="center"/>
          </w:tcPr>
          <w:p w14:paraId="7D80F79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7,253,727.35</w:t>
            </w:r>
          </w:p>
        </w:tc>
        <w:tc>
          <w:tcPr>
            <w:tcW w:w="1377" w:type="dxa"/>
            <w:tcBorders>
              <w:top w:val="single" w:sz="2" w:space="0" w:color="auto"/>
              <w:left w:val="single" w:sz="2" w:space="0" w:color="auto"/>
              <w:bottom w:val="single" w:sz="2" w:space="0" w:color="auto"/>
              <w:right w:val="single" w:sz="2" w:space="0" w:color="auto"/>
            </w:tcBorders>
            <w:vAlign w:val="center"/>
          </w:tcPr>
          <w:p w14:paraId="57A6FE7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946,517.88</w:t>
            </w:r>
          </w:p>
        </w:tc>
        <w:tc>
          <w:tcPr>
            <w:tcW w:w="1377" w:type="dxa"/>
            <w:tcBorders>
              <w:top w:val="single" w:sz="2" w:space="0" w:color="auto"/>
              <w:left w:val="single" w:sz="2" w:space="0" w:color="auto"/>
              <w:bottom w:val="single" w:sz="2" w:space="0" w:color="auto"/>
              <w:right w:val="single" w:sz="2" w:space="0" w:color="auto"/>
            </w:tcBorders>
            <w:vAlign w:val="center"/>
          </w:tcPr>
          <w:p w14:paraId="3C7D3EC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556,909.21</w:t>
            </w:r>
          </w:p>
        </w:tc>
        <w:tc>
          <w:tcPr>
            <w:tcW w:w="1377" w:type="dxa"/>
            <w:tcBorders>
              <w:top w:val="single" w:sz="2" w:space="0" w:color="auto"/>
              <w:left w:val="single" w:sz="2" w:space="0" w:color="auto"/>
              <w:bottom w:val="single" w:sz="2" w:space="0" w:color="auto"/>
              <w:right w:val="single" w:sz="2" w:space="0" w:color="auto"/>
            </w:tcBorders>
            <w:vAlign w:val="center"/>
          </w:tcPr>
          <w:p w14:paraId="2BDF05F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521,604.34</w:t>
            </w:r>
          </w:p>
        </w:tc>
        <w:tc>
          <w:tcPr>
            <w:tcW w:w="1377" w:type="dxa"/>
            <w:tcBorders>
              <w:top w:val="single" w:sz="2" w:space="0" w:color="auto"/>
              <w:left w:val="single" w:sz="2" w:space="0" w:color="auto"/>
              <w:bottom w:val="single" w:sz="2" w:space="0" w:color="auto"/>
              <w:right w:val="single" w:sz="2" w:space="0" w:color="auto"/>
            </w:tcBorders>
            <w:vAlign w:val="center"/>
          </w:tcPr>
          <w:p w14:paraId="25F4466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9,278,758.78</w:t>
            </w:r>
          </w:p>
        </w:tc>
      </w:tr>
      <w:tr w:rsidR="006C011D" w:rsidRPr="005A284F" w14:paraId="3A99C4E3" w14:textId="77777777" w:rsidTr="00471F74">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E6E737D" w14:textId="77777777" w:rsidR="006C011D" w:rsidRPr="005A284F" w:rsidRDefault="006C011D">
            <w:pPr>
              <w:spacing w:after="0" w:line="240" w:lineRule="exact"/>
              <w:rPr>
                <w:rFonts w:ascii="Times New Roman" w:eastAsia="宋体" w:hAnsi="Times New Roman" w:cs="Times New Roman"/>
                <w:sz w:val="18"/>
                <w:szCs w:val="18"/>
              </w:rPr>
            </w:pPr>
          </w:p>
        </w:tc>
        <w:tc>
          <w:tcPr>
            <w:tcW w:w="1353" w:type="dxa"/>
            <w:tcBorders>
              <w:top w:val="single" w:sz="2" w:space="0" w:color="auto"/>
              <w:left w:val="single" w:sz="2" w:space="0" w:color="auto"/>
              <w:bottom w:val="single" w:sz="2" w:space="0" w:color="auto"/>
              <w:right w:val="single" w:sz="2" w:space="0" w:color="auto"/>
            </w:tcBorders>
            <w:vAlign w:val="center"/>
          </w:tcPr>
          <w:p w14:paraId="0E513A9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01" w:type="dxa"/>
            <w:tcBorders>
              <w:top w:val="single" w:sz="2" w:space="0" w:color="auto"/>
              <w:left w:val="single" w:sz="2" w:space="0" w:color="auto"/>
              <w:bottom w:val="single" w:sz="2" w:space="0" w:color="auto"/>
              <w:right w:val="single" w:sz="2" w:space="0" w:color="auto"/>
            </w:tcBorders>
            <w:vAlign w:val="center"/>
          </w:tcPr>
          <w:p w14:paraId="5D422EF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F11823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DBD5DC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4C4A24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6920369"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7603886A" w14:textId="77777777" w:rsidTr="00471F7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82307F7" w14:textId="77777777" w:rsidR="006C011D" w:rsidRPr="005A284F" w:rsidRDefault="00000000" w:rsidP="00471F74">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期末余额</w:t>
            </w:r>
          </w:p>
        </w:tc>
        <w:tc>
          <w:tcPr>
            <w:tcW w:w="1353" w:type="dxa"/>
            <w:tcBorders>
              <w:top w:val="single" w:sz="2" w:space="0" w:color="auto"/>
              <w:left w:val="single" w:sz="2" w:space="0" w:color="auto"/>
              <w:bottom w:val="single" w:sz="2" w:space="0" w:color="auto"/>
              <w:right w:val="single" w:sz="2" w:space="0" w:color="auto"/>
            </w:tcBorders>
            <w:vAlign w:val="center"/>
          </w:tcPr>
          <w:p w14:paraId="32F55DD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2,223,012,321.24</w:t>
            </w:r>
          </w:p>
        </w:tc>
        <w:tc>
          <w:tcPr>
            <w:tcW w:w="1401" w:type="dxa"/>
            <w:tcBorders>
              <w:top w:val="single" w:sz="2" w:space="0" w:color="auto"/>
              <w:left w:val="single" w:sz="2" w:space="0" w:color="auto"/>
              <w:bottom w:val="single" w:sz="2" w:space="0" w:color="auto"/>
              <w:right w:val="single" w:sz="2" w:space="0" w:color="auto"/>
            </w:tcBorders>
            <w:vAlign w:val="center"/>
          </w:tcPr>
          <w:p w14:paraId="0A1E6D3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1,064,587,676.76</w:t>
            </w:r>
          </w:p>
        </w:tc>
        <w:tc>
          <w:tcPr>
            <w:tcW w:w="1377" w:type="dxa"/>
            <w:tcBorders>
              <w:top w:val="single" w:sz="2" w:space="0" w:color="auto"/>
              <w:left w:val="single" w:sz="2" w:space="0" w:color="auto"/>
              <w:bottom w:val="single" w:sz="2" w:space="0" w:color="auto"/>
              <w:right w:val="single" w:sz="2" w:space="0" w:color="auto"/>
            </w:tcBorders>
            <w:vAlign w:val="center"/>
          </w:tcPr>
          <w:p w14:paraId="4C504B2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48,026,568.13</w:t>
            </w:r>
          </w:p>
        </w:tc>
        <w:tc>
          <w:tcPr>
            <w:tcW w:w="1377" w:type="dxa"/>
            <w:tcBorders>
              <w:top w:val="single" w:sz="2" w:space="0" w:color="auto"/>
              <w:left w:val="single" w:sz="2" w:space="0" w:color="auto"/>
              <w:bottom w:val="single" w:sz="2" w:space="0" w:color="auto"/>
              <w:right w:val="single" w:sz="2" w:space="0" w:color="auto"/>
            </w:tcBorders>
            <w:vAlign w:val="center"/>
          </w:tcPr>
          <w:p w14:paraId="3F5F897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33,395,806.98</w:t>
            </w:r>
          </w:p>
        </w:tc>
        <w:tc>
          <w:tcPr>
            <w:tcW w:w="1377" w:type="dxa"/>
            <w:tcBorders>
              <w:top w:val="single" w:sz="2" w:space="0" w:color="auto"/>
              <w:left w:val="single" w:sz="2" w:space="0" w:color="auto"/>
              <w:bottom w:val="single" w:sz="2" w:space="0" w:color="auto"/>
              <w:right w:val="single" w:sz="2" w:space="0" w:color="auto"/>
            </w:tcBorders>
            <w:vAlign w:val="center"/>
          </w:tcPr>
          <w:p w14:paraId="4F291E2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81,566,009.42</w:t>
            </w:r>
          </w:p>
        </w:tc>
        <w:tc>
          <w:tcPr>
            <w:tcW w:w="1377" w:type="dxa"/>
            <w:tcBorders>
              <w:top w:val="single" w:sz="2" w:space="0" w:color="auto"/>
              <w:left w:val="single" w:sz="2" w:space="0" w:color="auto"/>
              <w:bottom w:val="single" w:sz="2" w:space="0" w:color="auto"/>
              <w:right w:val="single" w:sz="2" w:space="0" w:color="auto"/>
            </w:tcBorders>
            <w:vAlign w:val="center"/>
          </w:tcPr>
          <w:p w14:paraId="77759C8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3,450,588,382.53</w:t>
            </w:r>
          </w:p>
        </w:tc>
      </w:tr>
      <w:tr w:rsidR="006C011D" w:rsidRPr="005A284F" w14:paraId="6166DB00" w14:textId="77777777" w:rsidTr="00471F7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0953788"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二、累计折旧</w:t>
            </w:r>
          </w:p>
        </w:tc>
        <w:tc>
          <w:tcPr>
            <w:tcW w:w="1353" w:type="dxa"/>
            <w:tcBorders>
              <w:top w:val="single" w:sz="2" w:space="0" w:color="auto"/>
              <w:left w:val="single" w:sz="2" w:space="0" w:color="auto"/>
              <w:bottom w:val="single" w:sz="2" w:space="0" w:color="auto"/>
              <w:right w:val="single" w:sz="2" w:space="0" w:color="auto"/>
            </w:tcBorders>
            <w:vAlign w:val="center"/>
          </w:tcPr>
          <w:p w14:paraId="77801AF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01" w:type="dxa"/>
            <w:tcBorders>
              <w:top w:val="single" w:sz="2" w:space="0" w:color="auto"/>
              <w:left w:val="single" w:sz="2" w:space="0" w:color="auto"/>
              <w:bottom w:val="single" w:sz="2" w:space="0" w:color="auto"/>
              <w:right w:val="single" w:sz="2" w:space="0" w:color="auto"/>
            </w:tcBorders>
            <w:vAlign w:val="center"/>
          </w:tcPr>
          <w:p w14:paraId="08978FA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96E22A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135251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EDD69F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F378E9D"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1CFB1A82" w14:textId="77777777" w:rsidTr="00471F7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1EC7128" w14:textId="77777777" w:rsidR="006C011D" w:rsidRPr="005A284F" w:rsidRDefault="00000000" w:rsidP="00471F74">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期初余额</w:t>
            </w:r>
          </w:p>
        </w:tc>
        <w:tc>
          <w:tcPr>
            <w:tcW w:w="1353" w:type="dxa"/>
            <w:tcBorders>
              <w:top w:val="single" w:sz="2" w:space="0" w:color="auto"/>
              <w:left w:val="single" w:sz="2" w:space="0" w:color="auto"/>
              <w:bottom w:val="single" w:sz="2" w:space="0" w:color="auto"/>
              <w:right w:val="single" w:sz="2" w:space="0" w:color="auto"/>
            </w:tcBorders>
            <w:vAlign w:val="center"/>
          </w:tcPr>
          <w:p w14:paraId="26BDE36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454,430,453.36</w:t>
            </w:r>
          </w:p>
        </w:tc>
        <w:tc>
          <w:tcPr>
            <w:tcW w:w="1401" w:type="dxa"/>
            <w:tcBorders>
              <w:top w:val="single" w:sz="2" w:space="0" w:color="auto"/>
              <w:left w:val="single" w:sz="2" w:space="0" w:color="auto"/>
              <w:bottom w:val="single" w:sz="2" w:space="0" w:color="auto"/>
              <w:right w:val="single" w:sz="2" w:space="0" w:color="auto"/>
            </w:tcBorders>
            <w:vAlign w:val="center"/>
          </w:tcPr>
          <w:p w14:paraId="5DCA828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479,165,994.38</w:t>
            </w:r>
          </w:p>
        </w:tc>
        <w:tc>
          <w:tcPr>
            <w:tcW w:w="1377" w:type="dxa"/>
            <w:tcBorders>
              <w:top w:val="single" w:sz="2" w:space="0" w:color="auto"/>
              <w:left w:val="single" w:sz="2" w:space="0" w:color="auto"/>
              <w:bottom w:val="single" w:sz="2" w:space="0" w:color="auto"/>
              <w:right w:val="single" w:sz="2" w:space="0" w:color="auto"/>
            </w:tcBorders>
            <w:vAlign w:val="center"/>
          </w:tcPr>
          <w:p w14:paraId="3CFF064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40,554,794.37</w:t>
            </w:r>
          </w:p>
        </w:tc>
        <w:tc>
          <w:tcPr>
            <w:tcW w:w="1377" w:type="dxa"/>
            <w:tcBorders>
              <w:top w:val="single" w:sz="2" w:space="0" w:color="auto"/>
              <w:left w:val="single" w:sz="2" w:space="0" w:color="auto"/>
              <w:bottom w:val="single" w:sz="2" w:space="0" w:color="auto"/>
              <w:right w:val="single" w:sz="2" w:space="0" w:color="auto"/>
            </w:tcBorders>
            <w:vAlign w:val="center"/>
          </w:tcPr>
          <w:p w14:paraId="1EA1C93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27,997,206.91</w:t>
            </w:r>
          </w:p>
        </w:tc>
        <w:tc>
          <w:tcPr>
            <w:tcW w:w="1377" w:type="dxa"/>
            <w:tcBorders>
              <w:top w:val="single" w:sz="2" w:space="0" w:color="auto"/>
              <w:left w:val="single" w:sz="2" w:space="0" w:color="auto"/>
              <w:bottom w:val="single" w:sz="2" w:space="0" w:color="auto"/>
              <w:right w:val="single" w:sz="2" w:space="0" w:color="auto"/>
            </w:tcBorders>
            <w:vAlign w:val="center"/>
          </w:tcPr>
          <w:p w14:paraId="3FAFEAA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58,730,139.94</w:t>
            </w:r>
          </w:p>
        </w:tc>
        <w:tc>
          <w:tcPr>
            <w:tcW w:w="1377" w:type="dxa"/>
            <w:tcBorders>
              <w:top w:val="single" w:sz="2" w:space="0" w:color="auto"/>
              <w:left w:val="single" w:sz="2" w:space="0" w:color="auto"/>
              <w:bottom w:val="single" w:sz="2" w:space="0" w:color="auto"/>
              <w:right w:val="single" w:sz="2" w:space="0" w:color="auto"/>
            </w:tcBorders>
            <w:vAlign w:val="center"/>
          </w:tcPr>
          <w:p w14:paraId="5ACA466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1,060,878,588.96</w:t>
            </w:r>
          </w:p>
        </w:tc>
      </w:tr>
      <w:tr w:rsidR="006C011D" w:rsidRPr="005A284F" w14:paraId="27C4D3E0" w14:textId="77777777" w:rsidTr="00471F7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834BF32" w14:textId="77777777" w:rsidR="006C011D" w:rsidRPr="005A284F" w:rsidRDefault="00000000" w:rsidP="00471F74">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本期增加金额</w:t>
            </w:r>
          </w:p>
        </w:tc>
        <w:tc>
          <w:tcPr>
            <w:tcW w:w="1353" w:type="dxa"/>
            <w:tcBorders>
              <w:top w:val="single" w:sz="2" w:space="0" w:color="auto"/>
              <w:left w:val="single" w:sz="2" w:space="0" w:color="auto"/>
              <w:bottom w:val="single" w:sz="2" w:space="0" w:color="auto"/>
              <w:right w:val="single" w:sz="2" w:space="0" w:color="auto"/>
            </w:tcBorders>
            <w:vAlign w:val="center"/>
          </w:tcPr>
          <w:p w14:paraId="4A97D66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40,842,265.58</w:t>
            </w:r>
          </w:p>
        </w:tc>
        <w:tc>
          <w:tcPr>
            <w:tcW w:w="1401" w:type="dxa"/>
            <w:tcBorders>
              <w:top w:val="single" w:sz="2" w:space="0" w:color="auto"/>
              <w:left w:val="single" w:sz="2" w:space="0" w:color="auto"/>
              <w:bottom w:val="single" w:sz="2" w:space="0" w:color="auto"/>
              <w:right w:val="single" w:sz="2" w:space="0" w:color="auto"/>
            </w:tcBorders>
            <w:vAlign w:val="center"/>
          </w:tcPr>
          <w:p w14:paraId="3E09F7B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39,881,872.62</w:t>
            </w:r>
          </w:p>
        </w:tc>
        <w:tc>
          <w:tcPr>
            <w:tcW w:w="1377" w:type="dxa"/>
            <w:tcBorders>
              <w:top w:val="single" w:sz="2" w:space="0" w:color="auto"/>
              <w:left w:val="single" w:sz="2" w:space="0" w:color="auto"/>
              <w:bottom w:val="single" w:sz="2" w:space="0" w:color="auto"/>
              <w:right w:val="single" w:sz="2" w:space="0" w:color="auto"/>
            </w:tcBorders>
            <w:vAlign w:val="center"/>
          </w:tcPr>
          <w:p w14:paraId="1F7081A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1,570,545.57</w:t>
            </w:r>
          </w:p>
        </w:tc>
        <w:tc>
          <w:tcPr>
            <w:tcW w:w="1377" w:type="dxa"/>
            <w:tcBorders>
              <w:top w:val="single" w:sz="2" w:space="0" w:color="auto"/>
              <w:left w:val="single" w:sz="2" w:space="0" w:color="auto"/>
              <w:bottom w:val="single" w:sz="2" w:space="0" w:color="auto"/>
              <w:right w:val="single" w:sz="2" w:space="0" w:color="auto"/>
            </w:tcBorders>
            <w:vAlign w:val="center"/>
          </w:tcPr>
          <w:p w14:paraId="3A2A54D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1,222,287.51</w:t>
            </w:r>
          </w:p>
        </w:tc>
        <w:tc>
          <w:tcPr>
            <w:tcW w:w="1377" w:type="dxa"/>
            <w:tcBorders>
              <w:top w:val="single" w:sz="2" w:space="0" w:color="auto"/>
              <w:left w:val="single" w:sz="2" w:space="0" w:color="auto"/>
              <w:bottom w:val="single" w:sz="2" w:space="0" w:color="auto"/>
              <w:right w:val="single" w:sz="2" w:space="0" w:color="auto"/>
            </w:tcBorders>
            <w:vAlign w:val="center"/>
          </w:tcPr>
          <w:p w14:paraId="05054A9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3,940,115.76</w:t>
            </w:r>
          </w:p>
        </w:tc>
        <w:tc>
          <w:tcPr>
            <w:tcW w:w="1377" w:type="dxa"/>
            <w:tcBorders>
              <w:top w:val="single" w:sz="2" w:space="0" w:color="auto"/>
              <w:left w:val="single" w:sz="2" w:space="0" w:color="auto"/>
              <w:bottom w:val="single" w:sz="2" w:space="0" w:color="auto"/>
              <w:right w:val="single" w:sz="2" w:space="0" w:color="auto"/>
            </w:tcBorders>
            <w:vAlign w:val="center"/>
          </w:tcPr>
          <w:p w14:paraId="370A78B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87,457,087.04</w:t>
            </w:r>
          </w:p>
        </w:tc>
      </w:tr>
      <w:tr w:rsidR="006C011D" w:rsidRPr="005A284F" w14:paraId="36770D32" w14:textId="77777777" w:rsidTr="00471F7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5010D58" w14:textId="77777777" w:rsidR="006C011D" w:rsidRPr="005A284F" w:rsidRDefault="00000000" w:rsidP="00471F74">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）计提</w:t>
            </w:r>
          </w:p>
        </w:tc>
        <w:tc>
          <w:tcPr>
            <w:tcW w:w="1353" w:type="dxa"/>
            <w:tcBorders>
              <w:top w:val="single" w:sz="2" w:space="0" w:color="auto"/>
              <w:left w:val="single" w:sz="2" w:space="0" w:color="auto"/>
              <w:bottom w:val="single" w:sz="2" w:space="0" w:color="auto"/>
              <w:right w:val="single" w:sz="2" w:space="0" w:color="auto"/>
            </w:tcBorders>
            <w:vAlign w:val="center"/>
          </w:tcPr>
          <w:p w14:paraId="5469C20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40,842,265.58</w:t>
            </w:r>
          </w:p>
        </w:tc>
        <w:tc>
          <w:tcPr>
            <w:tcW w:w="1401" w:type="dxa"/>
            <w:tcBorders>
              <w:top w:val="single" w:sz="2" w:space="0" w:color="auto"/>
              <w:left w:val="single" w:sz="2" w:space="0" w:color="auto"/>
              <w:bottom w:val="single" w:sz="2" w:space="0" w:color="auto"/>
              <w:right w:val="single" w:sz="2" w:space="0" w:color="auto"/>
            </w:tcBorders>
            <w:vAlign w:val="center"/>
          </w:tcPr>
          <w:p w14:paraId="7846922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39,881,872.62</w:t>
            </w:r>
          </w:p>
        </w:tc>
        <w:tc>
          <w:tcPr>
            <w:tcW w:w="1377" w:type="dxa"/>
            <w:tcBorders>
              <w:top w:val="single" w:sz="2" w:space="0" w:color="auto"/>
              <w:left w:val="single" w:sz="2" w:space="0" w:color="auto"/>
              <w:bottom w:val="single" w:sz="2" w:space="0" w:color="auto"/>
              <w:right w:val="single" w:sz="2" w:space="0" w:color="auto"/>
            </w:tcBorders>
            <w:vAlign w:val="center"/>
          </w:tcPr>
          <w:p w14:paraId="4662317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1,570,545.57</w:t>
            </w:r>
          </w:p>
        </w:tc>
        <w:tc>
          <w:tcPr>
            <w:tcW w:w="1377" w:type="dxa"/>
            <w:tcBorders>
              <w:top w:val="single" w:sz="2" w:space="0" w:color="auto"/>
              <w:left w:val="single" w:sz="2" w:space="0" w:color="auto"/>
              <w:bottom w:val="single" w:sz="2" w:space="0" w:color="auto"/>
              <w:right w:val="single" w:sz="2" w:space="0" w:color="auto"/>
            </w:tcBorders>
            <w:vAlign w:val="center"/>
          </w:tcPr>
          <w:p w14:paraId="40119FB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1,222,287.51</w:t>
            </w:r>
          </w:p>
        </w:tc>
        <w:tc>
          <w:tcPr>
            <w:tcW w:w="1377" w:type="dxa"/>
            <w:tcBorders>
              <w:top w:val="single" w:sz="2" w:space="0" w:color="auto"/>
              <w:left w:val="single" w:sz="2" w:space="0" w:color="auto"/>
              <w:bottom w:val="single" w:sz="2" w:space="0" w:color="auto"/>
              <w:right w:val="single" w:sz="2" w:space="0" w:color="auto"/>
            </w:tcBorders>
            <w:vAlign w:val="center"/>
          </w:tcPr>
          <w:p w14:paraId="7F2818D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3,940,115.76</w:t>
            </w:r>
          </w:p>
        </w:tc>
        <w:tc>
          <w:tcPr>
            <w:tcW w:w="1377" w:type="dxa"/>
            <w:tcBorders>
              <w:top w:val="single" w:sz="2" w:space="0" w:color="auto"/>
              <w:left w:val="single" w:sz="2" w:space="0" w:color="auto"/>
              <w:bottom w:val="single" w:sz="2" w:space="0" w:color="auto"/>
              <w:right w:val="single" w:sz="2" w:space="0" w:color="auto"/>
            </w:tcBorders>
            <w:vAlign w:val="center"/>
          </w:tcPr>
          <w:p w14:paraId="404F1F7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87,457,087.04</w:t>
            </w:r>
          </w:p>
        </w:tc>
      </w:tr>
      <w:tr w:rsidR="006C011D" w:rsidRPr="005A284F" w14:paraId="54B7248F" w14:textId="77777777" w:rsidTr="00471F74">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041FF66" w14:textId="77777777" w:rsidR="006C011D" w:rsidRPr="005A284F" w:rsidRDefault="006C011D">
            <w:pPr>
              <w:spacing w:after="0" w:line="240" w:lineRule="exact"/>
              <w:rPr>
                <w:rFonts w:ascii="Times New Roman" w:eastAsia="宋体" w:hAnsi="Times New Roman" w:cs="Times New Roman"/>
                <w:sz w:val="18"/>
                <w:szCs w:val="18"/>
              </w:rPr>
            </w:pPr>
          </w:p>
        </w:tc>
        <w:tc>
          <w:tcPr>
            <w:tcW w:w="1353" w:type="dxa"/>
            <w:tcBorders>
              <w:top w:val="single" w:sz="2" w:space="0" w:color="auto"/>
              <w:left w:val="single" w:sz="2" w:space="0" w:color="auto"/>
              <w:bottom w:val="single" w:sz="2" w:space="0" w:color="auto"/>
              <w:right w:val="single" w:sz="2" w:space="0" w:color="auto"/>
            </w:tcBorders>
            <w:vAlign w:val="center"/>
          </w:tcPr>
          <w:p w14:paraId="4EEFA36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01" w:type="dxa"/>
            <w:tcBorders>
              <w:top w:val="single" w:sz="2" w:space="0" w:color="auto"/>
              <w:left w:val="single" w:sz="2" w:space="0" w:color="auto"/>
              <w:bottom w:val="single" w:sz="2" w:space="0" w:color="auto"/>
              <w:right w:val="single" w:sz="2" w:space="0" w:color="auto"/>
            </w:tcBorders>
            <w:vAlign w:val="center"/>
          </w:tcPr>
          <w:p w14:paraId="5A5D6F5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D85B8F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E15E3C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8D103E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5901D0C"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57460435" w14:textId="77777777" w:rsidTr="00471F7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1025B91" w14:textId="77777777" w:rsidR="006C011D" w:rsidRPr="005A284F" w:rsidRDefault="00000000" w:rsidP="00471F74">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本期减少金额</w:t>
            </w:r>
          </w:p>
        </w:tc>
        <w:tc>
          <w:tcPr>
            <w:tcW w:w="1353" w:type="dxa"/>
            <w:tcBorders>
              <w:top w:val="single" w:sz="2" w:space="0" w:color="auto"/>
              <w:left w:val="single" w:sz="2" w:space="0" w:color="auto"/>
              <w:bottom w:val="single" w:sz="2" w:space="0" w:color="auto"/>
              <w:right w:val="single" w:sz="2" w:space="0" w:color="auto"/>
            </w:tcBorders>
            <w:vAlign w:val="center"/>
          </w:tcPr>
          <w:p w14:paraId="227F867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01" w:type="dxa"/>
            <w:tcBorders>
              <w:top w:val="single" w:sz="2" w:space="0" w:color="auto"/>
              <w:left w:val="single" w:sz="2" w:space="0" w:color="auto"/>
              <w:bottom w:val="single" w:sz="2" w:space="0" w:color="auto"/>
              <w:right w:val="single" w:sz="2" w:space="0" w:color="auto"/>
            </w:tcBorders>
            <w:vAlign w:val="center"/>
          </w:tcPr>
          <w:p w14:paraId="115582C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4,383,249.38</w:t>
            </w:r>
          </w:p>
        </w:tc>
        <w:tc>
          <w:tcPr>
            <w:tcW w:w="1377" w:type="dxa"/>
            <w:tcBorders>
              <w:top w:val="single" w:sz="2" w:space="0" w:color="auto"/>
              <w:left w:val="single" w:sz="2" w:space="0" w:color="auto"/>
              <w:bottom w:val="single" w:sz="2" w:space="0" w:color="auto"/>
              <w:right w:val="single" w:sz="2" w:space="0" w:color="auto"/>
            </w:tcBorders>
            <w:vAlign w:val="center"/>
          </w:tcPr>
          <w:p w14:paraId="1887E5F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877,718.75</w:t>
            </w:r>
          </w:p>
        </w:tc>
        <w:tc>
          <w:tcPr>
            <w:tcW w:w="1377" w:type="dxa"/>
            <w:tcBorders>
              <w:top w:val="single" w:sz="2" w:space="0" w:color="auto"/>
              <w:left w:val="single" w:sz="2" w:space="0" w:color="auto"/>
              <w:bottom w:val="single" w:sz="2" w:space="0" w:color="auto"/>
              <w:right w:val="single" w:sz="2" w:space="0" w:color="auto"/>
            </w:tcBorders>
            <w:vAlign w:val="center"/>
          </w:tcPr>
          <w:p w14:paraId="308CFE8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498,695.49</w:t>
            </w:r>
          </w:p>
        </w:tc>
        <w:tc>
          <w:tcPr>
            <w:tcW w:w="1377" w:type="dxa"/>
            <w:tcBorders>
              <w:top w:val="single" w:sz="2" w:space="0" w:color="auto"/>
              <w:left w:val="single" w:sz="2" w:space="0" w:color="auto"/>
              <w:bottom w:val="single" w:sz="2" w:space="0" w:color="auto"/>
              <w:right w:val="single" w:sz="2" w:space="0" w:color="auto"/>
            </w:tcBorders>
            <w:vAlign w:val="center"/>
          </w:tcPr>
          <w:p w14:paraId="2C0C7E4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455,312.67</w:t>
            </w:r>
          </w:p>
        </w:tc>
        <w:tc>
          <w:tcPr>
            <w:tcW w:w="1377" w:type="dxa"/>
            <w:tcBorders>
              <w:top w:val="single" w:sz="2" w:space="0" w:color="auto"/>
              <w:left w:val="single" w:sz="2" w:space="0" w:color="auto"/>
              <w:bottom w:val="single" w:sz="2" w:space="0" w:color="auto"/>
              <w:right w:val="single" w:sz="2" w:space="0" w:color="auto"/>
            </w:tcBorders>
            <w:vAlign w:val="center"/>
          </w:tcPr>
          <w:p w14:paraId="7655DE8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6,214,976.29</w:t>
            </w:r>
          </w:p>
        </w:tc>
      </w:tr>
      <w:tr w:rsidR="006C011D" w:rsidRPr="005A284F" w14:paraId="22BAD2DB" w14:textId="77777777" w:rsidTr="00471F7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41C3D25" w14:textId="77777777" w:rsidR="006C011D" w:rsidRPr="005A284F" w:rsidRDefault="00000000" w:rsidP="00471F74">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）处置或报废</w:t>
            </w:r>
          </w:p>
        </w:tc>
        <w:tc>
          <w:tcPr>
            <w:tcW w:w="1353" w:type="dxa"/>
            <w:tcBorders>
              <w:top w:val="single" w:sz="2" w:space="0" w:color="auto"/>
              <w:left w:val="single" w:sz="2" w:space="0" w:color="auto"/>
              <w:bottom w:val="single" w:sz="2" w:space="0" w:color="auto"/>
              <w:right w:val="single" w:sz="2" w:space="0" w:color="auto"/>
            </w:tcBorders>
            <w:vAlign w:val="center"/>
          </w:tcPr>
          <w:p w14:paraId="3A6290C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01" w:type="dxa"/>
            <w:tcBorders>
              <w:top w:val="single" w:sz="2" w:space="0" w:color="auto"/>
              <w:left w:val="single" w:sz="2" w:space="0" w:color="auto"/>
              <w:bottom w:val="single" w:sz="2" w:space="0" w:color="auto"/>
              <w:right w:val="single" w:sz="2" w:space="0" w:color="auto"/>
            </w:tcBorders>
            <w:vAlign w:val="center"/>
          </w:tcPr>
          <w:p w14:paraId="72580D8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4,383,249.38</w:t>
            </w:r>
          </w:p>
        </w:tc>
        <w:tc>
          <w:tcPr>
            <w:tcW w:w="1377" w:type="dxa"/>
            <w:tcBorders>
              <w:top w:val="single" w:sz="2" w:space="0" w:color="auto"/>
              <w:left w:val="single" w:sz="2" w:space="0" w:color="auto"/>
              <w:bottom w:val="single" w:sz="2" w:space="0" w:color="auto"/>
              <w:right w:val="single" w:sz="2" w:space="0" w:color="auto"/>
            </w:tcBorders>
            <w:vAlign w:val="center"/>
          </w:tcPr>
          <w:p w14:paraId="370D11C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877,718.75</w:t>
            </w:r>
          </w:p>
        </w:tc>
        <w:tc>
          <w:tcPr>
            <w:tcW w:w="1377" w:type="dxa"/>
            <w:tcBorders>
              <w:top w:val="single" w:sz="2" w:space="0" w:color="auto"/>
              <w:left w:val="single" w:sz="2" w:space="0" w:color="auto"/>
              <w:bottom w:val="single" w:sz="2" w:space="0" w:color="auto"/>
              <w:right w:val="single" w:sz="2" w:space="0" w:color="auto"/>
            </w:tcBorders>
            <w:vAlign w:val="center"/>
          </w:tcPr>
          <w:p w14:paraId="0B7099D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498,695.49</w:t>
            </w:r>
          </w:p>
        </w:tc>
        <w:tc>
          <w:tcPr>
            <w:tcW w:w="1377" w:type="dxa"/>
            <w:tcBorders>
              <w:top w:val="single" w:sz="2" w:space="0" w:color="auto"/>
              <w:left w:val="single" w:sz="2" w:space="0" w:color="auto"/>
              <w:bottom w:val="single" w:sz="2" w:space="0" w:color="auto"/>
              <w:right w:val="single" w:sz="2" w:space="0" w:color="auto"/>
            </w:tcBorders>
            <w:vAlign w:val="center"/>
          </w:tcPr>
          <w:p w14:paraId="79CAF26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455,312.67</w:t>
            </w:r>
          </w:p>
        </w:tc>
        <w:tc>
          <w:tcPr>
            <w:tcW w:w="1377" w:type="dxa"/>
            <w:tcBorders>
              <w:top w:val="single" w:sz="2" w:space="0" w:color="auto"/>
              <w:left w:val="single" w:sz="2" w:space="0" w:color="auto"/>
              <w:bottom w:val="single" w:sz="2" w:space="0" w:color="auto"/>
              <w:right w:val="single" w:sz="2" w:space="0" w:color="auto"/>
            </w:tcBorders>
            <w:vAlign w:val="center"/>
          </w:tcPr>
          <w:p w14:paraId="79C2015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6,214,976.29</w:t>
            </w:r>
          </w:p>
        </w:tc>
      </w:tr>
      <w:tr w:rsidR="006C011D" w:rsidRPr="005A284F" w14:paraId="4F9793E4" w14:textId="77777777" w:rsidTr="00471F74">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7437EA75" w14:textId="77777777" w:rsidR="006C011D" w:rsidRPr="005A284F" w:rsidRDefault="006C011D">
            <w:pPr>
              <w:spacing w:after="0" w:line="240" w:lineRule="exact"/>
              <w:rPr>
                <w:rFonts w:ascii="Times New Roman" w:eastAsia="宋体" w:hAnsi="Times New Roman" w:cs="Times New Roman"/>
                <w:sz w:val="18"/>
                <w:szCs w:val="18"/>
              </w:rPr>
            </w:pPr>
          </w:p>
        </w:tc>
        <w:tc>
          <w:tcPr>
            <w:tcW w:w="1353" w:type="dxa"/>
            <w:tcBorders>
              <w:top w:val="single" w:sz="2" w:space="0" w:color="auto"/>
              <w:left w:val="single" w:sz="2" w:space="0" w:color="auto"/>
              <w:bottom w:val="single" w:sz="2" w:space="0" w:color="auto"/>
              <w:right w:val="single" w:sz="2" w:space="0" w:color="auto"/>
            </w:tcBorders>
            <w:vAlign w:val="center"/>
          </w:tcPr>
          <w:p w14:paraId="202A6E9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01" w:type="dxa"/>
            <w:tcBorders>
              <w:top w:val="single" w:sz="2" w:space="0" w:color="auto"/>
              <w:left w:val="single" w:sz="2" w:space="0" w:color="auto"/>
              <w:bottom w:val="single" w:sz="2" w:space="0" w:color="auto"/>
              <w:right w:val="single" w:sz="2" w:space="0" w:color="auto"/>
            </w:tcBorders>
            <w:vAlign w:val="center"/>
          </w:tcPr>
          <w:p w14:paraId="16E223E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C88F8F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DC4DD1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462E42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0D82888"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65CC46B0" w14:textId="77777777" w:rsidTr="00471F7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5116B4C" w14:textId="77777777" w:rsidR="006C011D" w:rsidRPr="005A284F" w:rsidRDefault="00000000" w:rsidP="00471F74">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期末余额</w:t>
            </w:r>
          </w:p>
        </w:tc>
        <w:tc>
          <w:tcPr>
            <w:tcW w:w="1353" w:type="dxa"/>
            <w:tcBorders>
              <w:top w:val="single" w:sz="2" w:space="0" w:color="auto"/>
              <w:left w:val="single" w:sz="2" w:space="0" w:color="auto"/>
              <w:bottom w:val="single" w:sz="2" w:space="0" w:color="auto"/>
              <w:right w:val="single" w:sz="2" w:space="0" w:color="auto"/>
            </w:tcBorders>
            <w:vAlign w:val="center"/>
          </w:tcPr>
          <w:p w14:paraId="084DF17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495,272,718.94</w:t>
            </w:r>
          </w:p>
        </w:tc>
        <w:tc>
          <w:tcPr>
            <w:tcW w:w="1401" w:type="dxa"/>
            <w:tcBorders>
              <w:top w:val="single" w:sz="2" w:space="0" w:color="auto"/>
              <w:left w:val="single" w:sz="2" w:space="0" w:color="auto"/>
              <w:bottom w:val="single" w:sz="2" w:space="0" w:color="auto"/>
              <w:right w:val="single" w:sz="2" w:space="0" w:color="auto"/>
            </w:tcBorders>
            <w:vAlign w:val="center"/>
          </w:tcPr>
          <w:p w14:paraId="313443A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514,664,617.62</w:t>
            </w:r>
          </w:p>
        </w:tc>
        <w:tc>
          <w:tcPr>
            <w:tcW w:w="1377" w:type="dxa"/>
            <w:tcBorders>
              <w:top w:val="single" w:sz="2" w:space="0" w:color="auto"/>
              <w:left w:val="single" w:sz="2" w:space="0" w:color="auto"/>
              <w:bottom w:val="single" w:sz="2" w:space="0" w:color="auto"/>
              <w:right w:val="single" w:sz="2" w:space="0" w:color="auto"/>
            </w:tcBorders>
            <w:vAlign w:val="center"/>
          </w:tcPr>
          <w:p w14:paraId="3D155CE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41,247,621.19</w:t>
            </w:r>
          </w:p>
        </w:tc>
        <w:tc>
          <w:tcPr>
            <w:tcW w:w="1377" w:type="dxa"/>
            <w:tcBorders>
              <w:top w:val="single" w:sz="2" w:space="0" w:color="auto"/>
              <w:left w:val="single" w:sz="2" w:space="0" w:color="auto"/>
              <w:bottom w:val="single" w:sz="2" w:space="0" w:color="auto"/>
              <w:right w:val="single" w:sz="2" w:space="0" w:color="auto"/>
            </w:tcBorders>
            <w:vAlign w:val="center"/>
          </w:tcPr>
          <w:p w14:paraId="779ACD7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28,720,798.93</w:t>
            </w:r>
          </w:p>
        </w:tc>
        <w:tc>
          <w:tcPr>
            <w:tcW w:w="1377" w:type="dxa"/>
            <w:tcBorders>
              <w:top w:val="single" w:sz="2" w:space="0" w:color="auto"/>
              <w:left w:val="single" w:sz="2" w:space="0" w:color="auto"/>
              <w:bottom w:val="single" w:sz="2" w:space="0" w:color="auto"/>
              <w:right w:val="single" w:sz="2" w:space="0" w:color="auto"/>
            </w:tcBorders>
            <w:vAlign w:val="center"/>
          </w:tcPr>
          <w:p w14:paraId="08C8E7C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62,214,943.03</w:t>
            </w:r>
          </w:p>
        </w:tc>
        <w:tc>
          <w:tcPr>
            <w:tcW w:w="1377" w:type="dxa"/>
            <w:tcBorders>
              <w:top w:val="single" w:sz="2" w:space="0" w:color="auto"/>
              <w:left w:val="single" w:sz="2" w:space="0" w:color="auto"/>
              <w:bottom w:val="single" w:sz="2" w:space="0" w:color="auto"/>
              <w:right w:val="single" w:sz="2" w:space="0" w:color="auto"/>
            </w:tcBorders>
            <w:vAlign w:val="center"/>
          </w:tcPr>
          <w:p w14:paraId="1E70BB4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1,142,120,699.71</w:t>
            </w:r>
          </w:p>
        </w:tc>
      </w:tr>
      <w:tr w:rsidR="006C011D" w:rsidRPr="005A284F" w14:paraId="52A70D3E" w14:textId="77777777" w:rsidTr="00471F7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8C0AFDE"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三、减值准备</w:t>
            </w:r>
          </w:p>
        </w:tc>
        <w:tc>
          <w:tcPr>
            <w:tcW w:w="1353" w:type="dxa"/>
            <w:tcBorders>
              <w:top w:val="single" w:sz="2" w:space="0" w:color="auto"/>
              <w:left w:val="single" w:sz="2" w:space="0" w:color="auto"/>
              <w:bottom w:val="single" w:sz="2" w:space="0" w:color="auto"/>
              <w:right w:val="single" w:sz="2" w:space="0" w:color="auto"/>
            </w:tcBorders>
            <w:vAlign w:val="center"/>
          </w:tcPr>
          <w:p w14:paraId="4327C0F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01" w:type="dxa"/>
            <w:tcBorders>
              <w:top w:val="single" w:sz="2" w:space="0" w:color="auto"/>
              <w:left w:val="single" w:sz="2" w:space="0" w:color="auto"/>
              <w:bottom w:val="single" w:sz="2" w:space="0" w:color="auto"/>
              <w:right w:val="single" w:sz="2" w:space="0" w:color="auto"/>
            </w:tcBorders>
            <w:vAlign w:val="center"/>
          </w:tcPr>
          <w:p w14:paraId="6723DF4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63AD06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959350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E53A62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A192B83"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72357A17" w14:textId="77777777" w:rsidTr="00471F7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DB3D664" w14:textId="77777777" w:rsidR="006C011D" w:rsidRPr="005A284F" w:rsidRDefault="00000000" w:rsidP="00471F74">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期初余额</w:t>
            </w:r>
          </w:p>
        </w:tc>
        <w:tc>
          <w:tcPr>
            <w:tcW w:w="1353" w:type="dxa"/>
            <w:tcBorders>
              <w:top w:val="single" w:sz="2" w:space="0" w:color="auto"/>
              <w:left w:val="single" w:sz="2" w:space="0" w:color="auto"/>
              <w:bottom w:val="single" w:sz="2" w:space="0" w:color="auto"/>
              <w:right w:val="single" w:sz="2" w:space="0" w:color="auto"/>
            </w:tcBorders>
            <w:vAlign w:val="center"/>
          </w:tcPr>
          <w:p w14:paraId="2734B67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01" w:type="dxa"/>
            <w:tcBorders>
              <w:top w:val="single" w:sz="2" w:space="0" w:color="auto"/>
              <w:left w:val="single" w:sz="2" w:space="0" w:color="auto"/>
              <w:bottom w:val="single" w:sz="2" w:space="0" w:color="auto"/>
              <w:right w:val="single" w:sz="2" w:space="0" w:color="auto"/>
            </w:tcBorders>
            <w:vAlign w:val="center"/>
          </w:tcPr>
          <w:p w14:paraId="2C498C2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1,042,863.08</w:t>
            </w:r>
          </w:p>
        </w:tc>
        <w:tc>
          <w:tcPr>
            <w:tcW w:w="1377" w:type="dxa"/>
            <w:tcBorders>
              <w:top w:val="single" w:sz="2" w:space="0" w:color="auto"/>
              <w:left w:val="single" w:sz="2" w:space="0" w:color="auto"/>
              <w:bottom w:val="single" w:sz="2" w:space="0" w:color="auto"/>
              <w:right w:val="single" w:sz="2" w:space="0" w:color="auto"/>
            </w:tcBorders>
            <w:vAlign w:val="center"/>
          </w:tcPr>
          <w:p w14:paraId="1C91F36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18,326.22</w:t>
            </w:r>
          </w:p>
        </w:tc>
        <w:tc>
          <w:tcPr>
            <w:tcW w:w="1377" w:type="dxa"/>
            <w:tcBorders>
              <w:top w:val="single" w:sz="2" w:space="0" w:color="auto"/>
              <w:left w:val="single" w:sz="2" w:space="0" w:color="auto"/>
              <w:bottom w:val="single" w:sz="2" w:space="0" w:color="auto"/>
              <w:right w:val="single" w:sz="2" w:space="0" w:color="auto"/>
            </w:tcBorders>
            <w:vAlign w:val="center"/>
          </w:tcPr>
          <w:p w14:paraId="26349F3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63,289.01</w:t>
            </w:r>
          </w:p>
        </w:tc>
        <w:tc>
          <w:tcPr>
            <w:tcW w:w="1377" w:type="dxa"/>
            <w:tcBorders>
              <w:top w:val="single" w:sz="2" w:space="0" w:color="auto"/>
              <w:left w:val="single" w:sz="2" w:space="0" w:color="auto"/>
              <w:bottom w:val="single" w:sz="2" w:space="0" w:color="auto"/>
              <w:right w:val="single" w:sz="2" w:space="0" w:color="auto"/>
            </w:tcBorders>
            <w:vAlign w:val="center"/>
          </w:tcPr>
          <w:p w14:paraId="4BCC320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138,658.26</w:t>
            </w:r>
          </w:p>
        </w:tc>
        <w:tc>
          <w:tcPr>
            <w:tcW w:w="1377" w:type="dxa"/>
            <w:tcBorders>
              <w:top w:val="single" w:sz="2" w:space="0" w:color="auto"/>
              <w:left w:val="single" w:sz="2" w:space="0" w:color="auto"/>
              <w:bottom w:val="single" w:sz="2" w:space="0" w:color="auto"/>
              <w:right w:val="single" w:sz="2" w:space="0" w:color="auto"/>
            </w:tcBorders>
            <w:vAlign w:val="center"/>
          </w:tcPr>
          <w:p w14:paraId="73A73F5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1,263,136.57</w:t>
            </w:r>
          </w:p>
        </w:tc>
      </w:tr>
      <w:tr w:rsidR="006C011D" w:rsidRPr="005A284F" w14:paraId="6E3CCE49" w14:textId="77777777" w:rsidTr="00471F7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899B8DF" w14:textId="77777777" w:rsidR="006C011D" w:rsidRPr="005A284F" w:rsidRDefault="00000000" w:rsidP="00471F74">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本期增加金额</w:t>
            </w:r>
          </w:p>
        </w:tc>
        <w:tc>
          <w:tcPr>
            <w:tcW w:w="1353" w:type="dxa"/>
            <w:tcBorders>
              <w:top w:val="single" w:sz="2" w:space="0" w:color="auto"/>
              <w:left w:val="single" w:sz="2" w:space="0" w:color="auto"/>
              <w:bottom w:val="single" w:sz="2" w:space="0" w:color="auto"/>
              <w:right w:val="single" w:sz="2" w:space="0" w:color="auto"/>
            </w:tcBorders>
            <w:vAlign w:val="center"/>
          </w:tcPr>
          <w:p w14:paraId="0C5607E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01" w:type="dxa"/>
            <w:tcBorders>
              <w:top w:val="single" w:sz="2" w:space="0" w:color="auto"/>
              <w:left w:val="single" w:sz="2" w:space="0" w:color="auto"/>
              <w:bottom w:val="single" w:sz="2" w:space="0" w:color="auto"/>
              <w:right w:val="single" w:sz="2" w:space="0" w:color="auto"/>
            </w:tcBorders>
            <w:vAlign w:val="center"/>
          </w:tcPr>
          <w:p w14:paraId="5B78CD1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46054A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E9C631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092035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C979505"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2B35171D" w14:textId="77777777" w:rsidTr="00471F7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DC2AED2" w14:textId="77777777" w:rsidR="006C011D" w:rsidRPr="005A284F" w:rsidRDefault="00000000" w:rsidP="00471F74">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）计提</w:t>
            </w:r>
          </w:p>
        </w:tc>
        <w:tc>
          <w:tcPr>
            <w:tcW w:w="1353" w:type="dxa"/>
            <w:tcBorders>
              <w:top w:val="single" w:sz="2" w:space="0" w:color="auto"/>
              <w:left w:val="single" w:sz="2" w:space="0" w:color="auto"/>
              <w:bottom w:val="single" w:sz="2" w:space="0" w:color="auto"/>
              <w:right w:val="single" w:sz="2" w:space="0" w:color="auto"/>
            </w:tcBorders>
            <w:vAlign w:val="center"/>
          </w:tcPr>
          <w:p w14:paraId="20B9822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01" w:type="dxa"/>
            <w:tcBorders>
              <w:top w:val="single" w:sz="2" w:space="0" w:color="auto"/>
              <w:left w:val="single" w:sz="2" w:space="0" w:color="auto"/>
              <w:bottom w:val="single" w:sz="2" w:space="0" w:color="auto"/>
              <w:right w:val="single" w:sz="2" w:space="0" w:color="auto"/>
            </w:tcBorders>
            <w:vAlign w:val="center"/>
          </w:tcPr>
          <w:p w14:paraId="07C2360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09EB48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3809C0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7EE6B1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0904F0B"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5D862BD0" w14:textId="77777777" w:rsidTr="00471F74">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2EC47D44" w14:textId="77777777" w:rsidR="006C011D" w:rsidRPr="005A284F" w:rsidRDefault="006C011D">
            <w:pPr>
              <w:spacing w:after="0" w:line="240" w:lineRule="exact"/>
              <w:rPr>
                <w:rFonts w:ascii="Times New Roman" w:eastAsia="宋体" w:hAnsi="Times New Roman" w:cs="Times New Roman"/>
                <w:sz w:val="18"/>
                <w:szCs w:val="18"/>
              </w:rPr>
            </w:pPr>
          </w:p>
        </w:tc>
        <w:tc>
          <w:tcPr>
            <w:tcW w:w="1353" w:type="dxa"/>
            <w:tcBorders>
              <w:top w:val="single" w:sz="2" w:space="0" w:color="auto"/>
              <w:left w:val="single" w:sz="2" w:space="0" w:color="auto"/>
              <w:bottom w:val="single" w:sz="2" w:space="0" w:color="auto"/>
              <w:right w:val="single" w:sz="2" w:space="0" w:color="auto"/>
            </w:tcBorders>
            <w:vAlign w:val="center"/>
          </w:tcPr>
          <w:p w14:paraId="4306695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01" w:type="dxa"/>
            <w:tcBorders>
              <w:top w:val="single" w:sz="2" w:space="0" w:color="auto"/>
              <w:left w:val="single" w:sz="2" w:space="0" w:color="auto"/>
              <w:bottom w:val="single" w:sz="2" w:space="0" w:color="auto"/>
              <w:right w:val="single" w:sz="2" w:space="0" w:color="auto"/>
            </w:tcBorders>
            <w:vAlign w:val="center"/>
          </w:tcPr>
          <w:p w14:paraId="68047EC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F7FA2E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E9879B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A8325F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455756B"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21A7A79D" w14:textId="77777777" w:rsidTr="00471F7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F4BAF43" w14:textId="77777777" w:rsidR="006C011D" w:rsidRPr="005A284F" w:rsidRDefault="00000000" w:rsidP="00471F74">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本期减少金额</w:t>
            </w:r>
          </w:p>
        </w:tc>
        <w:tc>
          <w:tcPr>
            <w:tcW w:w="1353" w:type="dxa"/>
            <w:tcBorders>
              <w:top w:val="single" w:sz="2" w:space="0" w:color="auto"/>
              <w:left w:val="single" w:sz="2" w:space="0" w:color="auto"/>
              <w:bottom w:val="single" w:sz="2" w:space="0" w:color="auto"/>
              <w:right w:val="single" w:sz="2" w:space="0" w:color="auto"/>
            </w:tcBorders>
            <w:vAlign w:val="center"/>
          </w:tcPr>
          <w:p w14:paraId="158FA25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01" w:type="dxa"/>
            <w:tcBorders>
              <w:top w:val="single" w:sz="2" w:space="0" w:color="auto"/>
              <w:left w:val="single" w:sz="2" w:space="0" w:color="auto"/>
              <w:bottom w:val="single" w:sz="2" w:space="0" w:color="auto"/>
              <w:right w:val="single" w:sz="2" w:space="0" w:color="auto"/>
            </w:tcBorders>
            <w:vAlign w:val="center"/>
          </w:tcPr>
          <w:p w14:paraId="4253A6F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E3936E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3FB5E3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D59020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AAE7412"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3968316" w14:textId="77777777" w:rsidTr="00471F7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7D5FA0B" w14:textId="77777777" w:rsidR="006C011D" w:rsidRPr="005A284F" w:rsidRDefault="00000000" w:rsidP="00471F74">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）处置或报废</w:t>
            </w:r>
          </w:p>
        </w:tc>
        <w:tc>
          <w:tcPr>
            <w:tcW w:w="1353" w:type="dxa"/>
            <w:tcBorders>
              <w:top w:val="single" w:sz="2" w:space="0" w:color="auto"/>
              <w:left w:val="single" w:sz="2" w:space="0" w:color="auto"/>
              <w:bottom w:val="single" w:sz="2" w:space="0" w:color="auto"/>
              <w:right w:val="single" w:sz="2" w:space="0" w:color="auto"/>
            </w:tcBorders>
            <w:vAlign w:val="center"/>
          </w:tcPr>
          <w:p w14:paraId="26E640D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01" w:type="dxa"/>
            <w:tcBorders>
              <w:top w:val="single" w:sz="2" w:space="0" w:color="auto"/>
              <w:left w:val="single" w:sz="2" w:space="0" w:color="auto"/>
              <w:bottom w:val="single" w:sz="2" w:space="0" w:color="auto"/>
              <w:right w:val="single" w:sz="2" w:space="0" w:color="auto"/>
            </w:tcBorders>
            <w:vAlign w:val="center"/>
          </w:tcPr>
          <w:p w14:paraId="6A51CDC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F4FE6B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752E6C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26B3FA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7758C5C"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677EF49E" w14:textId="77777777" w:rsidTr="00471F74">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402F986B" w14:textId="77777777" w:rsidR="006C011D" w:rsidRPr="005A284F" w:rsidRDefault="006C011D">
            <w:pPr>
              <w:spacing w:after="0" w:line="240" w:lineRule="exact"/>
              <w:rPr>
                <w:rFonts w:ascii="Times New Roman" w:eastAsia="宋体" w:hAnsi="Times New Roman" w:cs="Times New Roman"/>
                <w:sz w:val="18"/>
                <w:szCs w:val="18"/>
              </w:rPr>
            </w:pPr>
          </w:p>
        </w:tc>
        <w:tc>
          <w:tcPr>
            <w:tcW w:w="1353" w:type="dxa"/>
            <w:tcBorders>
              <w:top w:val="single" w:sz="2" w:space="0" w:color="auto"/>
              <w:left w:val="single" w:sz="2" w:space="0" w:color="auto"/>
              <w:bottom w:val="single" w:sz="2" w:space="0" w:color="auto"/>
              <w:right w:val="single" w:sz="2" w:space="0" w:color="auto"/>
            </w:tcBorders>
            <w:vAlign w:val="center"/>
          </w:tcPr>
          <w:p w14:paraId="7CF707E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01" w:type="dxa"/>
            <w:tcBorders>
              <w:top w:val="single" w:sz="2" w:space="0" w:color="auto"/>
              <w:left w:val="single" w:sz="2" w:space="0" w:color="auto"/>
              <w:bottom w:val="single" w:sz="2" w:space="0" w:color="auto"/>
              <w:right w:val="single" w:sz="2" w:space="0" w:color="auto"/>
            </w:tcBorders>
            <w:vAlign w:val="center"/>
          </w:tcPr>
          <w:p w14:paraId="2BF70A4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F51114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4112E2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223978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A7A0E2E"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3B7A9A92" w14:textId="77777777" w:rsidTr="00471F7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C7B3F8C" w14:textId="77777777" w:rsidR="006C011D" w:rsidRPr="005A284F" w:rsidRDefault="00000000" w:rsidP="00471F74">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期末余额</w:t>
            </w:r>
          </w:p>
        </w:tc>
        <w:tc>
          <w:tcPr>
            <w:tcW w:w="1353" w:type="dxa"/>
            <w:tcBorders>
              <w:top w:val="single" w:sz="2" w:space="0" w:color="auto"/>
              <w:left w:val="single" w:sz="2" w:space="0" w:color="auto"/>
              <w:bottom w:val="single" w:sz="2" w:space="0" w:color="auto"/>
              <w:right w:val="single" w:sz="2" w:space="0" w:color="auto"/>
            </w:tcBorders>
            <w:vAlign w:val="center"/>
          </w:tcPr>
          <w:p w14:paraId="6F4191C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01" w:type="dxa"/>
            <w:tcBorders>
              <w:top w:val="single" w:sz="2" w:space="0" w:color="auto"/>
              <w:left w:val="single" w:sz="2" w:space="0" w:color="auto"/>
              <w:bottom w:val="single" w:sz="2" w:space="0" w:color="auto"/>
              <w:right w:val="single" w:sz="2" w:space="0" w:color="auto"/>
            </w:tcBorders>
            <w:vAlign w:val="center"/>
          </w:tcPr>
          <w:p w14:paraId="4182A12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1,042,863.08</w:t>
            </w:r>
          </w:p>
        </w:tc>
        <w:tc>
          <w:tcPr>
            <w:tcW w:w="1377" w:type="dxa"/>
            <w:tcBorders>
              <w:top w:val="single" w:sz="2" w:space="0" w:color="auto"/>
              <w:left w:val="single" w:sz="2" w:space="0" w:color="auto"/>
              <w:bottom w:val="single" w:sz="2" w:space="0" w:color="auto"/>
              <w:right w:val="single" w:sz="2" w:space="0" w:color="auto"/>
            </w:tcBorders>
            <w:vAlign w:val="center"/>
          </w:tcPr>
          <w:p w14:paraId="4B6CA2B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18,326.22</w:t>
            </w:r>
          </w:p>
        </w:tc>
        <w:tc>
          <w:tcPr>
            <w:tcW w:w="1377" w:type="dxa"/>
            <w:tcBorders>
              <w:top w:val="single" w:sz="2" w:space="0" w:color="auto"/>
              <w:left w:val="single" w:sz="2" w:space="0" w:color="auto"/>
              <w:bottom w:val="single" w:sz="2" w:space="0" w:color="auto"/>
              <w:right w:val="single" w:sz="2" w:space="0" w:color="auto"/>
            </w:tcBorders>
            <w:vAlign w:val="center"/>
          </w:tcPr>
          <w:p w14:paraId="21AC238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63,289.01</w:t>
            </w:r>
          </w:p>
        </w:tc>
        <w:tc>
          <w:tcPr>
            <w:tcW w:w="1377" w:type="dxa"/>
            <w:tcBorders>
              <w:top w:val="single" w:sz="2" w:space="0" w:color="auto"/>
              <w:left w:val="single" w:sz="2" w:space="0" w:color="auto"/>
              <w:bottom w:val="single" w:sz="2" w:space="0" w:color="auto"/>
              <w:right w:val="single" w:sz="2" w:space="0" w:color="auto"/>
            </w:tcBorders>
            <w:vAlign w:val="center"/>
          </w:tcPr>
          <w:p w14:paraId="63DA9C1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138,658.26</w:t>
            </w:r>
          </w:p>
        </w:tc>
        <w:tc>
          <w:tcPr>
            <w:tcW w:w="1377" w:type="dxa"/>
            <w:tcBorders>
              <w:top w:val="single" w:sz="2" w:space="0" w:color="auto"/>
              <w:left w:val="single" w:sz="2" w:space="0" w:color="auto"/>
              <w:bottom w:val="single" w:sz="2" w:space="0" w:color="auto"/>
              <w:right w:val="single" w:sz="2" w:space="0" w:color="auto"/>
            </w:tcBorders>
            <w:vAlign w:val="center"/>
          </w:tcPr>
          <w:p w14:paraId="54A43B0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1,263,136.57</w:t>
            </w:r>
          </w:p>
        </w:tc>
      </w:tr>
      <w:tr w:rsidR="006C011D" w:rsidRPr="005A284F" w14:paraId="25EAC56B" w14:textId="77777777" w:rsidTr="00471F7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988B0FF"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四、账面价值</w:t>
            </w:r>
          </w:p>
        </w:tc>
        <w:tc>
          <w:tcPr>
            <w:tcW w:w="1353" w:type="dxa"/>
            <w:tcBorders>
              <w:top w:val="single" w:sz="2" w:space="0" w:color="auto"/>
              <w:left w:val="single" w:sz="2" w:space="0" w:color="auto"/>
              <w:bottom w:val="single" w:sz="2" w:space="0" w:color="auto"/>
              <w:right w:val="single" w:sz="2" w:space="0" w:color="auto"/>
            </w:tcBorders>
            <w:vAlign w:val="center"/>
          </w:tcPr>
          <w:p w14:paraId="3BFB1E4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01" w:type="dxa"/>
            <w:tcBorders>
              <w:top w:val="single" w:sz="2" w:space="0" w:color="auto"/>
              <w:left w:val="single" w:sz="2" w:space="0" w:color="auto"/>
              <w:bottom w:val="single" w:sz="2" w:space="0" w:color="auto"/>
              <w:right w:val="single" w:sz="2" w:space="0" w:color="auto"/>
            </w:tcBorders>
            <w:vAlign w:val="center"/>
          </w:tcPr>
          <w:p w14:paraId="2BC6268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BC09F2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7A63EA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FBF9D5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502C275"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143700A3" w14:textId="77777777" w:rsidTr="00471F7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AA45537" w14:textId="77777777" w:rsidR="006C011D" w:rsidRPr="005A284F" w:rsidRDefault="00000000" w:rsidP="00471F74">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期末账面价值</w:t>
            </w:r>
          </w:p>
        </w:tc>
        <w:tc>
          <w:tcPr>
            <w:tcW w:w="1353" w:type="dxa"/>
            <w:tcBorders>
              <w:top w:val="single" w:sz="2" w:space="0" w:color="auto"/>
              <w:left w:val="single" w:sz="2" w:space="0" w:color="auto"/>
              <w:bottom w:val="single" w:sz="2" w:space="0" w:color="auto"/>
              <w:right w:val="single" w:sz="2" w:space="0" w:color="auto"/>
            </w:tcBorders>
            <w:vAlign w:val="center"/>
          </w:tcPr>
          <w:p w14:paraId="4D65F36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1,727,739,602.30</w:t>
            </w:r>
          </w:p>
        </w:tc>
        <w:tc>
          <w:tcPr>
            <w:tcW w:w="1401" w:type="dxa"/>
            <w:tcBorders>
              <w:top w:val="single" w:sz="2" w:space="0" w:color="auto"/>
              <w:left w:val="single" w:sz="2" w:space="0" w:color="auto"/>
              <w:bottom w:val="single" w:sz="2" w:space="0" w:color="auto"/>
              <w:right w:val="single" w:sz="2" w:space="0" w:color="auto"/>
            </w:tcBorders>
            <w:vAlign w:val="center"/>
          </w:tcPr>
          <w:p w14:paraId="5B386B4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548,880,196.06</w:t>
            </w:r>
          </w:p>
        </w:tc>
        <w:tc>
          <w:tcPr>
            <w:tcW w:w="1377" w:type="dxa"/>
            <w:tcBorders>
              <w:top w:val="single" w:sz="2" w:space="0" w:color="auto"/>
              <w:left w:val="single" w:sz="2" w:space="0" w:color="auto"/>
              <w:bottom w:val="single" w:sz="2" w:space="0" w:color="auto"/>
              <w:right w:val="single" w:sz="2" w:space="0" w:color="auto"/>
            </w:tcBorders>
            <w:vAlign w:val="center"/>
          </w:tcPr>
          <w:p w14:paraId="1E782BA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6,760,620.72</w:t>
            </w:r>
          </w:p>
        </w:tc>
        <w:tc>
          <w:tcPr>
            <w:tcW w:w="1377" w:type="dxa"/>
            <w:tcBorders>
              <w:top w:val="single" w:sz="2" w:space="0" w:color="auto"/>
              <w:left w:val="single" w:sz="2" w:space="0" w:color="auto"/>
              <w:bottom w:val="single" w:sz="2" w:space="0" w:color="auto"/>
              <w:right w:val="single" w:sz="2" w:space="0" w:color="auto"/>
            </w:tcBorders>
            <w:vAlign w:val="center"/>
          </w:tcPr>
          <w:p w14:paraId="032E991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4,611,719.04</w:t>
            </w:r>
          </w:p>
        </w:tc>
        <w:tc>
          <w:tcPr>
            <w:tcW w:w="1377" w:type="dxa"/>
            <w:tcBorders>
              <w:top w:val="single" w:sz="2" w:space="0" w:color="auto"/>
              <w:left w:val="single" w:sz="2" w:space="0" w:color="auto"/>
              <w:bottom w:val="single" w:sz="2" w:space="0" w:color="auto"/>
              <w:right w:val="single" w:sz="2" w:space="0" w:color="auto"/>
            </w:tcBorders>
            <w:vAlign w:val="center"/>
          </w:tcPr>
          <w:p w14:paraId="2DB45D9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19,212,408.13</w:t>
            </w:r>
          </w:p>
        </w:tc>
        <w:tc>
          <w:tcPr>
            <w:tcW w:w="1377" w:type="dxa"/>
            <w:tcBorders>
              <w:top w:val="single" w:sz="2" w:space="0" w:color="auto"/>
              <w:left w:val="single" w:sz="2" w:space="0" w:color="auto"/>
              <w:bottom w:val="single" w:sz="2" w:space="0" w:color="auto"/>
              <w:right w:val="single" w:sz="2" w:space="0" w:color="auto"/>
            </w:tcBorders>
            <w:vAlign w:val="center"/>
          </w:tcPr>
          <w:p w14:paraId="7B76B62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2,307,204,546.25</w:t>
            </w:r>
          </w:p>
        </w:tc>
      </w:tr>
      <w:tr w:rsidR="006C011D" w:rsidRPr="005A284F" w14:paraId="4027000C" w14:textId="77777777" w:rsidTr="00471F7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D203A78" w14:textId="77777777" w:rsidR="006C011D" w:rsidRPr="005A284F" w:rsidRDefault="00000000" w:rsidP="00471F74">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期初账面价值</w:t>
            </w:r>
          </w:p>
        </w:tc>
        <w:tc>
          <w:tcPr>
            <w:tcW w:w="1353" w:type="dxa"/>
            <w:tcBorders>
              <w:top w:val="single" w:sz="2" w:space="0" w:color="auto"/>
              <w:left w:val="single" w:sz="2" w:space="0" w:color="auto"/>
              <w:bottom w:val="single" w:sz="2" w:space="0" w:color="auto"/>
              <w:right w:val="single" w:sz="2" w:space="0" w:color="auto"/>
            </w:tcBorders>
            <w:vAlign w:val="center"/>
          </w:tcPr>
          <w:p w14:paraId="786FCB7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1,760,372,254.48</w:t>
            </w:r>
          </w:p>
        </w:tc>
        <w:tc>
          <w:tcPr>
            <w:tcW w:w="1401" w:type="dxa"/>
            <w:tcBorders>
              <w:top w:val="single" w:sz="2" w:space="0" w:color="auto"/>
              <w:left w:val="single" w:sz="2" w:space="0" w:color="auto"/>
              <w:bottom w:val="single" w:sz="2" w:space="0" w:color="auto"/>
              <w:right w:val="single" w:sz="2" w:space="0" w:color="auto"/>
            </w:tcBorders>
            <w:vAlign w:val="center"/>
          </w:tcPr>
          <w:p w14:paraId="73DE2F3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575,668,168.16</w:t>
            </w:r>
          </w:p>
        </w:tc>
        <w:tc>
          <w:tcPr>
            <w:tcW w:w="1377" w:type="dxa"/>
            <w:tcBorders>
              <w:top w:val="single" w:sz="2" w:space="0" w:color="auto"/>
              <w:left w:val="single" w:sz="2" w:space="0" w:color="auto"/>
              <w:bottom w:val="single" w:sz="2" w:space="0" w:color="auto"/>
              <w:right w:val="single" w:sz="2" w:space="0" w:color="auto"/>
            </w:tcBorders>
            <w:vAlign w:val="center"/>
          </w:tcPr>
          <w:p w14:paraId="2DC6ECE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7,226,672.00</w:t>
            </w:r>
          </w:p>
        </w:tc>
        <w:tc>
          <w:tcPr>
            <w:tcW w:w="1377" w:type="dxa"/>
            <w:tcBorders>
              <w:top w:val="single" w:sz="2" w:space="0" w:color="auto"/>
              <w:left w:val="single" w:sz="2" w:space="0" w:color="auto"/>
              <w:bottom w:val="single" w:sz="2" w:space="0" w:color="auto"/>
              <w:right w:val="single" w:sz="2" w:space="0" w:color="auto"/>
            </w:tcBorders>
            <w:vAlign w:val="center"/>
          </w:tcPr>
          <w:p w14:paraId="437A7D1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5,782,822.85</w:t>
            </w:r>
          </w:p>
        </w:tc>
        <w:tc>
          <w:tcPr>
            <w:tcW w:w="1377" w:type="dxa"/>
            <w:tcBorders>
              <w:top w:val="single" w:sz="2" w:space="0" w:color="auto"/>
              <w:left w:val="single" w:sz="2" w:space="0" w:color="auto"/>
              <w:bottom w:val="single" w:sz="2" w:space="0" w:color="auto"/>
              <w:right w:val="single" w:sz="2" w:space="0" w:color="auto"/>
            </w:tcBorders>
            <w:vAlign w:val="center"/>
          </w:tcPr>
          <w:p w14:paraId="4D1D667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20,459,924.20</w:t>
            </w:r>
          </w:p>
        </w:tc>
        <w:tc>
          <w:tcPr>
            <w:tcW w:w="1377" w:type="dxa"/>
            <w:tcBorders>
              <w:top w:val="single" w:sz="2" w:space="0" w:color="auto"/>
              <w:left w:val="single" w:sz="2" w:space="0" w:color="auto"/>
              <w:bottom w:val="single" w:sz="2" w:space="0" w:color="auto"/>
              <w:right w:val="single" w:sz="2" w:space="0" w:color="auto"/>
            </w:tcBorders>
            <w:vAlign w:val="center"/>
          </w:tcPr>
          <w:p w14:paraId="7BEFF8C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2,369,509,841.69</w:t>
            </w:r>
          </w:p>
        </w:tc>
      </w:tr>
    </w:tbl>
    <w:p w14:paraId="3339909F" w14:textId="77777777" w:rsidR="006C011D" w:rsidRDefault="00000000">
      <w:pPr>
        <w:keepNext/>
        <w:keepLines/>
        <w:spacing w:before="300" w:after="300" w:line="280" w:lineRule="exact"/>
        <w:outlineLvl w:val="3"/>
        <w:rPr>
          <w:rFonts w:ascii="Times New Roman" w:eastAsia="宋体" w:hAnsi="Times New Roman" w:cs="Times New Roman"/>
          <w:b/>
          <w:bCs/>
          <w:sz w:val="21"/>
          <w:szCs w:val="21"/>
        </w:rPr>
      </w:pPr>
      <w:bookmarkStart w:id="229" w:name="_Toc989157"/>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2</w:t>
      </w:r>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 xml:space="preserve"> </w:t>
      </w:r>
      <w:r w:rsidRPr="005A284F">
        <w:rPr>
          <w:rFonts w:ascii="Times New Roman" w:eastAsia="宋体" w:hAnsi="Times New Roman" w:cs="Times New Roman"/>
          <w:b/>
          <w:bCs/>
          <w:sz w:val="21"/>
          <w:szCs w:val="21"/>
        </w:rPr>
        <w:t>暂时闲置的固定资产情况</w:t>
      </w:r>
      <w:bookmarkEnd w:id="229"/>
    </w:p>
    <w:p w14:paraId="105DE350" w14:textId="77777777" w:rsidR="00471F74" w:rsidRPr="005A284F" w:rsidRDefault="00471F74" w:rsidP="00471F74">
      <w:pPr>
        <w:pStyle w:val="a3"/>
        <w:rPr>
          <w:rFonts w:ascii="Times New Roman" w:hAnsi="Times New Roman" w:cs="Times New Roman"/>
          <w:sz w:val="18"/>
          <w:szCs w:val="18"/>
        </w:rPr>
      </w:pPr>
      <w:r w:rsidRPr="005A284F">
        <w:rPr>
          <w:rFonts w:ascii="Times New Roman" w:hAnsi="Times New Roman" w:cs="Times New Roman"/>
          <w:sz w:val="18"/>
          <w:szCs w:val="18"/>
        </w:rPr>
        <w:t>无</w:t>
      </w:r>
    </w:p>
    <w:p w14:paraId="3A1DBAA9" w14:textId="205E0DBF"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30" w:name="_Toc989158"/>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3</w:t>
      </w:r>
      <w:r w:rsidRPr="005A284F">
        <w:rPr>
          <w:rFonts w:ascii="Times New Roman" w:eastAsia="宋体" w:hAnsi="Times New Roman" w:cs="Times New Roman"/>
          <w:b/>
          <w:bCs/>
          <w:sz w:val="21"/>
          <w:szCs w:val="21"/>
        </w:rPr>
        <w:t>）通过经营租赁租出的固定资产</w:t>
      </w:r>
      <w:bookmarkEnd w:id="230"/>
    </w:p>
    <w:p w14:paraId="218EBCFD" w14:textId="3C2E9054"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6C011D" w:rsidRPr="005A284F" w14:paraId="0EE071C4"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BF4F65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F9B964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期末账面价值</w:t>
            </w:r>
          </w:p>
        </w:tc>
      </w:tr>
      <w:tr w:rsidR="006C011D" w:rsidRPr="005A284F" w14:paraId="1D74AA91"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379358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房屋建筑物</w:t>
            </w:r>
          </w:p>
        </w:tc>
        <w:tc>
          <w:tcPr>
            <w:tcW w:w="4820" w:type="dxa"/>
            <w:tcBorders>
              <w:top w:val="single" w:sz="2" w:space="0" w:color="auto"/>
              <w:left w:val="single" w:sz="2" w:space="0" w:color="auto"/>
              <w:bottom w:val="single" w:sz="2" w:space="0" w:color="auto"/>
              <w:right w:val="single" w:sz="2" w:space="0" w:color="auto"/>
            </w:tcBorders>
            <w:vAlign w:val="center"/>
          </w:tcPr>
          <w:p w14:paraId="6C08821E" w14:textId="5E5438EA"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w:t>
            </w:r>
            <w:r w:rsidR="00126E1B">
              <w:rPr>
                <w:rFonts w:ascii="Times New Roman" w:eastAsia="宋体" w:hAnsi="Times New Roman" w:cs="Times New Roman" w:hint="eastAsia"/>
                <w:sz w:val="18"/>
                <w:szCs w:val="18"/>
              </w:rPr>
              <w:t>9</w:t>
            </w:r>
            <w:r w:rsidRPr="005A284F">
              <w:rPr>
                <w:rFonts w:ascii="Times New Roman" w:eastAsia="宋体" w:hAnsi="Times New Roman" w:cs="Times New Roman"/>
                <w:sz w:val="18"/>
                <w:szCs w:val="18"/>
              </w:rPr>
              <w:t>2,</w:t>
            </w:r>
            <w:r w:rsidR="00126E1B">
              <w:rPr>
                <w:rFonts w:ascii="Times New Roman" w:eastAsia="宋体" w:hAnsi="Times New Roman" w:cs="Times New Roman" w:hint="eastAsia"/>
                <w:sz w:val="18"/>
                <w:szCs w:val="18"/>
              </w:rPr>
              <w:t>2</w:t>
            </w:r>
            <w:r w:rsidRPr="005A284F">
              <w:rPr>
                <w:rFonts w:ascii="Times New Roman" w:eastAsia="宋体" w:hAnsi="Times New Roman" w:cs="Times New Roman"/>
                <w:sz w:val="18"/>
                <w:szCs w:val="18"/>
              </w:rPr>
              <w:t>70.</w:t>
            </w:r>
            <w:r w:rsidR="00126E1B">
              <w:rPr>
                <w:rFonts w:ascii="Times New Roman" w:eastAsia="宋体" w:hAnsi="Times New Roman" w:cs="Times New Roman" w:hint="eastAsia"/>
                <w:sz w:val="18"/>
                <w:szCs w:val="18"/>
              </w:rPr>
              <w:t>0</w:t>
            </w:r>
            <w:r w:rsidR="005C21FD">
              <w:rPr>
                <w:rFonts w:ascii="Times New Roman" w:eastAsia="宋体" w:hAnsi="Times New Roman" w:cs="Times New Roman" w:hint="eastAsia"/>
                <w:sz w:val="18"/>
                <w:szCs w:val="18"/>
              </w:rPr>
              <w:t>4</w:t>
            </w:r>
          </w:p>
        </w:tc>
      </w:tr>
      <w:tr w:rsidR="006C011D" w:rsidRPr="005A284F" w14:paraId="50F0CBA9"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FC0454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机器设备</w:t>
            </w:r>
          </w:p>
        </w:tc>
        <w:tc>
          <w:tcPr>
            <w:tcW w:w="4820" w:type="dxa"/>
            <w:tcBorders>
              <w:top w:val="single" w:sz="2" w:space="0" w:color="auto"/>
              <w:left w:val="single" w:sz="2" w:space="0" w:color="auto"/>
              <w:bottom w:val="single" w:sz="2" w:space="0" w:color="auto"/>
              <w:right w:val="single" w:sz="2" w:space="0" w:color="auto"/>
            </w:tcBorders>
            <w:vAlign w:val="center"/>
          </w:tcPr>
          <w:p w14:paraId="2E2EB55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10,106.29</w:t>
            </w:r>
          </w:p>
        </w:tc>
      </w:tr>
      <w:tr w:rsidR="006C011D" w:rsidRPr="005A284F" w14:paraId="47CCE0BA"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0C1FD8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14:paraId="6D288D98" w14:textId="464E04C6" w:rsidR="006C011D" w:rsidRPr="005A284F" w:rsidRDefault="00126E1B">
            <w:pPr>
              <w:spacing w:after="0"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1,00</w:t>
            </w:r>
            <w:r w:rsidRPr="005A284F">
              <w:rPr>
                <w:rFonts w:ascii="Times New Roman" w:eastAsia="宋体" w:hAnsi="Times New Roman" w:cs="Times New Roman"/>
                <w:sz w:val="18"/>
                <w:szCs w:val="18"/>
              </w:rPr>
              <w:t>2,</w:t>
            </w:r>
            <w:r>
              <w:rPr>
                <w:rFonts w:ascii="Times New Roman" w:eastAsia="宋体" w:hAnsi="Times New Roman" w:cs="Times New Roman" w:hint="eastAsia"/>
                <w:sz w:val="18"/>
                <w:szCs w:val="18"/>
              </w:rPr>
              <w:t>37</w:t>
            </w:r>
            <w:r w:rsidRPr="005A284F">
              <w:rPr>
                <w:rFonts w:ascii="Times New Roman" w:eastAsia="宋体" w:hAnsi="Times New Roman" w:cs="Times New Roman"/>
                <w:sz w:val="18"/>
                <w:szCs w:val="18"/>
              </w:rPr>
              <w:t>6.</w:t>
            </w:r>
            <w:r>
              <w:rPr>
                <w:rFonts w:ascii="Times New Roman" w:eastAsia="宋体" w:hAnsi="Times New Roman" w:cs="Times New Roman" w:hint="eastAsia"/>
                <w:sz w:val="18"/>
                <w:szCs w:val="18"/>
              </w:rPr>
              <w:t>33</w:t>
            </w:r>
          </w:p>
        </w:tc>
      </w:tr>
    </w:tbl>
    <w:p w14:paraId="19D6179D" w14:textId="4B5E4EA7"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31" w:name="_Toc989159"/>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4</w:t>
      </w:r>
      <w:r w:rsidRPr="005A284F">
        <w:rPr>
          <w:rFonts w:ascii="Times New Roman" w:eastAsia="宋体" w:hAnsi="Times New Roman" w:cs="Times New Roman"/>
          <w:b/>
          <w:bCs/>
          <w:sz w:val="21"/>
          <w:szCs w:val="21"/>
        </w:rPr>
        <w:t>）未办妥产权证书的固定资产情况</w:t>
      </w:r>
      <w:bookmarkEnd w:id="231"/>
    </w:p>
    <w:p w14:paraId="4554A5EC"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2802517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6E17F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993DC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账面价值</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E41B9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未办妥产权证书的原因</w:t>
            </w:r>
          </w:p>
        </w:tc>
      </w:tr>
      <w:tr w:rsidR="006C011D" w:rsidRPr="005A284F" w14:paraId="1C0549AF"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BFBCFF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低温冷冻深加工车间</w:t>
            </w:r>
          </w:p>
        </w:tc>
        <w:tc>
          <w:tcPr>
            <w:tcW w:w="3213" w:type="dxa"/>
            <w:tcBorders>
              <w:top w:val="single" w:sz="2" w:space="0" w:color="auto"/>
              <w:left w:val="single" w:sz="2" w:space="0" w:color="auto"/>
              <w:bottom w:val="single" w:sz="2" w:space="0" w:color="auto"/>
              <w:right w:val="single" w:sz="2" w:space="0" w:color="auto"/>
            </w:tcBorders>
            <w:vAlign w:val="center"/>
          </w:tcPr>
          <w:p w14:paraId="0665339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265,001,496.71</w:t>
            </w:r>
          </w:p>
        </w:tc>
        <w:tc>
          <w:tcPr>
            <w:tcW w:w="3213" w:type="dxa"/>
            <w:tcBorders>
              <w:top w:val="single" w:sz="2" w:space="0" w:color="auto"/>
              <w:left w:val="single" w:sz="2" w:space="0" w:color="auto"/>
              <w:bottom w:val="single" w:sz="2" w:space="0" w:color="auto"/>
              <w:right w:val="single" w:sz="2" w:space="0" w:color="auto"/>
            </w:tcBorders>
            <w:vAlign w:val="center"/>
          </w:tcPr>
          <w:p w14:paraId="7379A03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正在办理中</w:t>
            </w:r>
          </w:p>
        </w:tc>
      </w:tr>
    </w:tbl>
    <w:p w14:paraId="11E88C6E"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w:t>
      </w:r>
    </w:p>
    <w:p w14:paraId="216000E0" w14:textId="77777777" w:rsidR="000309B5" w:rsidRPr="005A284F" w:rsidRDefault="00000000">
      <w:pPr>
        <w:pStyle w:val="a3"/>
        <w:divId w:val="604925766"/>
        <w:rPr>
          <w:rFonts w:ascii="Times New Roman" w:hAnsi="Times New Roman" w:cs="Times New Roman"/>
          <w:sz w:val="18"/>
          <w:szCs w:val="18"/>
        </w:rPr>
      </w:pPr>
      <w:r w:rsidRPr="005A284F">
        <w:rPr>
          <w:rFonts w:ascii="Times New Roman" w:hAnsi="Times New Roman" w:cs="Times New Roman"/>
          <w:sz w:val="18"/>
          <w:szCs w:val="18"/>
        </w:rPr>
        <w:t>无</w:t>
      </w:r>
    </w:p>
    <w:p w14:paraId="7B0E4B97" w14:textId="7BFC342E"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32" w:name="_Toc989160"/>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5</w:t>
      </w:r>
      <w:r w:rsidRPr="005A284F">
        <w:rPr>
          <w:rFonts w:ascii="Times New Roman" w:eastAsia="宋体" w:hAnsi="Times New Roman" w:cs="Times New Roman"/>
          <w:b/>
          <w:bCs/>
          <w:sz w:val="21"/>
          <w:szCs w:val="21"/>
        </w:rPr>
        <w:t>）固定资产的减值测试情况</w:t>
      </w:r>
      <w:bookmarkEnd w:id="232"/>
    </w:p>
    <w:p w14:paraId="6E76E53A" w14:textId="77777777" w:rsidR="006C011D" w:rsidRPr="00471F74" w:rsidRDefault="00000000">
      <w:pPr>
        <w:spacing w:before="100" w:after="100" w:line="240" w:lineRule="exact"/>
        <w:rPr>
          <w:rFonts w:ascii="宋体" w:eastAsia="宋体" w:hAnsi="宋体" w:cs="Times New Roman" w:hint="eastAsia"/>
          <w:sz w:val="18"/>
          <w:szCs w:val="18"/>
        </w:rPr>
      </w:pPr>
      <w:r w:rsidRPr="00471F74">
        <w:rPr>
          <w:rFonts w:ascii="宋体" w:eastAsia="宋体" w:hAnsi="宋体" w:cs="Times New Roman"/>
          <w:sz w:val="18"/>
          <w:szCs w:val="18"/>
        </w:rPr>
        <w:t xml:space="preserve">□适用 </w:t>
      </w:r>
      <w:r w:rsidRPr="00471F74">
        <w:rPr>
          <w:rFonts w:ascii="宋体" w:eastAsia="宋体" w:hAnsi="宋体" w:cs="Times New Roman"/>
          <w:sz w:val="18"/>
          <w:szCs w:val="18"/>
        </w:rPr>
        <w:sym w:font="Wingdings 2" w:char="F052"/>
      </w:r>
      <w:r w:rsidRPr="00471F74">
        <w:rPr>
          <w:rFonts w:ascii="宋体" w:eastAsia="宋体" w:hAnsi="宋体" w:cs="Times New Roman"/>
          <w:sz w:val="18"/>
          <w:szCs w:val="18"/>
        </w:rPr>
        <w:t>不适用</w:t>
      </w:r>
    </w:p>
    <w:p w14:paraId="6244C832" w14:textId="47E046F0"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33" w:name="_Toc989161"/>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6</w:t>
      </w:r>
      <w:r w:rsidRPr="005A284F">
        <w:rPr>
          <w:rFonts w:ascii="Times New Roman" w:eastAsia="宋体" w:hAnsi="Times New Roman" w:cs="Times New Roman"/>
          <w:b/>
          <w:bCs/>
          <w:sz w:val="21"/>
          <w:szCs w:val="21"/>
        </w:rPr>
        <w:t>）固定资产清理</w:t>
      </w:r>
      <w:bookmarkEnd w:id="233"/>
    </w:p>
    <w:p w14:paraId="7630060F" w14:textId="77777777" w:rsidR="000309B5" w:rsidRPr="005A284F" w:rsidRDefault="00000000">
      <w:pPr>
        <w:pStyle w:val="a3"/>
        <w:divId w:val="1661227412"/>
        <w:rPr>
          <w:rFonts w:ascii="Times New Roman" w:hAnsi="Times New Roman" w:cs="Times New Roman"/>
          <w:sz w:val="18"/>
          <w:szCs w:val="18"/>
        </w:rPr>
      </w:pPr>
      <w:r w:rsidRPr="005A284F">
        <w:rPr>
          <w:rFonts w:ascii="Times New Roman" w:hAnsi="Times New Roman" w:cs="Times New Roman"/>
          <w:sz w:val="18"/>
          <w:szCs w:val="18"/>
        </w:rPr>
        <w:t>无</w:t>
      </w:r>
    </w:p>
    <w:p w14:paraId="2B656DBA" w14:textId="77777777" w:rsidR="006C011D" w:rsidRPr="005A284F" w:rsidRDefault="00000000">
      <w:pPr>
        <w:pStyle w:val="3"/>
        <w:spacing w:line="280" w:lineRule="exact"/>
        <w:jc w:val="left"/>
        <w:rPr>
          <w:rFonts w:ascii="Times New Roman" w:hAnsi="Times New Roman" w:cs="Times New Roman"/>
          <w:b/>
          <w:bCs/>
        </w:rPr>
      </w:pPr>
      <w:bookmarkStart w:id="234" w:name="_Toc989162"/>
      <w:r w:rsidRPr="005A284F">
        <w:rPr>
          <w:rFonts w:ascii="Times New Roman" w:hAnsi="Times New Roman" w:cs="Times New Roman"/>
          <w:b/>
          <w:bCs/>
        </w:rPr>
        <w:t>22</w:t>
      </w:r>
      <w:r w:rsidRPr="005A284F">
        <w:rPr>
          <w:rFonts w:ascii="Times New Roman" w:hAnsi="Times New Roman" w:cs="Times New Roman"/>
          <w:b/>
          <w:bCs/>
        </w:rPr>
        <w:t>、在建工程</w:t>
      </w:r>
      <w:bookmarkEnd w:id="234"/>
    </w:p>
    <w:p w14:paraId="6D2F5135"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1A3E334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4B59E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C4283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479C2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r>
      <w:tr w:rsidR="006C011D" w:rsidRPr="005A284F" w14:paraId="5432540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42CE1D"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14:paraId="20EA10C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261,288,623.08</w:t>
            </w:r>
          </w:p>
        </w:tc>
        <w:tc>
          <w:tcPr>
            <w:tcW w:w="3213" w:type="dxa"/>
            <w:tcBorders>
              <w:top w:val="single" w:sz="2" w:space="0" w:color="auto"/>
              <w:left w:val="single" w:sz="2" w:space="0" w:color="auto"/>
              <w:bottom w:val="single" w:sz="2" w:space="0" w:color="auto"/>
              <w:right w:val="single" w:sz="2" w:space="0" w:color="auto"/>
            </w:tcBorders>
            <w:vAlign w:val="center"/>
          </w:tcPr>
          <w:p w14:paraId="4E920E1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254,397,411.06</w:t>
            </w:r>
          </w:p>
        </w:tc>
      </w:tr>
      <w:tr w:rsidR="006C011D" w:rsidRPr="005A284F" w14:paraId="3C6FEAE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CD7C30"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B21FE6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261,288,623.08</w:t>
            </w:r>
          </w:p>
        </w:tc>
        <w:tc>
          <w:tcPr>
            <w:tcW w:w="3213" w:type="dxa"/>
            <w:tcBorders>
              <w:top w:val="single" w:sz="2" w:space="0" w:color="auto"/>
              <w:left w:val="single" w:sz="2" w:space="0" w:color="auto"/>
              <w:bottom w:val="single" w:sz="2" w:space="0" w:color="auto"/>
              <w:right w:val="single" w:sz="2" w:space="0" w:color="auto"/>
            </w:tcBorders>
            <w:vAlign w:val="center"/>
          </w:tcPr>
          <w:p w14:paraId="72297B6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254,397,411.06</w:t>
            </w:r>
          </w:p>
        </w:tc>
      </w:tr>
    </w:tbl>
    <w:p w14:paraId="2C9424BF" w14:textId="77777777"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35" w:name="_Toc989163"/>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1</w:t>
      </w:r>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 xml:space="preserve"> </w:t>
      </w:r>
      <w:r w:rsidRPr="005A284F">
        <w:rPr>
          <w:rFonts w:ascii="Times New Roman" w:eastAsia="宋体" w:hAnsi="Times New Roman" w:cs="Times New Roman"/>
          <w:b/>
          <w:bCs/>
          <w:sz w:val="21"/>
          <w:szCs w:val="21"/>
        </w:rPr>
        <w:t>在建工程情况</w:t>
      </w:r>
      <w:bookmarkEnd w:id="235"/>
    </w:p>
    <w:p w14:paraId="4A527207"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6C011D" w:rsidRPr="005A284F" w14:paraId="52BA8E1A"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7ED4AB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45571B1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39B7942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r>
      <w:tr w:rsidR="006C011D" w:rsidRPr="005A284F" w14:paraId="5B15737A"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9EA6CA9" w14:textId="77777777" w:rsidR="006C011D" w:rsidRPr="005A284F" w:rsidRDefault="006C011D">
            <w:pPr>
              <w:rPr>
                <w:rFonts w:ascii="Times New Roman" w:eastAsia="宋体" w:hAnsi="Times New Roman" w:cs="Times New Roman"/>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1577AD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410761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68EAD4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A9AC96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F2E106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537DC9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账面价值</w:t>
            </w:r>
          </w:p>
        </w:tc>
      </w:tr>
      <w:tr w:rsidR="006C011D" w:rsidRPr="005A284F" w14:paraId="75BFC69D"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60FBF02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土建工程</w:t>
            </w:r>
          </w:p>
        </w:tc>
        <w:tc>
          <w:tcPr>
            <w:tcW w:w="1377" w:type="dxa"/>
            <w:tcBorders>
              <w:top w:val="single" w:sz="2" w:space="0" w:color="auto"/>
              <w:left w:val="single" w:sz="2" w:space="0" w:color="auto"/>
              <w:bottom w:val="single" w:sz="2" w:space="0" w:color="auto"/>
              <w:right w:val="single" w:sz="2" w:space="0" w:color="auto"/>
            </w:tcBorders>
            <w:vAlign w:val="center"/>
          </w:tcPr>
          <w:p w14:paraId="3C37EF8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228,606,132.99</w:t>
            </w:r>
          </w:p>
        </w:tc>
        <w:tc>
          <w:tcPr>
            <w:tcW w:w="1377" w:type="dxa"/>
            <w:tcBorders>
              <w:top w:val="single" w:sz="2" w:space="0" w:color="auto"/>
              <w:left w:val="single" w:sz="2" w:space="0" w:color="auto"/>
              <w:bottom w:val="single" w:sz="2" w:space="0" w:color="auto"/>
              <w:right w:val="single" w:sz="2" w:space="0" w:color="auto"/>
            </w:tcBorders>
            <w:vAlign w:val="center"/>
          </w:tcPr>
          <w:p w14:paraId="48ED5AE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4C4F44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228,606,132.99</w:t>
            </w:r>
          </w:p>
        </w:tc>
        <w:tc>
          <w:tcPr>
            <w:tcW w:w="1377" w:type="dxa"/>
            <w:tcBorders>
              <w:top w:val="single" w:sz="2" w:space="0" w:color="auto"/>
              <w:left w:val="single" w:sz="2" w:space="0" w:color="auto"/>
              <w:bottom w:val="single" w:sz="2" w:space="0" w:color="auto"/>
              <w:right w:val="single" w:sz="2" w:space="0" w:color="auto"/>
            </w:tcBorders>
            <w:vAlign w:val="center"/>
          </w:tcPr>
          <w:p w14:paraId="22DB657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232,650,269.04</w:t>
            </w:r>
          </w:p>
        </w:tc>
        <w:tc>
          <w:tcPr>
            <w:tcW w:w="1377" w:type="dxa"/>
            <w:tcBorders>
              <w:top w:val="single" w:sz="2" w:space="0" w:color="auto"/>
              <w:left w:val="single" w:sz="2" w:space="0" w:color="auto"/>
              <w:bottom w:val="single" w:sz="2" w:space="0" w:color="auto"/>
              <w:right w:val="single" w:sz="2" w:space="0" w:color="auto"/>
            </w:tcBorders>
            <w:vAlign w:val="center"/>
          </w:tcPr>
          <w:p w14:paraId="55D13A4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6B4EB9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232,650,269.04</w:t>
            </w:r>
          </w:p>
        </w:tc>
      </w:tr>
      <w:tr w:rsidR="006C011D" w:rsidRPr="005A284F" w14:paraId="2B131A0D"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59337A6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安装工程</w:t>
            </w:r>
          </w:p>
        </w:tc>
        <w:tc>
          <w:tcPr>
            <w:tcW w:w="1377" w:type="dxa"/>
            <w:tcBorders>
              <w:top w:val="single" w:sz="2" w:space="0" w:color="auto"/>
              <w:left w:val="single" w:sz="2" w:space="0" w:color="auto"/>
              <w:bottom w:val="single" w:sz="2" w:space="0" w:color="auto"/>
              <w:right w:val="single" w:sz="2" w:space="0" w:color="auto"/>
            </w:tcBorders>
            <w:vAlign w:val="center"/>
          </w:tcPr>
          <w:p w14:paraId="26EBCDE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32,682,490.09</w:t>
            </w:r>
          </w:p>
        </w:tc>
        <w:tc>
          <w:tcPr>
            <w:tcW w:w="1377" w:type="dxa"/>
            <w:tcBorders>
              <w:top w:val="single" w:sz="2" w:space="0" w:color="auto"/>
              <w:left w:val="single" w:sz="2" w:space="0" w:color="auto"/>
              <w:bottom w:val="single" w:sz="2" w:space="0" w:color="auto"/>
              <w:right w:val="single" w:sz="2" w:space="0" w:color="auto"/>
            </w:tcBorders>
            <w:vAlign w:val="center"/>
          </w:tcPr>
          <w:p w14:paraId="3F472D3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89ECBC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32,682,490.09</w:t>
            </w:r>
          </w:p>
        </w:tc>
        <w:tc>
          <w:tcPr>
            <w:tcW w:w="1377" w:type="dxa"/>
            <w:tcBorders>
              <w:top w:val="single" w:sz="2" w:space="0" w:color="auto"/>
              <w:left w:val="single" w:sz="2" w:space="0" w:color="auto"/>
              <w:bottom w:val="single" w:sz="2" w:space="0" w:color="auto"/>
              <w:right w:val="single" w:sz="2" w:space="0" w:color="auto"/>
            </w:tcBorders>
            <w:vAlign w:val="center"/>
          </w:tcPr>
          <w:p w14:paraId="6EFC9CF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21,747,142.02</w:t>
            </w:r>
          </w:p>
        </w:tc>
        <w:tc>
          <w:tcPr>
            <w:tcW w:w="1377" w:type="dxa"/>
            <w:tcBorders>
              <w:top w:val="single" w:sz="2" w:space="0" w:color="auto"/>
              <w:left w:val="single" w:sz="2" w:space="0" w:color="auto"/>
              <w:bottom w:val="single" w:sz="2" w:space="0" w:color="auto"/>
              <w:right w:val="single" w:sz="2" w:space="0" w:color="auto"/>
            </w:tcBorders>
            <w:vAlign w:val="center"/>
          </w:tcPr>
          <w:p w14:paraId="6C1E530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263D5E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21,747,142.02</w:t>
            </w:r>
          </w:p>
        </w:tc>
      </w:tr>
      <w:tr w:rsidR="006C011D" w:rsidRPr="005A284F" w14:paraId="00A2E387"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6DB319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合计</w:t>
            </w:r>
          </w:p>
        </w:tc>
        <w:tc>
          <w:tcPr>
            <w:tcW w:w="1377" w:type="dxa"/>
            <w:tcBorders>
              <w:top w:val="single" w:sz="2" w:space="0" w:color="auto"/>
              <w:left w:val="single" w:sz="2" w:space="0" w:color="auto"/>
              <w:bottom w:val="single" w:sz="2" w:space="0" w:color="auto"/>
              <w:right w:val="single" w:sz="2" w:space="0" w:color="auto"/>
            </w:tcBorders>
            <w:vAlign w:val="center"/>
          </w:tcPr>
          <w:p w14:paraId="720AA25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261,288,623.08</w:t>
            </w:r>
          </w:p>
        </w:tc>
        <w:tc>
          <w:tcPr>
            <w:tcW w:w="1377" w:type="dxa"/>
            <w:tcBorders>
              <w:top w:val="single" w:sz="2" w:space="0" w:color="auto"/>
              <w:left w:val="single" w:sz="2" w:space="0" w:color="auto"/>
              <w:bottom w:val="single" w:sz="2" w:space="0" w:color="auto"/>
              <w:right w:val="single" w:sz="2" w:space="0" w:color="auto"/>
            </w:tcBorders>
            <w:vAlign w:val="center"/>
          </w:tcPr>
          <w:p w14:paraId="1D036CD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773C15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261,288,623.08</w:t>
            </w:r>
          </w:p>
        </w:tc>
        <w:tc>
          <w:tcPr>
            <w:tcW w:w="1377" w:type="dxa"/>
            <w:tcBorders>
              <w:top w:val="single" w:sz="2" w:space="0" w:color="auto"/>
              <w:left w:val="single" w:sz="2" w:space="0" w:color="auto"/>
              <w:bottom w:val="single" w:sz="2" w:space="0" w:color="auto"/>
              <w:right w:val="single" w:sz="2" w:space="0" w:color="auto"/>
            </w:tcBorders>
            <w:vAlign w:val="center"/>
          </w:tcPr>
          <w:p w14:paraId="1ECCC76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254,397,411.06</w:t>
            </w:r>
          </w:p>
        </w:tc>
        <w:tc>
          <w:tcPr>
            <w:tcW w:w="1377" w:type="dxa"/>
            <w:tcBorders>
              <w:top w:val="single" w:sz="2" w:space="0" w:color="auto"/>
              <w:left w:val="single" w:sz="2" w:space="0" w:color="auto"/>
              <w:bottom w:val="single" w:sz="2" w:space="0" w:color="auto"/>
              <w:right w:val="single" w:sz="2" w:space="0" w:color="auto"/>
            </w:tcBorders>
            <w:vAlign w:val="center"/>
          </w:tcPr>
          <w:p w14:paraId="310B698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DDB499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254,397,411.06</w:t>
            </w:r>
          </w:p>
        </w:tc>
      </w:tr>
    </w:tbl>
    <w:p w14:paraId="03FF51F7" w14:textId="5CB540AA"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36" w:name="_Toc989164"/>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2</w:t>
      </w:r>
      <w:r w:rsidRPr="005A284F">
        <w:rPr>
          <w:rFonts w:ascii="Times New Roman" w:eastAsia="宋体" w:hAnsi="Times New Roman" w:cs="Times New Roman"/>
          <w:b/>
          <w:bCs/>
          <w:sz w:val="21"/>
          <w:szCs w:val="21"/>
        </w:rPr>
        <w:t>）重要在建工程项目本期变动情况</w:t>
      </w:r>
      <w:bookmarkEnd w:id="236"/>
    </w:p>
    <w:p w14:paraId="74F832BE"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10774" w:type="dxa"/>
        <w:tblInd w:w="-70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0" w:type="dxa"/>
          <w:right w:w="0" w:type="dxa"/>
        </w:tblCellMar>
        <w:tblLook w:val="04A0" w:firstRow="1" w:lastRow="0" w:firstColumn="1" w:lastColumn="0" w:noHBand="0" w:noVBand="1"/>
      </w:tblPr>
      <w:tblGrid>
        <w:gridCol w:w="993"/>
        <w:gridCol w:w="1134"/>
        <w:gridCol w:w="1134"/>
        <w:gridCol w:w="992"/>
        <w:gridCol w:w="992"/>
        <w:gridCol w:w="426"/>
        <w:gridCol w:w="1134"/>
        <w:gridCol w:w="708"/>
        <w:gridCol w:w="567"/>
        <w:gridCol w:w="851"/>
        <w:gridCol w:w="850"/>
        <w:gridCol w:w="567"/>
        <w:gridCol w:w="426"/>
      </w:tblGrid>
      <w:tr w:rsidR="005E1317" w:rsidRPr="005A284F" w14:paraId="3E00D5F8"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70BF895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项目名称</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7F04687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预算数</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67281D9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090499B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本期增加金额</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1089526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本期转入固定资产金额</w:t>
            </w:r>
          </w:p>
        </w:tc>
        <w:tc>
          <w:tcPr>
            <w:tcW w:w="426" w:type="dxa"/>
            <w:tcBorders>
              <w:top w:val="single" w:sz="2" w:space="0" w:color="auto"/>
              <w:left w:val="single" w:sz="2" w:space="0" w:color="auto"/>
              <w:bottom w:val="single" w:sz="2" w:space="0" w:color="auto"/>
              <w:right w:val="single" w:sz="2" w:space="0" w:color="auto"/>
            </w:tcBorders>
            <w:shd w:val="clear" w:color="auto" w:fill="D3D3D3"/>
            <w:vAlign w:val="center"/>
          </w:tcPr>
          <w:p w14:paraId="7F2BF6B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本期其他减少金额</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54A5940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14:paraId="6F2C31E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工程累计投入占预算比例</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0D83133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工程进度</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78858DC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利息资本化累计金额</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369D193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其中：本期利息资本化金额</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43DCE14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本期利息资本化率</w:t>
            </w:r>
          </w:p>
        </w:tc>
        <w:tc>
          <w:tcPr>
            <w:tcW w:w="426" w:type="dxa"/>
            <w:tcBorders>
              <w:top w:val="single" w:sz="2" w:space="0" w:color="auto"/>
              <w:left w:val="single" w:sz="2" w:space="0" w:color="auto"/>
              <w:bottom w:val="single" w:sz="2" w:space="0" w:color="auto"/>
              <w:right w:val="single" w:sz="2" w:space="0" w:color="auto"/>
            </w:tcBorders>
            <w:shd w:val="clear" w:color="auto" w:fill="D3D3D3"/>
            <w:vAlign w:val="center"/>
          </w:tcPr>
          <w:p w14:paraId="0BBBC85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资金来源</w:t>
            </w:r>
          </w:p>
        </w:tc>
      </w:tr>
      <w:tr w:rsidR="005E1317" w:rsidRPr="005A284F" w14:paraId="79B7AE06"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411D5F5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生食下货库改造</w:t>
            </w:r>
          </w:p>
        </w:tc>
        <w:tc>
          <w:tcPr>
            <w:tcW w:w="1134" w:type="dxa"/>
            <w:tcBorders>
              <w:top w:val="single" w:sz="2" w:space="0" w:color="auto"/>
              <w:left w:val="single" w:sz="2" w:space="0" w:color="auto"/>
              <w:bottom w:val="single" w:sz="2" w:space="0" w:color="auto"/>
              <w:right w:val="single" w:sz="2" w:space="0" w:color="auto"/>
            </w:tcBorders>
            <w:vAlign w:val="center"/>
          </w:tcPr>
          <w:p w14:paraId="1EDE603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1,450,000.00</w:t>
            </w:r>
          </w:p>
        </w:tc>
        <w:tc>
          <w:tcPr>
            <w:tcW w:w="1134" w:type="dxa"/>
            <w:tcBorders>
              <w:top w:val="single" w:sz="2" w:space="0" w:color="auto"/>
              <w:left w:val="single" w:sz="2" w:space="0" w:color="auto"/>
              <w:bottom w:val="single" w:sz="2" w:space="0" w:color="auto"/>
              <w:right w:val="single" w:sz="2" w:space="0" w:color="auto"/>
            </w:tcBorders>
            <w:vAlign w:val="center"/>
          </w:tcPr>
          <w:p w14:paraId="541D39B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513,761.47</w:t>
            </w:r>
          </w:p>
        </w:tc>
        <w:tc>
          <w:tcPr>
            <w:tcW w:w="992" w:type="dxa"/>
            <w:tcBorders>
              <w:top w:val="single" w:sz="2" w:space="0" w:color="auto"/>
              <w:left w:val="single" w:sz="2" w:space="0" w:color="auto"/>
              <w:bottom w:val="single" w:sz="2" w:space="0" w:color="auto"/>
              <w:right w:val="single" w:sz="2" w:space="0" w:color="auto"/>
            </w:tcBorders>
            <w:vAlign w:val="center"/>
          </w:tcPr>
          <w:p w14:paraId="003C6D1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2930C62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4F2E504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ECAD66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513,761.47</w:t>
            </w:r>
          </w:p>
        </w:tc>
        <w:tc>
          <w:tcPr>
            <w:tcW w:w="708" w:type="dxa"/>
            <w:tcBorders>
              <w:top w:val="single" w:sz="2" w:space="0" w:color="auto"/>
              <w:left w:val="single" w:sz="2" w:space="0" w:color="auto"/>
              <w:bottom w:val="single" w:sz="2" w:space="0" w:color="auto"/>
              <w:right w:val="single" w:sz="2" w:space="0" w:color="auto"/>
            </w:tcBorders>
            <w:vAlign w:val="center"/>
          </w:tcPr>
          <w:p w14:paraId="068F73F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35.43%</w:t>
            </w:r>
          </w:p>
        </w:tc>
        <w:tc>
          <w:tcPr>
            <w:tcW w:w="567" w:type="dxa"/>
            <w:tcBorders>
              <w:top w:val="single" w:sz="2" w:space="0" w:color="auto"/>
              <w:left w:val="single" w:sz="2" w:space="0" w:color="auto"/>
              <w:bottom w:val="single" w:sz="2" w:space="0" w:color="auto"/>
              <w:right w:val="single" w:sz="2" w:space="0" w:color="auto"/>
            </w:tcBorders>
            <w:vAlign w:val="center"/>
          </w:tcPr>
          <w:p w14:paraId="485FFEE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0.5</w:t>
            </w:r>
          </w:p>
        </w:tc>
        <w:tc>
          <w:tcPr>
            <w:tcW w:w="851" w:type="dxa"/>
            <w:tcBorders>
              <w:top w:val="single" w:sz="2" w:space="0" w:color="auto"/>
              <w:left w:val="single" w:sz="2" w:space="0" w:color="auto"/>
              <w:bottom w:val="single" w:sz="2" w:space="0" w:color="auto"/>
              <w:right w:val="single" w:sz="2" w:space="0" w:color="auto"/>
            </w:tcBorders>
            <w:vAlign w:val="center"/>
          </w:tcPr>
          <w:p w14:paraId="25C2C4A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3BFF014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0DFD22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658D530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64B9C615"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169C250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生食蓄水池</w:t>
            </w:r>
          </w:p>
        </w:tc>
        <w:tc>
          <w:tcPr>
            <w:tcW w:w="1134" w:type="dxa"/>
            <w:tcBorders>
              <w:top w:val="single" w:sz="2" w:space="0" w:color="auto"/>
              <w:left w:val="single" w:sz="2" w:space="0" w:color="auto"/>
              <w:bottom w:val="single" w:sz="2" w:space="0" w:color="auto"/>
              <w:right w:val="single" w:sz="2" w:space="0" w:color="auto"/>
            </w:tcBorders>
            <w:vAlign w:val="center"/>
          </w:tcPr>
          <w:p w14:paraId="7F443E8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1,500,000.00</w:t>
            </w:r>
          </w:p>
        </w:tc>
        <w:tc>
          <w:tcPr>
            <w:tcW w:w="1134" w:type="dxa"/>
            <w:tcBorders>
              <w:top w:val="single" w:sz="2" w:space="0" w:color="auto"/>
              <w:left w:val="single" w:sz="2" w:space="0" w:color="auto"/>
              <w:bottom w:val="single" w:sz="2" w:space="0" w:color="auto"/>
              <w:right w:val="single" w:sz="2" w:space="0" w:color="auto"/>
            </w:tcBorders>
            <w:vAlign w:val="center"/>
          </w:tcPr>
          <w:p w14:paraId="782080F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4,328.20</w:t>
            </w:r>
          </w:p>
        </w:tc>
        <w:tc>
          <w:tcPr>
            <w:tcW w:w="992" w:type="dxa"/>
            <w:tcBorders>
              <w:top w:val="single" w:sz="2" w:space="0" w:color="auto"/>
              <w:left w:val="single" w:sz="2" w:space="0" w:color="auto"/>
              <w:bottom w:val="single" w:sz="2" w:space="0" w:color="auto"/>
              <w:right w:val="single" w:sz="2" w:space="0" w:color="auto"/>
            </w:tcBorders>
            <w:vAlign w:val="center"/>
          </w:tcPr>
          <w:p w14:paraId="120134C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5352085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0D17A45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F094FB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4,328.20</w:t>
            </w:r>
          </w:p>
        </w:tc>
        <w:tc>
          <w:tcPr>
            <w:tcW w:w="708" w:type="dxa"/>
            <w:tcBorders>
              <w:top w:val="single" w:sz="2" w:space="0" w:color="auto"/>
              <w:left w:val="single" w:sz="2" w:space="0" w:color="auto"/>
              <w:bottom w:val="single" w:sz="2" w:space="0" w:color="auto"/>
              <w:right w:val="single" w:sz="2" w:space="0" w:color="auto"/>
            </w:tcBorders>
            <w:vAlign w:val="center"/>
          </w:tcPr>
          <w:p w14:paraId="0342ECD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0.29%</w:t>
            </w:r>
          </w:p>
        </w:tc>
        <w:tc>
          <w:tcPr>
            <w:tcW w:w="567" w:type="dxa"/>
            <w:tcBorders>
              <w:top w:val="single" w:sz="2" w:space="0" w:color="auto"/>
              <w:left w:val="single" w:sz="2" w:space="0" w:color="auto"/>
              <w:bottom w:val="single" w:sz="2" w:space="0" w:color="auto"/>
              <w:right w:val="single" w:sz="2" w:space="0" w:color="auto"/>
            </w:tcBorders>
            <w:vAlign w:val="center"/>
          </w:tcPr>
          <w:p w14:paraId="39853FD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0.0005</w:t>
            </w:r>
          </w:p>
        </w:tc>
        <w:tc>
          <w:tcPr>
            <w:tcW w:w="851" w:type="dxa"/>
            <w:tcBorders>
              <w:top w:val="single" w:sz="2" w:space="0" w:color="auto"/>
              <w:left w:val="single" w:sz="2" w:space="0" w:color="auto"/>
              <w:bottom w:val="single" w:sz="2" w:space="0" w:color="auto"/>
              <w:right w:val="single" w:sz="2" w:space="0" w:color="auto"/>
            </w:tcBorders>
            <w:vAlign w:val="center"/>
          </w:tcPr>
          <w:p w14:paraId="47EECA0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2EC8BAB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65AEFDD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054C8C9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779ADDB5"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45F0F5E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酱卤车间搬迁及真空车间改造项目</w:t>
            </w:r>
          </w:p>
        </w:tc>
        <w:tc>
          <w:tcPr>
            <w:tcW w:w="1134" w:type="dxa"/>
            <w:tcBorders>
              <w:top w:val="single" w:sz="2" w:space="0" w:color="auto"/>
              <w:left w:val="single" w:sz="2" w:space="0" w:color="auto"/>
              <w:bottom w:val="single" w:sz="2" w:space="0" w:color="auto"/>
              <w:right w:val="single" w:sz="2" w:space="0" w:color="auto"/>
            </w:tcBorders>
            <w:vAlign w:val="center"/>
          </w:tcPr>
          <w:p w14:paraId="4817B7A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3,610,000.00</w:t>
            </w:r>
          </w:p>
        </w:tc>
        <w:tc>
          <w:tcPr>
            <w:tcW w:w="1134" w:type="dxa"/>
            <w:tcBorders>
              <w:top w:val="single" w:sz="2" w:space="0" w:color="auto"/>
              <w:left w:val="single" w:sz="2" w:space="0" w:color="auto"/>
              <w:bottom w:val="single" w:sz="2" w:space="0" w:color="auto"/>
              <w:right w:val="single" w:sz="2" w:space="0" w:color="auto"/>
            </w:tcBorders>
            <w:vAlign w:val="center"/>
          </w:tcPr>
          <w:p w14:paraId="50ED55B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2,480,201.18</w:t>
            </w:r>
          </w:p>
        </w:tc>
        <w:tc>
          <w:tcPr>
            <w:tcW w:w="992" w:type="dxa"/>
            <w:tcBorders>
              <w:top w:val="single" w:sz="2" w:space="0" w:color="auto"/>
              <w:left w:val="single" w:sz="2" w:space="0" w:color="auto"/>
              <w:bottom w:val="single" w:sz="2" w:space="0" w:color="auto"/>
              <w:right w:val="single" w:sz="2" w:space="0" w:color="auto"/>
            </w:tcBorders>
            <w:vAlign w:val="center"/>
          </w:tcPr>
          <w:p w14:paraId="3BFF05D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4190865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607F758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4CC8A6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2,480,201.18</w:t>
            </w:r>
          </w:p>
        </w:tc>
        <w:tc>
          <w:tcPr>
            <w:tcW w:w="708" w:type="dxa"/>
            <w:tcBorders>
              <w:top w:val="single" w:sz="2" w:space="0" w:color="auto"/>
              <w:left w:val="single" w:sz="2" w:space="0" w:color="auto"/>
              <w:bottom w:val="single" w:sz="2" w:space="0" w:color="auto"/>
              <w:right w:val="single" w:sz="2" w:space="0" w:color="auto"/>
            </w:tcBorders>
            <w:vAlign w:val="center"/>
          </w:tcPr>
          <w:p w14:paraId="05E7049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68.70%</w:t>
            </w:r>
          </w:p>
        </w:tc>
        <w:tc>
          <w:tcPr>
            <w:tcW w:w="567" w:type="dxa"/>
            <w:tcBorders>
              <w:top w:val="single" w:sz="2" w:space="0" w:color="auto"/>
              <w:left w:val="single" w:sz="2" w:space="0" w:color="auto"/>
              <w:bottom w:val="single" w:sz="2" w:space="0" w:color="auto"/>
              <w:right w:val="single" w:sz="2" w:space="0" w:color="auto"/>
            </w:tcBorders>
            <w:vAlign w:val="center"/>
          </w:tcPr>
          <w:p w14:paraId="0AA6CC0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0.96</w:t>
            </w:r>
          </w:p>
        </w:tc>
        <w:tc>
          <w:tcPr>
            <w:tcW w:w="851" w:type="dxa"/>
            <w:tcBorders>
              <w:top w:val="single" w:sz="2" w:space="0" w:color="auto"/>
              <w:left w:val="single" w:sz="2" w:space="0" w:color="auto"/>
              <w:bottom w:val="single" w:sz="2" w:space="0" w:color="auto"/>
              <w:right w:val="single" w:sz="2" w:space="0" w:color="auto"/>
            </w:tcBorders>
            <w:vAlign w:val="center"/>
          </w:tcPr>
          <w:p w14:paraId="3BEEC9F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52C7E2C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952B28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549873A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6B994F5D"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0B38607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龙大美食数字化平台生食生产系统</w:t>
            </w:r>
          </w:p>
        </w:tc>
        <w:tc>
          <w:tcPr>
            <w:tcW w:w="1134" w:type="dxa"/>
            <w:tcBorders>
              <w:top w:val="single" w:sz="2" w:space="0" w:color="auto"/>
              <w:left w:val="single" w:sz="2" w:space="0" w:color="auto"/>
              <w:bottom w:val="single" w:sz="2" w:space="0" w:color="auto"/>
              <w:right w:val="single" w:sz="2" w:space="0" w:color="auto"/>
            </w:tcBorders>
            <w:vAlign w:val="center"/>
          </w:tcPr>
          <w:p w14:paraId="0CDA7F7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3,720,000.00</w:t>
            </w:r>
          </w:p>
        </w:tc>
        <w:tc>
          <w:tcPr>
            <w:tcW w:w="1134" w:type="dxa"/>
            <w:tcBorders>
              <w:top w:val="single" w:sz="2" w:space="0" w:color="auto"/>
              <w:left w:val="single" w:sz="2" w:space="0" w:color="auto"/>
              <w:bottom w:val="single" w:sz="2" w:space="0" w:color="auto"/>
              <w:right w:val="single" w:sz="2" w:space="0" w:color="auto"/>
            </w:tcBorders>
            <w:vAlign w:val="center"/>
          </w:tcPr>
          <w:p w14:paraId="3557D85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976,991.15</w:t>
            </w:r>
          </w:p>
        </w:tc>
        <w:tc>
          <w:tcPr>
            <w:tcW w:w="992" w:type="dxa"/>
            <w:tcBorders>
              <w:top w:val="single" w:sz="2" w:space="0" w:color="auto"/>
              <w:left w:val="single" w:sz="2" w:space="0" w:color="auto"/>
              <w:bottom w:val="single" w:sz="2" w:space="0" w:color="auto"/>
              <w:right w:val="single" w:sz="2" w:space="0" w:color="auto"/>
            </w:tcBorders>
            <w:vAlign w:val="center"/>
          </w:tcPr>
          <w:p w14:paraId="06131D4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67,256.64</w:t>
            </w:r>
          </w:p>
        </w:tc>
        <w:tc>
          <w:tcPr>
            <w:tcW w:w="992" w:type="dxa"/>
            <w:tcBorders>
              <w:top w:val="single" w:sz="2" w:space="0" w:color="auto"/>
              <w:left w:val="single" w:sz="2" w:space="0" w:color="auto"/>
              <w:bottom w:val="single" w:sz="2" w:space="0" w:color="auto"/>
              <w:right w:val="single" w:sz="2" w:space="0" w:color="auto"/>
            </w:tcBorders>
            <w:vAlign w:val="center"/>
          </w:tcPr>
          <w:p w14:paraId="2656216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514D322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9890C8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1,044,247.79</w:t>
            </w:r>
          </w:p>
        </w:tc>
        <w:tc>
          <w:tcPr>
            <w:tcW w:w="708" w:type="dxa"/>
            <w:tcBorders>
              <w:top w:val="single" w:sz="2" w:space="0" w:color="auto"/>
              <w:left w:val="single" w:sz="2" w:space="0" w:color="auto"/>
              <w:bottom w:val="single" w:sz="2" w:space="0" w:color="auto"/>
              <w:right w:val="single" w:sz="2" w:space="0" w:color="auto"/>
            </w:tcBorders>
            <w:vAlign w:val="center"/>
          </w:tcPr>
          <w:p w14:paraId="39B2908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28.07%</w:t>
            </w:r>
          </w:p>
        </w:tc>
        <w:tc>
          <w:tcPr>
            <w:tcW w:w="567" w:type="dxa"/>
            <w:tcBorders>
              <w:top w:val="single" w:sz="2" w:space="0" w:color="auto"/>
              <w:left w:val="single" w:sz="2" w:space="0" w:color="auto"/>
              <w:bottom w:val="single" w:sz="2" w:space="0" w:color="auto"/>
              <w:right w:val="single" w:sz="2" w:space="0" w:color="auto"/>
            </w:tcBorders>
            <w:vAlign w:val="center"/>
          </w:tcPr>
          <w:p w14:paraId="125E693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0.5</w:t>
            </w:r>
          </w:p>
        </w:tc>
        <w:tc>
          <w:tcPr>
            <w:tcW w:w="851" w:type="dxa"/>
            <w:tcBorders>
              <w:top w:val="single" w:sz="2" w:space="0" w:color="auto"/>
              <w:left w:val="single" w:sz="2" w:space="0" w:color="auto"/>
              <w:bottom w:val="single" w:sz="2" w:space="0" w:color="auto"/>
              <w:right w:val="single" w:sz="2" w:space="0" w:color="auto"/>
            </w:tcBorders>
            <w:vAlign w:val="center"/>
          </w:tcPr>
          <w:p w14:paraId="4AF6962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70EC359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30D06AE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46A2B8D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5EC670DF"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7386A56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预制菜研发检测车间项目</w:t>
            </w:r>
          </w:p>
        </w:tc>
        <w:tc>
          <w:tcPr>
            <w:tcW w:w="1134" w:type="dxa"/>
            <w:tcBorders>
              <w:top w:val="single" w:sz="2" w:space="0" w:color="auto"/>
              <w:left w:val="single" w:sz="2" w:space="0" w:color="auto"/>
              <w:bottom w:val="single" w:sz="2" w:space="0" w:color="auto"/>
              <w:right w:val="single" w:sz="2" w:space="0" w:color="auto"/>
            </w:tcBorders>
            <w:vAlign w:val="center"/>
          </w:tcPr>
          <w:p w14:paraId="0F83918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6,000,000.00</w:t>
            </w:r>
          </w:p>
        </w:tc>
        <w:tc>
          <w:tcPr>
            <w:tcW w:w="1134" w:type="dxa"/>
            <w:tcBorders>
              <w:top w:val="single" w:sz="2" w:space="0" w:color="auto"/>
              <w:left w:val="single" w:sz="2" w:space="0" w:color="auto"/>
              <w:bottom w:val="single" w:sz="2" w:space="0" w:color="auto"/>
              <w:right w:val="single" w:sz="2" w:space="0" w:color="auto"/>
            </w:tcBorders>
            <w:vAlign w:val="center"/>
          </w:tcPr>
          <w:p w14:paraId="45726AF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2,655,313.81</w:t>
            </w:r>
          </w:p>
        </w:tc>
        <w:tc>
          <w:tcPr>
            <w:tcW w:w="992" w:type="dxa"/>
            <w:tcBorders>
              <w:top w:val="single" w:sz="2" w:space="0" w:color="auto"/>
              <w:left w:val="single" w:sz="2" w:space="0" w:color="auto"/>
              <w:bottom w:val="single" w:sz="2" w:space="0" w:color="auto"/>
              <w:right w:val="single" w:sz="2" w:space="0" w:color="auto"/>
            </w:tcBorders>
            <w:vAlign w:val="center"/>
          </w:tcPr>
          <w:p w14:paraId="517E62C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6,592,878.26</w:t>
            </w:r>
          </w:p>
        </w:tc>
        <w:tc>
          <w:tcPr>
            <w:tcW w:w="992" w:type="dxa"/>
            <w:tcBorders>
              <w:top w:val="single" w:sz="2" w:space="0" w:color="auto"/>
              <w:left w:val="single" w:sz="2" w:space="0" w:color="auto"/>
              <w:bottom w:val="single" w:sz="2" w:space="0" w:color="auto"/>
              <w:right w:val="single" w:sz="2" w:space="0" w:color="auto"/>
            </w:tcBorders>
            <w:vAlign w:val="center"/>
          </w:tcPr>
          <w:p w14:paraId="78A0D02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4,979,608.02</w:t>
            </w:r>
          </w:p>
        </w:tc>
        <w:tc>
          <w:tcPr>
            <w:tcW w:w="426" w:type="dxa"/>
            <w:tcBorders>
              <w:top w:val="single" w:sz="2" w:space="0" w:color="auto"/>
              <w:left w:val="single" w:sz="2" w:space="0" w:color="auto"/>
              <w:bottom w:val="single" w:sz="2" w:space="0" w:color="auto"/>
              <w:right w:val="single" w:sz="2" w:space="0" w:color="auto"/>
            </w:tcBorders>
            <w:vAlign w:val="center"/>
          </w:tcPr>
          <w:p w14:paraId="4C5E29C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376A22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4,268,584.05</w:t>
            </w:r>
          </w:p>
        </w:tc>
        <w:tc>
          <w:tcPr>
            <w:tcW w:w="708" w:type="dxa"/>
            <w:tcBorders>
              <w:top w:val="single" w:sz="2" w:space="0" w:color="auto"/>
              <w:left w:val="single" w:sz="2" w:space="0" w:color="auto"/>
              <w:bottom w:val="single" w:sz="2" w:space="0" w:color="auto"/>
              <w:right w:val="single" w:sz="2" w:space="0" w:color="auto"/>
            </w:tcBorders>
            <w:vAlign w:val="center"/>
          </w:tcPr>
          <w:p w14:paraId="09383FC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71.14%</w:t>
            </w:r>
          </w:p>
        </w:tc>
        <w:tc>
          <w:tcPr>
            <w:tcW w:w="567" w:type="dxa"/>
            <w:tcBorders>
              <w:top w:val="single" w:sz="2" w:space="0" w:color="auto"/>
              <w:left w:val="single" w:sz="2" w:space="0" w:color="auto"/>
              <w:bottom w:val="single" w:sz="2" w:space="0" w:color="auto"/>
              <w:right w:val="single" w:sz="2" w:space="0" w:color="auto"/>
            </w:tcBorders>
            <w:vAlign w:val="center"/>
          </w:tcPr>
          <w:p w14:paraId="4DF2E42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0.95</w:t>
            </w:r>
          </w:p>
        </w:tc>
        <w:tc>
          <w:tcPr>
            <w:tcW w:w="851" w:type="dxa"/>
            <w:tcBorders>
              <w:top w:val="single" w:sz="2" w:space="0" w:color="auto"/>
              <w:left w:val="single" w:sz="2" w:space="0" w:color="auto"/>
              <w:bottom w:val="single" w:sz="2" w:space="0" w:color="auto"/>
              <w:right w:val="single" w:sz="2" w:space="0" w:color="auto"/>
            </w:tcBorders>
            <w:vAlign w:val="center"/>
          </w:tcPr>
          <w:p w14:paraId="7A27442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4F6E1E1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E84A8A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5245E74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73C73D94"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7DE5124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数字化费控管理系统</w:t>
            </w:r>
          </w:p>
        </w:tc>
        <w:tc>
          <w:tcPr>
            <w:tcW w:w="1134" w:type="dxa"/>
            <w:tcBorders>
              <w:top w:val="single" w:sz="2" w:space="0" w:color="auto"/>
              <w:left w:val="single" w:sz="2" w:space="0" w:color="auto"/>
              <w:bottom w:val="single" w:sz="2" w:space="0" w:color="auto"/>
              <w:right w:val="single" w:sz="2" w:space="0" w:color="auto"/>
            </w:tcBorders>
            <w:vAlign w:val="center"/>
          </w:tcPr>
          <w:p w14:paraId="57FBCE0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300,000.00</w:t>
            </w:r>
          </w:p>
        </w:tc>
        <w:tc>
          <w:tcPr>
            <w:tcW w:w="1134" w:type="dxa"/>
            <w:tcBorders>
              <w:top w:val="single" w:sz="2" w:space="0" w:color="auto"/>
              <w:left w:val="single" w:sz="2" w:space="0" w:color="auto"/>
              <w:bottom w:val="single" w:sz="2" w:space="0" w:color="auto"/>
              <w:right w:val="single" w:sz="2" w:space="0" w:color="auto"/>
            </w:tcBorders>
            <w:vAlign w:val="center"/>
          </w:tcPr>
          <w:p w14:paraId="721C4D2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104,716.98</w:t>
            </w:r>
          </w:p>
        </w:tc>
        <w:tc>
          <w:tcPr>
            <w:tcW w:w="992" w:type="dxa"/>
            <w:tcBorders>
              <w:top w:val="single" w:sz="2" w:space="0" w:color="auto"/>
              <w:left w:val="single" w:sz="2" w:space="0" w:color="auto"/>
              <w:bottom w:val="single" w:sz="2" w:space="0" w:color="auto"/>
              <w:right w:val="single" w:sz="2" w:space="0" w:color="auto"/>
            </w:tcBorders>
            <w:vAlign w:val="center"/>
          </w:tcPr>
          <w:p w14:paraId="42C8536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104,716.98</w:t>
            </w:r>
          </w:p>
        </w:tc>
        <w:tc>
          <w:tcPr>
            <w:tcW w:w="992" w:type="dxa"/>
            <w:tcBorders>
              <w:top w:val="single" w:sz="2" w:space="0" w:color="auto"/>
              <w:left w:val="single" w:sz="2" w:space="0" w:color="auto"/>
              <w:bottom w:val="single" w:sz="2" w:space="0" w:color="auto"/>
              <w:right w:val="single" w:sz="2" w:space="0" w:color="auto"/>
            </w:tcBorders>
            <w:vAlign w:val="center"/>
          </w:tcPr>
          <w:p w14:paraId="1A34F4B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209,433.96</w:t>
            </w:r>
          </w:p>
        </w:tc>
        <w:tc>
          <w:tcPr>
            <w:tcW w:w="426" w:type="dxa"/>
            <w:tcBorders>
              <w:top w:val="single" w:sz="2" w:space="0" w:color="auto"/>
              <w:left w:val="single" w:sz="2" w:space="0" w:color="auto"/>
              <w:bottom w:val="single" w:sz="2" w:space="0" w:color="auto"/>
              <w:right w:val="single" w:sz="2" w:space="0" w:color="auto"/>
            </w:tcBorders>
            <w:vAlign w:val="center"/>
          </w:tcPr>
          <w:p w14:paraId="7C9D80F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16AB96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708" w:type="dxa"/>
            <w:tcBorders>
              <w:top w:val="single" w:sz="2" w:space="0" w:color="auto"/>
              <w:left w:val="single" w:sz="2" w:space="0" w:color="auto"/>
              <w:bottom w:val="single" w:sz="2" w:space="0" w:color="auto"/>
              <w:right w:val="single" w:sz="2" w:space="0" w:color="auto"/>
            </w:tcBorders>
            <w:vAlign w:val="center"/>
          </w:tcPr>
          <w:p w14:paraId="3656E37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69.81%</w:t>
            </w:r>
          </w:p>
        </w:tc>
        <w:tc>
          <w:tcPr>
            <w:tcW w:w="567" w:type="dxa"/>
            <w:tcBorders>
              <w:top w:val="single" w:sz="2" w:space="0" w:color="auto"/>
              <w:left w:val="single" w:sz="2" w:space="0" w:color="auto"/>
              <w:bottom w:val="single" w:sz="2" w:space="0" w:color="auto"/>
              <w:right w:val="single" w:sz="2" w:space="0" w:color="auto"/>
            </w:tcBorders>
            <w:vAlign w:val="center"/>
          </w:tcPr>
          <w:p w14:paraId="3E60C6D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p>
        </w:tc>
        <w:tc>
          <w:tcPr>
            <w:tcW w:w="851" w:type="dxa"/>
            <w:tcBorders>
              <w:top w:val="single" w:sz="2" w:space="0" w:color="auto"/>
              <w:left w:val="single" w:sz="2" w:space="0" w:color="auto"/>
              <w:bottom w:val="single" w:sz="2" w:space="0" w:color="auto"/>
              <w:right w:val="single" w:sz="2" w:space="0" w:color="auto"/>
            </w:tcBorders>
            <w:vAlign w:val="center"/>
          </w:tcPr>
          <w:p w14:paraId="21B8D69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4B0CFFF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CC4D83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36A85B6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7DF4FE01"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3D925BB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信息技术开发项目</w:t>
            </w:r>
          </w:p>
        </w:tc>
        <w:tc>
          <w:tcPr>
            <w:tcW w:w="1134" w:type="dxa"/>
            <w:tcBorders>
              <w:top w:val="single" w:sz="2" w:space="0" w:color="auto"/>
              <w:left w:val="single" w:sz="2" w:space="0" w:color="auto"/>
              <w:bottom w:val="single" w:sz="2" w:space="0" w:color="auto"/>
              <w:right w:val="single" w:sz="2" w:space="0" w:color="auto"/>
            </w:tcBorders>
            <w:vAlign w:val="center"/>
          </w:tcPr>
          <w:p w14:paraId="32D451C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1,440,000.00</w:t>
            </w:r>
          </w:p>
        </w:tc>
        <w:tc>
          <w:tcPr>
            <w:tcW w:w="1134" w:type="dxa"/>
            <w:tcBorders>
              <w:top w:val="single" w:sz="2" w:space="0" w:color="auto"/>
              <w:left w:val="single" w:sz="2" w:space="0" w:color="auto"/>
              <w:bottom w:val="single" w:sz="2" w:space="0" w:color="auto"/>
              <w:right w:val="single" w:sz="2" w:space="0" w:color="auto"/>
            </w:tcBorders>
            <w:vAlign w:val="center"/>
          </w:tcPr>
          <w:p w14:paraId="1651BC7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949,412.04</w:t>
            </w:r>
          </w:p>
        </w:tc>
        <w:tc>
          <w:tcPr>
            <w:tcW w:w="992" w:type="dxa"/>
            <w:tcBorders>
              <w:top w:val="single" w:sz="2" w:space="0" w:color="auto"/>
              <w:left w:val="single" w:sz="2" w:space="0" w:color="auto"/>
              <w:bottom w:val="single" w:sz="2" w:space="0" w:color="auto"/>
              <w:right w:val="single" w:sz="2" w:space="0" w:color="auto"/>
            </w:tcBorders>
            <w:vAlign w:val="center"/>
          </w:tcPr>
          <w:p w14:paraId="58B73F0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462,745.94</w:t>
            </w:r>
          </w:p>
        </w:tc>
        <w:tc>
          <w:tcPr>
            <w:tcW w:w="992" w:type="dxa"/>
            <w:tcBorders>
              <w:top w:val="single" w:sz="2" w:space="0" w:color="auto"/>
              <w:left w:val="single" w:sz="2" w:space="0" w:color="auto"/>
              <w:bottom w:val="single" w:sz="2" w:space="0" w:color="auto"/>
              <w:right w:val="single" w:sz="2" w:space="0" w:color="auto"/>
            </w:tcBorders>
            <w:vAlign w:val="center"/>
          </w:tcPr>
          <w:p w14:paraId="08F8B7D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48B0BE7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F86D60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1,412,157.98</w:t>
            </w:r>
          </w:p>
        </w:tc>
        <w:tc>
          <w:tcPr>
            <w:tcW w:w="708" w:type="dxa"/>
            <w:tcBorders>
              <w:top w:val="single" w:sz="2" w:space="0" w:color="auto"/>
              <w:left w:val="single" w:sz="2" w:space="0" w:color="auto"/>
              <w:bottom w:val="single" w:sz="2" w:space="0" w:color="auto"/>
              <w:right w:val="single" w:sz="2" w:space="0" w:color="auto"/>
            </w:tcBorders>
            <w:vAlign w:val="center"/>
          </w:tcPr>
          <w:p w14:paraId="32CCE63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98.07%</w:t>
            </w:r>
          </w:p>
        </w:tc>
        <w:tc>
          <w:tcPr>
            <w:tcW w:w="567" w:type="dxa"/>
            <w:tcBorders>
              <w:top w:val="single" w:sz="2" w:space="0" w:color="auto"/>
              <w:left w:val="single" w:sz="2" w:space="0" w:color="auto"/>
              <w:bottom w:val="single" w:sz="2" w:space="0" w:color="auto"/>
              <w:right w:val="single" w:sz="2" w:space="0" w:color="auto"/>
            </w:tcBorders>
            <w:vAlign w:val="center"/>
          </w:tcPr>
          <w:p w14:paraId="79A89D8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0.7</w:t>
            </w:r>
          </w:p>
        </w:tc>
        <w:tc>
          <w:tcPr>
            <w:tcW w:w="851" w:type="dxa"/>
            <w:tcBorders>
              <w:top w:val="single" w:sz="2" w:space="0" w:color="auto"/>
              <w:left w:val="single" w:sz="2" w:space="0" w:color="auto"/>
              <w:bottom w:val="single" w:sz="2" w:space="0" w:color="auto"/>
              <w:right w:val="single" w:sz="2" w:space="0" w:color="auto"/>
            </w:tcBorders>
            <w:vAlign w:val="center"/>
          </w:tcPr>
          <w:p w14:paraId="54AF295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5ED0DEF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E06A21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2F84351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24FA71BA"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3AC15FF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生食血粉车间喷淋塔</w:t>
            </w:r>
          </w:p>
        </w:tc>
        <w:tc>
          <w:tcPr>
            <w:tcW w:w="1134" w:type="dxa"/>
            <w:tcBorders>
              <w:top w:val="single" w:sz="2" w:space="0" w:color="auto"/>
              <w:left w:val="single" w:sz="2" w:space="0" w:color="auto"/>
              <w:bottom w:val="single" w:sz="2" w:space="0" w:color="auto"/>
              <w:right w:val="single" w:sz="2" w:space="0" w:color="auto"/>
            </w:tcBorders>
            <w:vAlign w:val="center"/>
          </w:tcPr>
          <w:p w14:paraId="278BDE2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300,000.00</w:t>
            </w:r>
          </w:p>
        </w:tc>
        <w:tc>
          <w:tcPr>
            <w:tcW w:w="1134" w:type="dxa"/>
            <w:tcBorders>
              <w:top w:val="single" w:sz="2" w:space="0" w:color="auto"/>
              <w:left w:val="single" w:sz="2" w:space="0" w:color="auto"/>
              <w:bottom w:val="single" w:sz="2" w:space="0" w:color="auto"/>
              <w:right w:val="single" w:sz="2" w:space="0" w:color="auto"/>
            </w:tcBorders>
            <w:vAlign w:val="center"/>
          </w:tcPr>
          <w:p w14:paraId="3BD639F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111,251.33</w:t>
            </w:r>
          </w:p>
        </w:tc>
        <w:tc>
          <w:tcPr>
            <w:tcW w:w="992" w:type="dxa"/>
            <w:tcBorders>
              <w:top w:val="single" w:sz="2" w:space="0" w:color="auto"/>
              <w:left w:val="single" w:sz="2" w:space="0" w:color="auto"/>
              <w:bottom w:val="single" w:sz="2" w:space="0" w:color="auto"/>
              <w:right w:val="single" w:sz="2" w:space="0" w:color="auto"/>
            </w:tcBorders>
            <w:vAlign w:val="center"/>
          </w:tcPr>
          <w:p w14:paraId="247A6A4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111,251.33</w:t>
            </w:r>
          </w:p>
        </w:tc>
        <w:tc>
          <w:tcPr>
            <w:tcW w:w="992" w:type="dxa"/>
            <w:tcBorders>
              <w:top w:val="single" w:sz="2" w:space="0" w:color="auto"/>
              <w:left w:val="single" w:sz="2" w:space="0" w:color="auto"/>
              <w:bottom w:val="single" w:sz="2" w:space="0" w:color="auto"/>
              <w:right w:val="single" w:sz="2" w:space="0" w:color="auto"/>
            </w:tcBorders>
            <w:vAlign w:val="center"/>
          </w:tcPr>
          <w:p w14:paraId="074B424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222,502.66</w:t>
            </w:r>
          </w:p>
        </w:tc>
        <w:tc>
          <w:tcPr>
            <w:tcW w:w="426" w:type="dxa"/>
            <w:tcBorders>
              <w:top w:val="single" w:sz="2" w:space="0" w:color="auto"/>
              <w:left w:val="single" w:sz="2" w:space="0" w:color="auto"/>
              <w:bottom w:val="single" w:sz="2" w:space="0" w:color="auto"/>
              <w:right w:val="single" w:sz="2" w:space="0" w:color="auto"/>
            </w:tcBorders>
            <w:vAlign w:val="center"/>
          </w:tcPr>
          <w:p w14:paraId="6D3AE25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7099B5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708" w:type="dxa"/>
            <w:tcBorders>
              <w:top w:val="single" w:sz="2" w:space="0" w:color="auto"/>
              <w:left w:val="single" w:sz="2" w:space="0" w:color="auto"/>
              <w:bottom w:val="single" w:sz="2" w:space="0" w:color="auto"/>
              <w:right w:val="single" w:sz="2" w:space="0" w:color="auto"/>
            </w:tcBorders>
            <w:vAlign w:val="center"/>
          </w:tcPr>
          <w:p w14:paraId="169A198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74.17%</w:t>
            </w:r>
          </w:p>
        </w:tc>
        <w:tc>
          <w:tcPr>
            <w:tcW w:w="567" w:type="dxa"/>
            <w:tcBorders>
              <w:top w:val="single" w:sz="2" w:space="0" w:color="auto"/>
              <w:left w:val="single" w:sz="2" w:space="0" w:color="auto"/>
              <w:bottom w:val="single" w:sz="2" w:space="0" w:color="auto"/>
              <w:right w:val="single" w:sz="2" w:space="0" w:color="auto"/>
            </w:tcBorders>
            <w:vAlign w:val="center"/>
          </w:tcPr>
          <w:p w14:paraId="30D2023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p>
        </w:tc>
        <w:tc>
          <w:tcPr>
            <w:tcW w:w="851" w:type="dxa"/>
            <w:tcBorders>
              <w:top w:val="single" w:sz="2" w:space="0" w:color="auto"/>
              <w:left w:val="single" w:sz="2" w:space="0" w:color="auto"/>
              <w:bottom w:val="single" w:sz="2" w:space="0" w:color="auto"/>
              <w:right w:val="single" w:sz="2" w:space="0" w:color="auto"/>
            </w:tcBorders>
            <w:vAlign w:val="center"/>
          </w:tcPr>
          <w:p w14:paraId="03ACF93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1DE0792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794E1C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35A5640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59859DFF"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36E9AD9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西厂产品合并调理车间工程建筑安装和生产设备施工项目</w:t>
            </w:r>
          </w:p>
        </w:tc>
        <w:tc>
          <w:tcPr>
            <w:tcW w:w="1134" w:type="dxa"/>
            <w:tcBorders>
              <w:top w:val="single" w:sz="2" w:space="0" w:color="auto"/>
              <w:left w:val="single" w:sz="2" w:space="0" w:color="auto"/>
              <w:bottom w:val="single" w:sz="2" w:space="0" w:color="auto"/>
              <w:right w:val="single" w:sz="2" w:space="0" w:color="auto"/>
            </w:tcBorders>
            <w:vAlign w:val="center"/>
          </w:tcPr>
          <w:p w14:paraId="3DB606A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2,430,000.00</w:t>
            </w:r>
          </w:p>
        </w:tc>
        <w:tc>
          <w:tcPr>
            <w:tcW w:w="1134" w:type="dxa"/>
            <w:tcBorders>
              <w:top w:val="single" w:sz="2" w:space="0" w:color="auto"/>
              <w:left w:val="single" w:sz="2" w:space="0" w:color="auto"/>
              <w:bottom w:val="single" w:sz="2" w:space="0" w:color="auto"/>
              <w:right w:val="single" w:sz="2" w:space="0" w:color="auto"/>
            </w:tcBorders>
            <w:vAlign w:val="center"/>
          </w:tcPr>
          <w:p w14:paraId="0B28F08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1,089,459.19</w:t>
            </w:r>
          </w:p>
        </w:tc>
        <w:tc>
          <w:tcPr>
            <w:tcW w:w="992" w:type="dxa"/>
            <w:tcBorders>
              <w:top w:val="single" w:sz="2" w:space="0" w:color="auto"/>
              <w:left w:val="single" w:sz="2" w:space="0" w:color="auto"/>
              <w:bottom w:val="single" w:sz="2" w:space="0" w:color="auto"/>
              <w:right w:val="single" w:sz="2" w:space="0" w:color="auto"/>
            </w:tcBorders>
            <w:vAlign w:val="center"/>
          </w:tcPr>
          <w:p w14:paraId="3C9F708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445,871.56</w:t>
            </w:r>
          </w:p>
        </w:tc>
        <w:tc>
          <w:tcPr>
            <w:tcW w:w="992" w:type="dxa"/>
            <w:tcBorders>
              <w:top w:val="single" w:sz="2" w:space="0" w:color="auto"/>
              <w:left w:val="single" w:sz="2" w:space="0" w:color="auto"/>
              <w:bottom w:val="single" w:sz="2" w:space="0" w:color="auto"/>
              <w:right w:val="single" w:sz="2" w:space="0" w:color="auto"/>
            </w:tcBorders>
            <w:vAlign w:val="center"/>
          </w:tcPr>
          <w:p w14:paraId="4BAD124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49A33E2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695456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1,535,330.75</w:t>
            </w:r>
          </w:p>
        </w:tc>
        <w:tc>
          <w:tcPr>
            <w:tcW w:w="708" w:type="dxa"/>
            <w:tcBorders>
              <w:top w:val="single" w:sz="2" w:space="0" w:color="auto"/>
              <w:left w:val="single" w:sz="2" w:space="0" w:color="auto"/>
              <w:bottom w:val="single" w:sz="2" w:space="0" w:color="auto"/>
              <w:right w:val="single" w:sz="2" w:space="0" w:color="auto"/>
            </w:tcBorders>
            <w:vAlign w:val="center"/>
          </w:tcPr>
          <w:p w14:paraId="7793457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63.18%</w:t>
            </w:r>
          </w:p>
        </w:tc>
        <w:tc>
          <w:tcPr>
            <w:tcW w:w="567" w:type="dxa"/>
            <w:tcBorders>
              <w:top w:val="single" w:sz="2" w:space="0" w:color="auto"/>
              <w:left w:val="single" w:sz="2" w:space="0" w:color="auto"/>
              <w:bottom w:val="single" w:sz="2" w:space="0" w:color="auto"/>
              <w:right w:val="single" w:sz="2" w:space="0" w:color="auto"/>
            </w:tcBorders>
            <w:vAlign w:val="center"/>
          </w:tcPr>
          <w:p w14:paraId="67DD056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0.9</w:t>
            </w:r>
          </w:p>
        </w:tc>
        <w:tc>
          <w:tcPr>
            <w:tcW w:w="851" w:type="dxa"/>
            <w:tcBorders>
              <w:top w:val="single" w:sz="2" w:space="0" w:color="auto"/>
              <w:left w:val="single" w:sz="2" w:space="0" w:color="auto"/>
              <w:bottom w:val="single" w:sz="2" w:space="0" w:color="auto"/>
              <w:right w:val="single" w:sz="2" w:space="0" w:color="auto"/>
            </w:tcBorders>
            <w:vAlign w:val="center"/>
          </w:tcPr>
          <w:p w14:paraId="25242C9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77CF41D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651ED78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6B3E8BC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5A12AB44"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760B22C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调理车间拉伸膜真空包装机项目</w:t>
            </w:r>
          </w:p>
        </w:tc>
        <w:tc>
          <w:tcPr>
            <w:tcW w:w="1134" w:type="dxa"/>
            <w:tcBorders>
              <w:top w:val="single" w:sz="2" w:space="0" w:color="auto"/>
              <w:left w:val="single" w:sz="2" w:space="0" w:color="auto"/>
              <w:bottom w:val="single" w:sz="2" w:space="0" w:color="auto"/>
              <w:right w:val="single" w:sz="2" w:space="0" w:color="auto"/>
            </w:tcBorders>
            <w:vAlign w:val="center"/>
          </w:tcPr>
          <w:p w14:paraId="24419EF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349,000.00</w:t>
            </w:r>
          </w:p>
        </w:tc>
        <w:tc>
          <w:tcPr>
            <w:tcW w:w="1134" w:type="dxa"/>
            <w:tcBorders>
              <w:top w:val="single" w:sz="2" w:space="0" w:color="auto"/>
              <w:left w:val="single" w:sz="2" w:space="0" w:color="auto"/>
              <w:bottom w:val="single" w:sz="2" w:space="0" w:color="auto"/>
              <w:right w:val="single" w:sz="2" w:space="0" w:color="auto"/>
            </w:tcBorders>
            <w:vAlign w:val="center"/>
          </w:tcPr>
          <w:p w14:paraId="047BEA4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92,654.87</w:t>
            </w:r>
          </w:p>
        </w:tc>
        <w:tc>
          <w:tcPr>
            <w:tcW w:w="992" w:type="dxa"/>
            <w:tcBorders>
              <w:top w:val="single" w:sz="2" w:space="0" w:color="auto"/>
              <w:left w:val="single" w:sz="2" w:space="0" w:color="auto"/>
              <w:bottom w:val="single" w:sz="2" w:space="0" w:color="auto"/>
              <w:right w:val="single" w:sz="2" w:space="0" w:color="auto"/>
            </w:tcBorders>
            <w:vAlign w:val="center"/>
          </w:tcPr>
          <w:p w14:paraId="20D6A3D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77,212.39</w:t>
            </w:r>
          </w:p>
        </w:tc>
        <w:tc>
          <w:tcPr>
            <w:tcW w:w="992" w:type="dxa"/>
            <w:tcBorders>
              <w:top w:val="single" w:sz="2" w:space="0" w:color="auto"/>
              <w:left w:val="single" w:sz="2" w:space="0" w:color="auto"/>
              <w:bottom w:val="single" w:sz="2" w:space="0" w:color="auto"/>
              <w:right w:val="single" w:sz="2" w:space="0" w:color="auto"/>
            </w:tcBorders>
            <w:vAlign w:val="center"/>
          </w:tcPr>
          <w:p w14:paraId="655956D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2F652BC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74C670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169,867.26</w:t>
            </w:r>
          </w:p>
        </w:tc>
        <w:tc>
          <w:tcPr>
            <w:tcW w:w="708" w:type="dxa"/>
            <w:tcBorders>
              <w:top w:val="single" w:sz="2" w:space="0" w:color="auto"/>
              <w:left w:val="single" w:sz="2" w:space="0" w:color="auto"/>
              <w:bottom w:val="single" w:sz="2" w:space="0" w:color="auto"/>
              <w:right w:val="single" w:sz="2" w:space="0" w:color="auto"/>
            </w:tcBorders>
            <w:vAlign w:val="center"/>
          </w:tcPr>
          <w:p w14:paraId="291A32B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48.67%</w:t>
            </w:r>
          </w:p>
        </w:tc>
        <w:tc>
          <w:tcPr>
            <w:tcW w:w="567" w:type="dxa"/>
            <w:tcBorders>
              <w:top w:val="single" w:sz="2" w:space="0" w:color="auto"/>
              <w:left w:val="single" w:sz="2" w:space="0" w:color="auto"/>
              <w:bottom w:val="single" w:sz="2" w:space="0" w:color="auto"/>
              <w:right w:val="single" w:sz="2" w:space="0" w:color="auto"/>
            </w:tcBorders>
            <w:vAlign w:val="center"/>
          </w:tcPr>
          <w:p w14:paraId="6D17896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0.95</w:t>
            </w:r>
          </w:p>
        </w:tc>
        <w:tc>
          <w:tcPr>
            <w:tcW w:w="851" w:type="dxa"/>
            <w:tcBorders>
              <w:top w:val="single" w:sz="2" w:space="0" w:color="auto"/>
              <w:left w:val="single" w:sz="2" w:space="0" w:color="auto"/>
              <w:bottom w:val="single" w:sz="2" w:space="0" w:color="auto"/>
              <w:right w:val="single" w:sz="2" w:space="0" w:color="auto"/>
            </w:tcBorders>
            <w:vAlign w:val="center"/>
          </w:tcPr>
          <w:p w14:paraId="3AFE9A0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5468743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63FEC4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1D58286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0012B38A"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1941443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真空车间三文治压模机</w:t>
            </w:r>
          </w:p>
        </w:tc>
        <w:tc>
          <w:tcPr>
            <w:tcW w:w="1134" w:type="dxa"/>
            <w:tcBorders>
              <w:top w:val="single" w:sz="2" w:space="0" w:color="auto"/>
              <w:left w:val="single" w:sz="2" w:space="0" w:color="auto"/>
              <w:bottom w:val="single" w:sz="2" w:space="0" w:color="auto"/>
              <w:right w:val="single" w:sz="2" w:space="0" w:color="auto"/>
            </w:tcBorders>
            <w:vAlign w:val="center"/>
          </w:tcPr>
          <w:p w14:paraId="77E2DD2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238,000.00</w:t>
            </w:r>
          </w:p>
        </w:tc>
        <w:tc>
          <w:tcPr>
            <w:tcW w:w="1134" w:type="dxa"/>
            <w:tcBorders>
              <w:top w:val="single" w:sz="2" w:space="0" w:color="auto"/>
              <w:left w:val="single" w:sz="2" w:space="0" w:color="auto"/>
              <w:bottom w:val="single" w:sz="2" w:space="0" w:color="auto"/>
              <w:right w:val="single" w:sz="2" w:space="0" w:color="auto"/>
            </w:tcBorders>
            <w:vAlign w:val="center"/>
          </w:tcPr>
          <w:p w14:paraId="554A0B1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14982B9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200,088.50</w:t>
            </w:r>
          </w:p>
        </w:tc>
        <w:tc>
          <w:tcPr>
            <w:tcW w:w="992" w:type="dxa"/>
            <w:tcBorders>
              <w:top w:val="single" w:sz="2" w:space="0" w:color="auto"/>
              <w:left w:val="single" w:sz="2" w:space="0" w:color="auto"/>
              <w:bottom w:val="single" w:sz="2" w:space="0" w:color="auto"/>
              <w:right w:val="single" w:sz="2" w:space="0" w:color="auto"/>
            </w:tcBorders>
            <w:vAlign w:val="center"/>
          </w:tcPr>
          <w:p w14:paraId="2CCC856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3D26F34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A4F8E0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200,088.50</w:t>
            </w:r>
          </w:p>
        </w:tc>
        <w:tc>
          <w:tcPr>
            <w:tcW w:w="708" w:type="dxa"/>
            <w:tcBorders>
              <w:top w:val="single" w:sz="2" w:space="0" w:color="auto"/>
              <w:left w:val="single" w:sz="2" w:space="0" w:color="auto"/>
              <w:bottom w:val="single" w:sz="2" w:space="0" w:color="auto"/>
              <w:right w:val="single" w:sz="2" w:space="0" w:color="auto"/>
            </w:tcBorders>
            <w:vAlign w:val="center"/>
          </w:tcPr>
          <w:p w14:paraId="7907CAC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84.07%</w:t>
            </w:r>
          </w:p>
        </w:tc>
        <w:tc>
          <w:tcPr>
            <w:tcW w:w="567" w:type="dxa"/>
            <w:tcBorders>
              <w:top w:val="single" w:sz="2" w:space="0" w:color="auto"/>
              <w:left w:val="single" w:sz="2" w:space="0" w:color="auto"/>
              <w:bottom w:val="single" w:sz="2" w:space="0" w:color="auto"/>
              <w:right w:val="single" w:sz="2" w:space="0" w:color="auto"/>
            </w:tcBorders>
            <w:vAlign w:val="center"/>
          </w:tcPr>
          <w:p w14:paraId="3AFBFFC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0.95</w:t>
            </w:r>
          </w:p>
        </w:tc>
        <w:tc>
          <w:tcPr>
            <w:tcW w:w="851" w:type="dxa"/>
            <w:tcBorders>
              <w:top w:val="single" w:sz="2" w:space="0" w:color="auto"/>
              <w:left w:val="single" w:sz="2" w:space="0" w:color="auto"/>
              <w:bottom w:val="single" w:sz="2" w:space="0" w:color="auto"/>
              <w:right w:val="single" w:sz="2" w:space="0" w:color="auto"/>
            </w:tcBorders>
            <w:vAlign w:val="center"/>
          </w:tcPr>
          <w:p w14:paraId="70903EF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8CBB8F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6A83705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4F796B3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61528ECE"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687E5C1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高温肠自动挑拣选别机</w:t>
            </w:r>
          </w:p>
        </w:tc>
        <w:tc>
          <w:tcPr>
            <w:tcW w:w="1134" w:type="dxa"/>
            <w:tcBorders>
              <w:top w:val="single" w:sz="2" w:space="0" w:color="auto"/>
              <w:left w:val="single" w:sz="2" w:space="0" w:color="auto"/>
              <w:bottom w:val="single" w:sz="2" w:space="0" w:color="auto"/>
              <w:right w:val="single" w:sz="2" w:space="0" w:color="auto"/>
            </w:tcBorders>
            <w:vAlign w:val="center"/>
          </w:tcPr>
          <w:p w14:paraId="529FEFF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480,000.00</w:t>
            </w:r>
          </w:p>
        </w:tc>
        <w:tc>
          <w:tcPr>
            <w:tcW w:w="1134" w:type="dxa"/>
            <w:tcBorders>
              <w:top w:val="single" w:sz="2" w:space="0" w:color="auto"/>
              <w:left w:val="single" w:sz="2" w:space="0" w:color="auto"/>
              <w:bottom w:val="single" w:sz="2" w:space="0" w:color="auto"/>
              <w:right w:val="single" w:sz="2" w:space="0" w:color="auto"/>
            </w:tcBorders>
            <w:vAlign w:val="center"/>
          </w:tcPr>
          <w:p w14:paraId="5CC4D54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0635FD4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424,778.76</w:t>
            </w:r>
          </w:p>
        </w:tc>
        <w:tc>
          <w:tcPr>
            <w:tcW w:w="992" w:type="dxa"/>
            <w:tcBorders>
              <w:top w:val="single" w:sz="2" w:space="0" w:color="auto"/>
              <w:left w:val="single" w:sz="2" w:space="0" w:color="auto"/>
              <w:bottom w:val="single" w:sz="2" w:space="0" w:color="auto"/>
              <w:right w:val="single" w:sz="2" w:space="0" w:color="auto"/>
            </w:tcBorders>
            <w:vAlign w:val="center"/>
          </w:tcPr>
          <w:p w14:paraId="6041438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42C8BCF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A05C2D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424,778.76</w:t>
            </w:r>
          </w:p>
        </w:tc>
        <w:tc>
          <w:tcPr>
            <w:tcW w:w="708" w:type="dxa"/>
            <w:tcBorders>
              <w:top w:val="single" w:sz="2" w:space="0" w:color="auto"/>
              <w:left w:val="single" w:sz="2" w:space="0" w:color="auto"/>
              <w:bottom w:val="single" w:sz="2" w:space="0" w:color="auto"/>
              <w:right w:val="single" w:sz="2" w:space="0" w:color="auto"/>
            </w:tcBorders>
            <w:vAlign w:val="center"/>
          </w:tcPr>
          <w:p w14:paraId="3A10A90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88.50%</w:t>
            </w:r>
          </w:p>
        </w:tc>
        <w:tc>
          <w:tcPr>
            <w:tcW w:w="567" w:type="dxa"/>
            <w:tcBorders>
              <w:top w:val="single" w:sz="2" w:space="0" w:color="auto"/>
              <w:left w:val="single" w:sz="2" w:space="0" w:color="auto"/>
              <w:bottom w:val="single" w:sz="2" w:space="0" w:color="auto"/>
              <w:right w:val="single" w:sz="2" w:space="0" w:color="auto"/>
            </w:tcBorders>
            <w:vAlign w:val="center"/>
          </w:tcPr>
          <w:p w14:paraId="2C30E26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0.95</w:t>
            </w:r>
          </w:p>
        </w:tc>
        <w:tc>
          <w:tcPr>
            <w:tcW w:w="851" w:type="dxa"/>
            <w:tcBorders>
              <w:top w:val="single" w:sz="2" w:space="0" w:color="auto"/>
              <w:left w:val="single" w:sz="2" w:space="0" w:color="auto"/>
              <w:bottom w:val="single" w:sz="2" w:space="0" w:color="auto"/>
              <w:right w:val="single" w:sz="2" w:space="0" w:color="auto"/>
            </w:tcBorders>
            <w:vAlign w:val="center"/>
          </w:tcPr>
          <w:p w14:paraId="6A6A957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15F4960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632B587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10ECA3B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0C38ACB8"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373D6C6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速冻库改造（二期）</w:t>
            </w:r>
          </w:p>
        </w:tc>
        <w:tc>
          <w:tcPr>
            <w:tcW w:w="1134" w:type="dxa"/>
            <w:tcBorders>
              <w:top w:val="single" w:sz="2" w:space="0" w:color="auto"/>
              <w:left w:val="single" w:sz="2" w:space="0" w:color="auto"/>
              <w:bottom w:val="single" w:sz="2" w:space="0" w:color="auto"/>
              <w:right w:val="single" w:sz="2" w:space="0" w:color="auto"/>
            </w:tcBorders>
            <w:vAlign w:val="center"/>
          </w:tcPr>
          <w:p w14:paraId="4A75412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1,800,000.00</w:t>
            </w:r>
          </w:p>
        </w:tc>
        <w:tc>
          <w:tcPr>
            <w:tcW w:w="1134" w:type="dxa"/>
            <w:tcBorders>
              <w:top w:val="single" w:sz="2" w:space="0" w:color="auto"/>
              <w:left w:val="single" w:sz="2" w:space="0" w:color="auto"/>
              <w:bottom w:val="single" w:sz="2" w:space="0" w:color="auto"/>
              <w:right w:val="single" w:sz="2" w:space="0" w:color="auto"/>
            </w:tcBorders>
            <w:vAlign w:val="center"/>
          </w:tcPr>
          <w:p w14:paraId="0F52424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1,202,800.10</w:t>
            </w:r>
          </w:p>
        </w:tc>
        <w:tc>
          <w:tcPr>
            <w:tcW w:w="992" w:type="dxa"/>
            <w:tcBorders>
              <w:top w:val="single" w:sz="2" w:space="0" w:color="auto"/>
              <w:left w:val="single" w:sz="2" w:space="0" w:color="auto"/>
              <w:bottom w:val="single" w:sz="2" w:space="0" w:color="auto"/>
              <w:right w:val="single" w:sz="2" w:space="0" w:color="auto"/>
            </w:tcBorders>
            <w:vAlign w:val="center"/>
          </w:tcPr>
          <w:p w14:paraId="61C64D7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0F97226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3410990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BCB447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1,202,800.10</w:t>
            </w:r>
          </w:p>
        </w:tc>
        <w:tc>
          <w:tcPr>
            <w:tcW w:w="708" w:type="dxa"/>
            <w:tcBorders>
              <w:top w:val="single" w:sz="2" w:space="0" w:color="auto"/>
              <w:left w:val="single" w:sz="2" w:space="0" w:color="auto"/>
              <w:bottom w:val="single" w:sz="2" w:space="0" w:color="auto"/>
              <w:right w:val="single" w:sz="2" w:space="0" w:color="auto"/>
            </w:tcBorders>
            <w:vAlign w:val="center"/>
          </w:tcPr>
          <w:p w14:paraId="400E2F1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66.82%</w:t>
            </w:r>
          </w:p>
        </w:tc>
        <w:tc>
          <w:tcPr>
            <w:tcW w:w="567" w:type="dxa"/>
            <w:tcBorders>
              <w:top w:val="single" w:sz="2" w:space="0" w:color="auto"/>
              <w:left w:val="single" w:sz="2" w:space="0" w:color="auto"/>
              <w:bottom w:val="single" w:sz="2" w:space="0" w:color="auto"/>
              <w:right w:val="single" w:sz="2" w:space="0" w:color="auto"/>
            </w:tcBorders>
            <w:vAlign w:val="center"/>
          </w:tcPr>
          <w:p w14:paraId="7B30950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0.95</w:t>
            </w:r>
          </w:p>
        </w:tc>
        <w:tc>
          <w:tcPr>
            <w:tcW w:w="851" w:type="dxa"/>
            <w:tcBorders>
              <w:top w:val="single" w:sz="2" w:space="0" w:color="auto"/>
              <w:left w:val="single" w:sz="2" w:space="0" w:color="auto"/>
              <w:bottom w:val="single" w:sz="2" w:space="0" w:color="auto"/>
              <w:right w:val="single" w:sz="2" w:space="0" w:color="auto"/>
            </w:tcBorders>
            <w:vAlign w:val="center"/>
          </w:tcPr>
          <w:p w14:paraId="11D26FC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5116381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C73E48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65125AF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4FBDC582"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7546D36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分割车间鲜品输送线</w:t>
            </w:r>
          </w:p>
        </w:tc>
        <w:tc>
          <w:tcPr>
            <w:tcW w:w="1134" w:type="dxa"/>
            <w:tcBorders>
              <w:top w:val="single" w:sz="2" w:space="0" w:color="auto"/>
              <w:left w:val="single" w:sz="2" w:space="0" w:color="auto"/>
              <w:bottom w:val="single" w:sz="2" w:space="0" w:color="auto"/>
              <w:right w:val="single" w:sz="2" w:space="0" w:color="auto"/>
            </w:tcBorders>
            <w:vAlign w:val="center"/>
          </w:tcPr>
          <w:p w14:paraId="3928F7F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1,300,000.00</w:t>
            </w:r>
          </w:p>
        </w:tc>
        <w:tc>
          <w:tcPr>
            <w:tcW w:w="1134" w:type="dxa"/>
            <w:tcBorders>
              <w:top w:val="single" w:sz="2" w:space="0" w:color="auto"/>
              <w:left w:val="single" w:sz="2" w:space="0" w:color="auto"/>
              <w:bottom w:val="single" w:sz="2" w:space="0" w:color="auto"/>
              <w:right w:val="single" w:sz="2" w:space="0" w:color="auto"/>
            </w:tcBorders>
            <w:vAlign w:val="center"/>
          </w:tcPr>
          <w:p w14:paraId="73BDF87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955,752.21</w:t>
            </w:r>
          </w:p>
        </w:tc>
        <w:tc>
          <w:tcPr>
            <w:tcW w:w="992" w:type="dxa"/>
            <w:tcBorders>
              <w:top w:val="single" w:sz="2" w:space="0" w:color="auto"/>
              <w:left w:val="single" w:sz="2" w:space="0" w:color="auto"/>
              <w:bottom w:val="single" w:sz="2" w:space="0" w:color="auto"/>
              <w:right w:val="single" w:sz="2" w:space="0" w:color="auto"/>
            </w:tcBorders>
            <w:vAlign w:val="center"/>
          </w:tcPr>
          <w:p w14:paraId="59F2452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3E5495B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4E0009B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28247F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955,752.21</w:t>
            </w:r>
          </w:p>
        </w:tc>
        <w:tc>
          <w:tcPr>
            <w:tcW w:w="708" w:type="dxa"/>
            <w:tcBorders>
              <w:top w:val="single" w:sz="2" w:space="0" w:color="auto"/>
              <w:left w:val="single" w:sz="2" w:space="0" w:color="auto"/>
              <w:bottom w:val="single" w:sz="2" w:space="0" w:color="auto"/>
              <w:right w:val="single" w:sz="2" w:space="0" w:color="auto"/>
            </w:tcBorders>
            <w:vAlign w:val="center"/>
          </w:tcPr>
          <w:p w14:paraId="0B1094D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73.52%</w:t>
            </w:r>
          </w:p>
        </w:tc>
        <w:tc>
          <w:tcPr>
            <w:tcW w:w="567" w:type="dxa"/>
            <w:tcBorders>
              <w:top w:val="single" w:sz="2" w:space="0" w:color="auto"/>
              <w:left w:val="single" w:sz="2" w:space="0" w:color="auto"/>
              <w:bottom w:val="single" w:sz="2" w:space="0" w:color="auto"/>
              <w:right w:val="single" w:sz="2" w:space="0" w:color="auto"/>
            </w:tcBorders>
            <w:vAlign w:val="center"/>
          </w:tcPr>
          <w:p w14:paraId="162A02F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0.95</w:t>
            </w:r>
          </w:p>
        </w:tc>
        <w:tc>
          <w:tcPr>
            <w:tcW w:w="851" w:type="dxa"/>
            <w:tcBorders>
              <w:top w:val="single" w:sz="2" w:space="0" w:color="auto"/>
              <w:left w:val="single" w:sz="2" w:space="0" w:color="auto"/>
              <w:bottom w:val="single" w:sz="2" w:space="0" w:color="auto"/>
              <w:right w:val="single" w:sz="2" w:space="0" w:color="auto"/>
            </w:tcBorders>
            <w:vAlign w:val="center"/>
          </w:tcPr>
          <w:p w14:paraId="64BFE2C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306B65C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32C3E5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7360482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44B681D3"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3E4EDA1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精加工车间改造（二期）</w:t>
            </w:r>
          </w:p>
        </w:tc>
        <w:tc>
          <w:tcPr>
            <w:tcW w:w="1134" w:type="dxa"/>
            <w:tcBorders>
              <w:top w:val="single" w:sz="2" w:space="0" w:color="auto"/>
              <w:left w:val="single" w:sz="2" w:space="0" w:color="auto"/>
              <w:bottom w:val="single" w:sz="2" w:space="0" w:color="auto"/>
              <w:right w:val="single" w:sz="2" w:space="0" w:color="auto"/>
            </w:tcBorders>
            <w:vAlign w:val="center"/>
          </w:tcPr>
          <w:p w14:paraId="7211008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4,283,800.00</w:t>
            </w:r>
          </w:p>
        </w:tc>
        <w:tc>
          <w:tcPr>
            <w:tcW w:w="1134" w:type="dxa"/>
            <w:tcBorders>
              <w:top w:val="single" w:sz="2" w:space="0" w:color="auto"/>
              <w:left w:val="single" w:sz="2" w:space="0" w:color="auto"/>
              <w:bottom w:val="single" w:sz="2" w:space="0" w:color="auto"/>
              <w:right w:val="single" w:sz="2" w:space="0" w:color="auto"/>
            </w:tcBorders>
            <w:vAlign w:val="center"/>
          </w:tcPr>
          <w:p w14:paraId="114E8EB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0DC5E19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-3,667.96</w:t>
            </w:r>
          </w:p>
        </w:tc>
        <w:tc>
          <w:tcPr>
            <w:tcW w:w="992" w:type="dxa"/>
            <w:tcBorders>
              <w:top w:val="single" w:sz="2" w:space="0" w:color="auto"/>
              <w:left w:val="single" w:sz="2" w:space="0" w:color="auto"/>
              <w:bottom w:val="single" w:sz="2" w:space="0" w:color="auto"/>
              <w:right w:val="single" w:sz="2" w:space="0" w:color="auto"/>
            </w:tcBorders>
            <w:vAlign w:val="center"/>
          </w:tcPr>
          <w:p w14:paraId="7B6B3E6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-3,667.96</w:t>
            </w:r>
          </w:p>
        </w:tc>
        <w:tc>
          <w:tcPr>
            <w:tcW w:w="426" w:type="dxa"/>
            <w:tcBorders>
              <w:top w:val="single" w:sz="2" w:space="0" w:color="auto"/>
              <w:left w:val="single" w:sz="2" w:space="0" w:color="auto"/>
              <w:bottom w:val="single" w:sz="2" w:space="0" w:color="auto"/>
              <w:right w:val="single" w:sz="2" w:space="0" w:color="auto"/>
            </w:tcBorders>
            <w:vAlign w:val="center"/>
          </w:tcPr>
          <w:p w14:paraId="5C46079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59E877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708" w:type="dxa"/>
            <w:tcBorders>
              <w:top w:val="single" w:sz="2" w:space="0" w:color="auto"/>
              <w:left w:val="single" w:sz="2" w:space="0" w:color="auto"/>
              <w:bottom w:val="single" w:sz="2" w:space="0" w:color="auto"/>
              <w:right w:val="single" w:sz="2" w:space="0" w:color="auto"/>
            </w:tcBorders>
            <w:vAlign w:val="center"/>
          </w:tcPr>
          <w:p w14:paraId="2DBFEF5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102.16%</w:t>
            </w:r>
          </w:p>
        </w:tc>
        <w:tc>
          <w:tcPr>
            <w:tcW w:w="567" w:type="dxa"/>
            <w:tcBorders>
              <w:top w:val="single" w:sz="2" w:space="0" w:color="auto"/>
              <w:left w:val="single" w:sz="2" w:space="0" w:color="auto"/>
              <w:bottom w:val="single" w:sz="2" w:space="0" w:color="auto"/>
              <w:right w:val="single" w:sz="2" w:space="0" w:color="auto"/>
            </w:tcBorders>
            <w:vAlign w:val="center"/>
          </w:tcPr>
          <w:p w14:paraId="374DDA4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p>
        </w:tc>
        <w:tc>
          <w:tcPr>
            <w:tcW w:w="851" w:type="dxa"/>
            <w:tcBorders>
              <w:top w:val="single" w:sz="2" w:space="0" w:color="auto"/>
              <w:left w:val="single" w:sz="2" w:space="0" w:color="auto"/>
              <w:bottom w:val="single" w:sz="2" w:space="0" w:color="auto"/>
              <w:right w:val="single" w:sz="2" w:space="0" w:color="auto"/>
            </w:tcBorders>
            <w:vAlign w:val="center"/>
          </w:tcPr>
          <w:p w14:paraId="40BB074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212AE1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1AE9CC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22C0422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12AF1ED4"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289F5A3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进口肉类精深加工及调味品生产项目</w:t>
            </w:r>
          </w:p>
        </w:tc>
        <w:tc>
          <w:tcPr>
            <w:tcW w:w="1134" w:type="dxa"/>
            <w:tcBorders>
              <w:top w:val="single" w:sz="2" w:space="0" w:color="auto"/>
              <w:left w:val="single" w:sz="2" w:space="0" w:color="auto"/>
              <w:bottom w:val="single" w:sz="2" w:space="0" w:color="auto"/>
              <w:right w:val="single" w:sz="2" w:space="0" w:color="auto"/>
            </w:tcBorders>
            <w:vAlign w:val="center"/>
          </w:tcPr>
          <w:p w14:paraId="0454AC4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208,380,200.00</w:t>
            </w:r>
          </w:p>
        </w:tc>
        <w:tc>
          <w:tcPr>
            <w:tcW w:w="1134" w:type="dxa"/>
            <w:tcBorders>
              <w:top w:val="single" w:sz="2" w:space="0" w:color="auto"/>
              <w:left w:val="single" w:sz="2" w:space="0" w:color="auto"/>
              <w:bottom w:val="single" w:sz="2" w:space="0" w:color="auto"/>
              <w:right w:val="single" w:sz="2" w:space="0" w:color="auto"/>
            </w:tcBorders>
            <w:vAlign w:val="center"/>
          </w:tcPr>
          <w:p w14:paraId="3F62C1E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153,544,405.44</w:t>
            </w:r>
          </w:p>
        </w:tc>
        <w:tc>
          <w:tcPr>
            <w:tcW w:w="992" w:type="dxa"/>
            <w:tcBorders>
              <w:top w:val="single" w:sz="2" w:space="0" w:color="auto"/>
              <w:left w:val="single" w:sz="2" w:space="0" w:color="auto"/>
              <w:bottom w:val="single" w:sz="2" w:space="0" w:color="auto"/>
              <w:right w:val="single" w:sz="2" w:space="0" w:color="auto"/>
            </w:tcBorders>
            <w:vAlign w:val="center"/>
          </w:tcPr>
          <w:p w14:paraId="4AB613D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3,719,233.35</w:t>
            </w:r>
          </w:p>
        </w:tc>
        <w:tc>
          <w:tcPr>
            <w:tcW w:w="992" w:type="dxa"/>
            <w:tcBorders>
              <w:top w:val="single" w:sz="2" w:space="0" w:color="auto"/>
              <w:left w:val="single" w:sz="2" w:space="0" w:color="auto"/>
              <w:bottom w:val="single" w:sz="2" w:space="0" w:color="auto"/>
              <w:right w:val="single" w:sz="2" w:space="0" w:color="auto"/>
            </w:tcBorders>
            <w:vAlign w:val="center"/>
          </w:tcPr>
          <w:p w14:paraId="4623CCD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667519C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56A0B4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157,263,638.79</w:t>
            </w:r>
          </w:p>
        </w:tc>
        <w:tc>
          <w:tcPr>
            <w:tcW w:w="708" w:type="dxa"/>
            <w:tcBorders>
              <w:top w:val="single" w:sz="2" w:space="0" w:color="auto"/>
              <w:left w:val="single" w:sz="2" w:space="0" w:color="auto"/>
              <w:bottom w:val="single" w:sz="2" w:space="0" w:color="auto"/>
              <w:right w:val="single" w:sz="2" w:space="0" w:color="auto"/>
            </w:tcBorders>
            <w:vAlign w:val="center"/>
          </w:tcPr>
          <w:p w14:paraId="403FA0E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75.47%</w:t>
            </w:r>
          </w:p>
        </w:tc>
        <w:tc>
          <w:tcPr>
            <w:tcW w:w="567" w:type="dxa"/>
            <w:tcBorders>
              <w:top w:val="single" w:sz="2" w:space="0" w:color="auto"/>
              <w:left w:val="single" w:sz="2" w:space="0" w:color="auto"/>
              <w:bottom w:val="single" w:sz="2" w:space="0" w:color="auto"/>
              <w:right w:val="single" w:sz="2" w:space="0" w:color="auto"/>
            </w:tcBorders>
            <w:vAlign w:val="center"/>
          </w:tcPr>
          <w:p w14:paraId="640C65E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0.92</w:t>
            </w:r>
          </w:p>
        </w:tc>
        <w:tc>
          <w:tcPr>
            <w:tcW w:w="851" w:type="dxa"/>
            <w:tcBorders>
              <w:top w:val="single" w:sz="2" w:space="0" w:color="auto"/>
              <w:left w:val="single" w:sz="2" w:space="0" w:color="auto"/>
              <w:bottom w:val="single" w:sz="2" w:space="0" w:color="auto"/>
              <w:right w:val="single" w:sz="2" w:space="0" w:color="auto"/>
            </w:tcBorders>
            <w:vAlign w:val="center"/>
          </w:tcPr>
          <w:p w14:paraId="4AAF352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8,400,392.77</w:t>
            </w:r>
          </w:p>
        </w:tc>
        <w:tc>
          <w:tcPr>
            <w:tcW w:w="850" w:type="dxa"/>
            <w:tcBorders>
              <w:top w:val="single" w:sz="2" w:space="0" w:color="auto"/>
              <w:left w:val="single" w:sz="2" w:space="0" w:color="auto"/>
              <w:bottom w:val="single" w:sz="2" w:space="0" w:color="auto"/>
              <w:right w:val="single" w:sz="2" w:space="0" w:color="auto"/>
            </w:tcBorders>
            <w:vAlign w:val="center"/>
          </w:tcPr>
          <w:p w14:paraId="3E96DCE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1,964,909.26</w:t>
            </w:r>
          </w:p>
        </w:tc>
        <w:tc>
          <w:tcPr>
            <w:tcW w:w="567" w:type="dxa"/>
            <w:tcBorders>
              <w:top w:val="single" w:sz="2" w:space="0" w:color="auto"/>
              <w:left w:val="single" w:sz="2" w:space="0" w:color="auto"/>
              <w:bottom w:val="single" w:sz="2" w:space="0" w:color="auto"/>
              <w:right w:val="single" w:sz="2" w:space="0" w:color="auto"/>
            </w:tcBorders>
            <w:vAlign w:val="center"/>
          </w:tcPr>
          <w:p w14:paraId="3CA56B8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1.25%</w:t>
            </w:r>
          </w:p>
        </w:tc>
        <w:tc>
          <w:tcPr>
            <w:tcW w:w="426" w:type="dxa"/>
            <w:tcBorders>
              <w:top w:val="single" w:sz="2" w:space="0" w:color="auto"/>
              <w:left w:val="single" w:sz="2" w:space="0" w:color="auto"/>
              <w:bottom w:val="single" w:sz="2" w:space="0" w:color="auto"/>
              <w:right w:val="single" w:sz="2" w:space="0" w:color="auto"/>
            </w:tcBorders>
            <w:vAlign w:val="center"/>
          </w:tcPr>
          <w:p w14:paraId="311BCDB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金融机构贷款</w:t>
            </w:r>
          </w:p>
        </w:tc>
      </w:tr>
      <w:tr w:rsidR="005E1317" w:rsidRPr="005A284F" w14:paraId="51C345C5"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633E537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黑龙江屠宰项目</w:t>
            </w:r>
          </w:p>
        </w:tc>
        <w:tc>
          <w:tcPr>
            <w:tcW w:w="1134" w:type="dxa"/>
            <w:tcBorders>
              <w:top w:val="single" w:sz="2" w:space="0" w:color="auto"/>
              <w:left w:val="single" w:sz="2" w:space="0" w:color="auto"/>
              <w:bottom w:val="single" w:sz="2" w:space="0" w:color="auto"/>
              <w:right w:val="single" w:sz="2" w:space="0" w:color="auto"/>
            </w:tcBorders>
            <w:vAlign w:val="center"/>
          </w:tcPr>
          <w:p w14:paraId="69154C7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196,530,000.00</w:t>
            </w:r>
          </w:p>
        </w:tc>
        <w:tc>
          <w:tcPr>
            <w:tcW w:w="1134" w:type="dxa"/>
            <w:tcBorders>
              <w:top w:val="single" w:sz="2" w:space="0" w:color="auto"/>
              <w:left w:val="single" w:sz="2" w:space="0" w:color="auto"/>
              <w:bottom w:val="single" w:sz="2" w:space="0" w:color="auto"/>
              <w:right w:val="single" w:sz="2" w:space="0" w:color="auto"/>
            </w:tcBorders>
            <w:vAlign w:val="center"/>
          </w:tcPr>
          <w:p w14:paraId="7122F5E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1,420,022.57</w:t>
            </w:r>
          </w:p>
        </w:tc>
        <w:tc>
          <w:tcPr>
            <w:tcW w:w="992" w:type="dxa"/>
            <w:tcBorders>
              <w:top w:val="single" w:sz="2" w:space="0" w:color="auto"/>
              <w:left w:val="single" w:sz="2" w:space="0" w:color="auto"/>
              <w:bottom w:val="single" w:sz="2" w:space="0" w:color="auto"/>
              <w:right w:val="single" w:sz="2" w:space="0" w:color="auto"/>
            </w:tcBorders>
            <w:vAlign w:val="center"/>
          </w:tcPr>
          <w:p w14:paraId="653F764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102,212.38</w:t>
            </w:r>
          </w:p>
        </w:tc>
        <w:tc>
          <w:tcPr>
            <w:tcW w:w="992" w:type="dxa"/>
            <w:tcBorders>
              <w:top w:val="single" w:sz="2" w:space="0" w:color="auto"/>
              <w:left w:val="single" w:sz="2" w:space="0" w:color="auto"/>
              <w:bottom w:val="single" w:sz="2" w:space="0" w:color="auto"/>
              <w:right w:val="single" w:sz="2" w:space="0" w:color="auto"/>
            </w:tcBorders>
            <w:vAlign w:val="center"/>
          </w:tcPr>
          <w:p w14:paraId="4EA87A6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140,677.94</w:t>
            </w:r>
          </w:p>
        </w:tc>
        <w:tc>
          <w:tcPr>
            <w:tcW w:w="426" w:type="dxa"/>
            <w:tcBorders>
              <w:top w:val="single" w:sz="2" w:space="0" w:color="auto"/>
              <w:left w:val="single" w:sz="2" w:space="0" w:color="auto"/>
              <w:bottom w:val="single" w:sz="2" w:space="0" w:color="auto"/>
              <w:right w:val="single" w:sz="2" w:space="0" w:color="auto"/>
            </w:tcBorders>
            <w:vAlign w:val="center"/>
          </w:tcPr>
          <w:p w14:paraId="306C6C4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A82B5B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1,381,557.01</w:t>
            </w:r>
          </w:p>
        </w:tc>
        <w:tc>
          <w:tcPr>
            <w:tcW w:w="708" w:type="dxa"/>
            <w:tcBorders>
              <w:top w:val="single" w:sz="2" w:space="0" w:color="auto"/>
              <w:left w:val="single" w:sz="2" w:space="0" w:color="auto"/>
              <w:bottom w:val="single" w:sz="2" w:space="0" w:color="auto"/>
              <w:right w:val="single" w:sz="2" w:space="0" w:color="auto"/>
            </w:tcBorders>
            <w:vAlign w:val="center"/>
          </w:tcPr>
          <w:p w14:paraId="1382D44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70.34%</w:t>
            </w:r>
          </w:p>
        </w:tc>
        <w:tc>
          <w:tcPr>
            <w:tcW w:w="567" w:type="dxa"/>
            <w:tcBorders>
              <w:top w:val="single" w:sz="2" w:space="0" w:color="auto"/>
              <w:left w:val="single" w:sz="2" w:space="0" w:color="auto"/>
              <w:bottom w:val="single" w:sz="2" w:space="0" w:color="auto"/>
              <w:right w:val="single" w:sz="2" w:space="0" w:color="auto"/>
            </w:tcBorders>
            <w:vAlign w:val="center"/>
          </w:tcPr>
          <w:p w14:paraId="1D1564C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0.99</w:t>
            </w:r>
          </w:p>
        </w:tc>
        <w:tc>
          <w:tcPr>
            <w:tcW w:w="851" w:type="dxa"/>
            <w:tcBorders>
              <w:top w:val="single" w:sz="2" w:space="0" w:color="auto"/>
              <w:left w:val="single" w:sz="2" w:space="0" w:color="auto"/>
              <w:bottom w:val="single" w:sz="2" w:space="0" w:color="auto"/>
              <w:right w:val="single" w:sz="2" w:space="0" w:color="auto"/>
            </w:tcBorders>
            <w:vAlign w:val="center"/>
          </w:tcPr>
          <w:p w14:paraId="58C7213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A524AC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720B30D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325DC10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2159C88D"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4B5865B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巴中龙大生猪屠宰及加工项目</w:t>
            </w:r>
          </w:p>
        </w:tc>
        <w:tc>
          <w:tcPr>
            <w:tcW w:w="1134" w:type="dxa"/>
            <w:tcBorders>
              <w:top w:val="single" w:sz="2" w:space="0" w:color="auto"/>
              <w:left w:val="single" w:sz="2" w:space="0" w:color="auto"/>
              <w:bottom w:val="single" w:sz="2" w:space="0" w:color="auto"/>
              <w:right w:val="single" w:sz="2" w:space="0" w:color="auto"/>
            </w:tcBorders>
            <w:vAlign w:val="center"/>
          </w:tcPr>
          <w:p w14:paraId="194209F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249,000,000.00</w:t>
            </w:r>
          </w:p>
        </w:tc>
        <w:tc>
          <w:tcPr>
            <w:tcW w:w="1134" w:type="dxa"/>
            <w:tcBorders>
              <w:top w:val="single" w:sz="2" w:space="0" w:color="auto"/>
              <w:left w:val="single" w:sz="2" w:space="0" w:color="auto"/>
              <w:bottom w:val="single" w:sz="2" w:space="0" w:color="auto"/>
              <w:right w:val="single" w:sz="2" w:space="0" w:color="auto"/>
            </w:tcBorders>
            <w:vAlign w:val="center"/>
          </w:tcPr>
          <w:p w14:paraId="1584702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8,805,901.96</w:t>
            </w:r>
          </w:p>
        </w:tc>
        <w:tc>
          <w:tcPr>
            <w:tcW w:w="992" w:type="dxa"/>
            <w:tcBorders>
              <w:top w:val="single" w:sz="2" w:space="0" w:color="auto"/>
              <w:left w:val="single" w:sz="2" w:space="0" w:color="auto"/>
              <w:bottom w:val="single" w:sz="2" w:space="0" w:color="auto"/>
              <w:right w:val="single" w:sz="2" w:space="0" w:color="auto"/>
            </w:tcBorders>
            <w:vAlign w:val="center"/>
          </w:tcPr>
          <w:p w14:paraId="14CFE0A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114,160.08</w:t>
            </w:r>
          </w:p>
        </w:tc>
        <w:tc>
          <w:tcPr>
            <w:tcW w:w="992" w:type="dxa"/>
            <w:tcBorders>
              <w:top w:val="single" w:sz="2" w:space="0" w:color="auto"/>
              <w:left w:val="single" w:sz="2" w:space="0" w:color="auto"/>
              <w:bottom w:val="single" w:sz="2" w:space="0" w:color="auto"/>
              <w:right w:val="single" w:sz="2" w:space="0" w:color="auto"/>
            </w:tcBorders>
            <w:vAlign w:val="center"/>
          </w:tcPr>
          <w:p w14:paraId="05E99DD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6E5905A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683B2C5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8,920,062.04</w:t>
            </w:r>
          </w:p>
        </w:tc>
        <w:tc>
          <w:tcPr>
            <w:tcW w:w="708" w:type="dxa"/>
            <w:tcBorders>
              <w:top w:val="single" w:sz="2" w:space="0" w:color="auto"/>
              <w:left w:val="single" w:sz="2" w:space="0" w:color="auto"/>
              <w:bottom w:val="single" w:sz="2" w:space="0" w:color="auto"/>
              <w:right w:val="single" w:sz="2" w:space="0" w:color="auto"/>
            </w:tcBorders>
            <w:vAlign w:val="center"/>
          </w:tcPr>
          <w:p w14:paraId="411FE61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3.58%</w:t>
            </w:r>
          </w:p>
        </w:tc>
        <w:tc>
          <w:tcPr>
            <w:tcW w:w="567" w:type="dxa"/>
            <w:tcBorders>
              <w:top w:val="single" w:sz="2" w:space="0" w:color="auto"/>
              <w:left w:val="single" w:sz="2" w:space="0" w:color="auto"/>
              <w:bottom w:val="single" w:sz="2" w:space="0" w:color="auto"/>
              <w:right w:val="single" w:sz="2" w:space="0" w:color="auto"/>
            </w:tcBorders>
            <w:vAlign w:val="center"/>
          </w:tcPr>
          <w:p w14:paraId="7FCA987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0.95</w:t>
            </w:r>
          </w:p>
        </w:tc>
        <w:tc>
          <w:tcPr>
            <w:tcW w:w="851" w:type="dxa"/>
            <w:tcBorders>
              <w:top w:val="single" w:sz="2" w:space="0" w:color="auto"/>
              <w:left w:val="single" w:sz="2" w:space="0" w:color="auto"/>
              <w:bottom w:val="single" w:sz="2" w:space="0" w:color="auto"/>
              <w:right w:val="single" w:sz="2" w:space="0" w:color="auto"/>
            </w:tcBorders>
            <w:vAlign w:val="center"/>
          </w:tcPr>
          <w:p w14:paraId="1A48934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D46061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3264AC9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5B3F2AC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02BFAF6D"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0C6F870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巴中龙大熟</w:t>
            </w:r>
            <w:r w:rsidRPr="005A284F">
              <w:rPr>
                <w:rFonts w:ascii="Times New Roman" w:eastAsia="宋体" w:hAnsi="Times New Roman" w:cs="Times New Roman"/>
                <w:sz w:val="18"/>
                <w:szCs w:val="18"/>
              </w:rPr>
              <w:lastRenderedPageBreak/>
              <w:t>食深加工项目</w:t>
            </w:r>
          </w:p>
        </w:tc>
        <w:tc>
          <w:tcPr>
            <w:tcW w:w="1134" w:type="dxa"/>
            <w:tcBorders>
              <w:top w:val="single" w:sz="2" w:space="0" w:color="auto"/>
              <w:left w:val="single" w:sz="2" w:space="0" w:color="auto"/>
              <w:bottom w:val="single" w:sz="2" w:space="0" w:color="auto"/>
              <w:right w:val="single" w:sz="2" w:space="0" w:color="auto"/>
            </w:tcBorders>
            <w:vAlign w:val="center"/>
          </w:tcPr>
          <w:p w14:paraId="2D9C5ED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67,710,000.00</w:t>
            </w:r>
          </w:p>
        </w:tc>
        <w:tc>
          <w:tcPr>
            <w:tcW w:w="1134" w:type="dxa"/>
            <w:tcBorders>
              <w:top w:val="single" w:sz="2" w:space="0" w:color="auto"/>
              <w:left w:val="single" w:sz="2" w:space="0" w:color="auto"/>
              <w:bottom w:val="single" w:sz="2" w:space="0" w:color="auto"/>
              <w:right w:val="single" w:sz="2" w:space="0" w:color="auto"/>
            </w:tcBorders>
            <w:vAlign w:val="center"/>
          </w:tcPr>
          <w:p w14:paraId="62EFB15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5,579,613.05</w:t>
            </w:r>
          </w:p>
        </w:tc>
        <w:tc>
          <w:tcPr>
            <w:tcW w:w="992" w:type="dxa"/>
            <w:tcBorders>
              <w:top w:val="single" w:sz="2" w:space="0" w:color="auto"/>
              <w:left w:val="single" w:sz="2" w:space="0" w:color="auto"/>
              <w:bottom w:val="single" w:sz="2" w:space="0" w:color="auto"/>
              <w:right w:val="single" w:sz="2" w:space="0" w:color="auto"/>
            </w:tcBorders>
            <w:vAlign w:val="center"/>
          </w:tcPr>
          <w:p w14:paraId="2072BF1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751,001.41</w:t>
            </w:r>
          </w:p>
        </w:tc>
        <w:tc>
          <w:tcPr>
            <w:tcW w:w="992" w:type="dxa"/>
            <w:tcBorders>
              <w:top w:val="single" w:sz="2" w:space="0" w:color="auto"/>
              <w:left w:val="single" w:sz="2" w:space="0" w:color="auto"/>
              <w:bottom w:val="single" w:sz="2" w:space="0" w:color="auto"/>
              <w:right w:val="single" w:sz="2" w:space="0" w:color="auto"/>
            </w:tcBorders>
            <w:vAlign w:val="center"/>
          </w:tcPr>
          <w:p w14:paraId="6D193AC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2,171,410.80</w:t>
            </w:r>
          </w:p>
        </w:tc>
        <w:tc>
          <w:tcPr>
            <w:tcW w:w="426" w:type="dxa"/>
            <w:tcBorders>
              <w:top w:val="single" w:sz="2" w:space="0" w:color="auto"/>
              <w:left w:val="single" w:sz="2" w:space="0" w:color="auto"/>
              <w:bottom w:val="single" w:sz="2" w:space="0" w:color="auto"/>
              <w:right w:val="single" w:sz="2" w:space="0" w:color="auto"/>
            </w:tcBorders>
            <w:vAlign w:val="center"/>
          </w:tcPr>
          <w:p w14:paraId="7BEFEBC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3E363B0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4,159,203.66</w:t>
            </w:r>
          </w:p>
        </w:tc>
        <w:tc>
          <w:tcPr>
            <w:tcW w:w="708" w:type="dxa"/>
            <w:tcBorders>
              <w:top w:val="single" w:sz="2" w:space="0" w:color="auto"/>
              <w:left w:val="single" w:sz="2" w:space="0" w:color="auto"/>
              <w:bottom w:val="single" w:sz="2" w:space="0" w:color="auto"/>
              <w:right w:val="single" w:sz="2" w:space="0" w:color="auto"/>
            </w:tcBorders>
            <w:vAlign w:val="center"/>
          </w:tcPr>
          <w:p w14:paraId="4183DC8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6.14%</w:t>
            </w:r>
          </w:p>
        </w:tc>
        <w:tc>
          <w:tcPr>
            <w:tcW w:w="567" w:type="dxa"/>
            <w:tcBorders>
              <w:top w:val="single" w:sz="2" w:space="0" w:color="auto"/>
              <w:left w:val="single" w:sz="2" w:space="0" w:color="auto"/>
              <w:bottom w:val="single" w:sz="2" w:space="0" w:color="auto"/>
              <w:right w:val="single" w:sz="2" w:space="0" w:color="auto"/>
            </w:tcBorders>
            <w:vAlign w:val="center"/>
          </w:tcPr>
          <w:p w14:paraId="7AB0F8F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0.9</w:t>
            </w:r>
          </w:p>
        </w:tc>
        <w:tc>
          <w:tcPr>
            <w:tcW w:w="851" w:type="dxa"/>
            <w:tcBorders>
              <w:top w:val="single" w:sz="2" w:space="0" w:color="auto"/>
              <w:left w:val="single" w:sz="2" w:space="0" w:color="auto"/>
              <w:bottom w:val="single" w:sz="2" w:space="0" w:color="auto"/>
              <w:right w:val="single" w:sz="2" w:space="0" w:color="auto"/>
            </w:tcBorders>
            <w:vAlign w:val="center"/>
          </w:tcPr>
          <w:p w14:paraId="724C239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DFDA46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3697FF5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002ABDC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2A9C2BF3"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0EB98F3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巴中龙大熟食深加工制冷项目</w:t>
            </w:r>
          </w:p>
        </w:tc>
        <w:tc>
          <w:tcPr>
            <w:tcW w:w="1134" w:type="dxa"/>
            <w:tcBorders>
              <w:top w:val="single" w:sz="2" w:space="0" w:color="auto"/>
              <w:left w:val="single" w:sz="2" w:space="0" w:color="auto"/>
              <w:bottom w:val="single" w:sz="2" w:space="0" w:color="auto"/>
              <w:right w:val="single" w:sz="2" w:space="0" w:color="auto"/>
            </w:tcBorders>
            <w:vAlign w:val="center"/>
          </w:tcPr>
          <w:p w14:paraId="7FB6FB3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25,998,590.00</w:t>
            </w:r>
          </w:p>
        </w:tc>
        <w:tc>
          <w:tcPr>
            <w:tcW w:w="1134" w:type="dxa"/>
            <w:tcBorders>
              <w:top w:val="single" w:sz="2" w:space="0" w:color="auto"/>
              <w:left w:val="single" w:sz="2" w:space="0" w:color="auto"/>
              <w:bottom w:val="single" w:sz="2" w:space="0" w:color="auto"/>
              <w:right w:val="single" w:sz="2" w:space="0" w:color="auto"/>
            </w:tcBorders>
            <w:vAlign w:val="center"/>
          </w:tcPr>
          <w:p w14:paraId="29CF6DC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10,667,826.02</w:t>
            </w:r>
          </w:p>
        </w:tc>
        <w:tc>
          <w:tcPr>
            <w:tcW w:w="992" w:type="dxa"/>
            <w:tcBorders>
              <w:top w:val="single" w:sz="2" w:space="0" w:color="auto"/>
              <w:left w:val="single" w:sz="2" w:space="0" w:color="auto"/>
              <w:bottom w:val="single" w:sz="2" w:space="0" w:color="auto"/>
              <w:right w:val="single" w:sz="2" w:space="0" w:color="auto"/>
            </w:tcBorders>
            <w:vAlign w:val="center"/>
          </w:tcPr>
          <w:p w14:paraId="15B3BEA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6,789,380.54</w:t>
            </w:r>
          </w:p>
        </w:tc>
        <w:tc>
          <w:tcPr>
            <w:tcW w:w="992" w:type="dxa"/>
            <w:tcBorders>
              <w:top w:val="single" w:sz="2" w:space="0" w:color="auto"/>
              <w:left w:val="single" w:sz="2" w:space="0" w:color="auto"/>
              <w:bottom w:val="single" w:sz="2" w:space="0" w:color="auto"/>
              <w:right w:val="single" w:sz="2" w:space="0" w:color="auto"/>
            </w:tcBorders>
            <w:vAlign w:val="center"/>
          </w:tcPr>
          <w:p w14:paraId="2BA6694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2A20D93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93A4E2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17,457,206.56</w:t>
            </w:r>
          </w:p>
        </w:tc>
        <w:tc>
          <w:tcPr>
            <w:tcW w:w="708" w:type="dxa"/>
            <w:tcBorders>
              <w:top w:val="single" w:sz="2" w:space="0" w:color="auto"/>
              <w:left w:val="single" w:sz="2" w:space="0" w:color="auto"/>
              <w:bottom w:val="single" w:sz="2" w:space="0" w:color="auto"/>
              <w:right w:val="single" w:sz="2" w:space="0" w:color="auto"/>
            </w:tcBorders>
            <w:vAlign w:val="center"/>
          </w:tcPr>
          <w:p w14:paraId="5CD4FDF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67.15%</w:t>
            </w:r>
          </w:p>
        </w:tc>
        <w:tc>
          <w:tcPr>
            <w:tcW w:w="567" w:type="dxa"/>
            <w:tcBorders>
              <w:top w:val="single" w:sz="2" w:space="0" w:color="auto"/>
              <w:left w:val="single" w:sz="2" w:space="0" w:color="auto"/>
              <w:bottom w:val="single" w:sz="2" w:space="0" w:color="auto"/>
              <w:right w:val="single" w:sz="2" w:space="0" w:color="auto"/>
            </w:tcBorders>
            <w:vAlign w:val="center"/>
          </w:tcPr>
          <w:p w14:paraId="721FD7B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0.9</w:t>
            </w:r>
          </w:p>
        </w:tc>
        <w:tc>
          <w:tcPr>
            <w:tcW w:w="851" w:type="dxa"/>
            <w:tcBorders>
              <w:top w:val="single" w:sz="2" w:space="0" w:color="auto"/>
              <w:left w:val="single" w:sz="2" w:space="0" w:color="auto"/>
              <w:bottom w:val="single" w:sz="2" w:space="0" w:color="auto"/>
              <w:right w:val="single" w:sz="2" w:space="0" w:color="auto"/>
            </w:tcBorders>
            <w:vAlign w:val="center"/>
          </w:tcPr>
          <w:p w14:paraId="4AA3E31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0C4BF88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98ACAC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3C913B4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2FDE3865"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444EC73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生食投资规划</w:t>
            </w:r>
          </w:p>
        </w:tc>
        <w:tc>
          <w:tcPr>
            <w:tcW w:w="1134" w:type="dxa"/>
            <w:tcBorders>
              <w:top w:val="single" w:sz="2" w:space="0" w:color="auto"/>
              <w:left w:val="single" w:sz="2" w:space="0" w:color="auto"/>
              <w:bottom w:val="single" w:sz="2" w:space="0" w:color="auto"/>
              <w:right w:val="single" w:sz="2" w:space="0" w:color="auto"/>
            </w:tcBorders>
            <w:vAlign w:val="center"/>
          </w:tcPr>
          <w:p w14:paraId="1D3E77A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258,102,400.00</w:t>
            </w:r>
          </w:p>
        </w:tc>
        <w:tc>
          <w:tcPr>
            <w:tcW w:w="1134" w:type="dxa"/>
            <w:tcBorders>
              <w:top w:val="single" w:sz="2" w:space="0" w:color="auto"/>
              <w:left w:val="single" w:sz="2" w:space="0" w:color="auto"/>
              <w:bottom w:val="single" w:sz="2" w:space="0" w:color="auto"/>
              <w:right w:val="single" w:sz="2" w:space="0" w:color="auto"/>
            </w:tcBorders>
            <w:vAlign w:val="center"/>
          </w:tcPr>
          <w:p w14:paraId="0082261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46,371,701.88</w:t>
            </w:r>
          </w:p>
        </w:tc>
        <w:tc>
          <w:tcPr>
            <w:tcW w:w="992" w:type="dxa"/>
            <w:tcBorders>
              <w:top w:val="single" w:sz="2" w:space="0" w:color="auto"/>
              <w:left w:val="single" w:sz="2" w:space="0" w:color="auto"/>
              <w:bottom w:val="single" w:sz="2" w:space="0" w:color="auto"/>
              <w:right w:val="single" w:sz="2" w:space="0" w:color="auto"/>
            </w:tcBorders>
            <w:vAlign w:val="center"/>
          </w:tcPr>
          <w:p w14:paraId="1BFC8FC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348,373.27</w:t>
            </w:r>
          </w:p>
        </w:tc>
        <w:tc>
          <w:tcPr>
            <w:tcW w:w="992" w:type="dxa"/>
            <w:tcBorders>
              <w:top w:val="single" w:sz="2" w:space="0" w:color="auto"/>
              <w:left w:val="single" w:sz="2" w:space="0" w:color="auto"/>
              <w:bottom w:val="single" w:sz="2" w:space="0" w:color="auto"/>
              <w:right w:val="single" w:sz="2" w:space="0" w:color="auto"/>
            </w:tcBorders>
            <w:vAlign w:val="center"/>
          </w:tcPr>
          <w:p w14:paraId="4323D6E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6,899,469.01</w:t>
            </w:r>
          </w:p>
        </w:tc>
        <w:tc>
          <w:tcPr>
            <w:tcW w:w="426" w:type="dxa"/>
            <w:tcBorders>
              <w:top w:val="single" w:sz="2" w:space="0" w:color="auto"/>
              <w:left w:val="single" w:sz="2" w:space="0" w:color="auto"/>
              <w:bottom w:val="single" w:sz="2" w:space="0" w:color="auto"/>
              <w:right w:val="single" w:sz="2" w:space="0" w:color="auto"/>
            </w:tcBorders>
            <w:vAlign w:val="center"/>
          </w:tcPr>
          <w:p w14:paraId="50F9121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E3798D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39,820,606.14</w:t>
            </w:r>
          </w:p>
        </w:tc>
        <w:tc>
          <w:tcPr>
            <w:tcW w:w="708" w:type="dxa"/>
            <w:tcBorders>
              <w:top w:val="single" w:sz="2" w:space="0" w:color="auto"/>
              <w:left w:val="single" w:sz="2" w:space="0" w:color="auto"/>
              <w:bottom w:val="single" w:sz="2" w:space="0" w:color="auto"/>
              <w:right w:val="single" w:sz="2" w:space="0" w:color="auto"/>
            </w:tcBorders>
            <w:vAlign w:val="center"/>
          </w:tcPr>
          <w:p w14:paraId="35EED7C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79.62%</w:t>
            </w:r>
          </w:p>
        </w:tc>
        <w:tc>
          <w:tcPr>
            <w:tcW w:w="567" w:type="dxa"/>
            <w:tcBorders>
              <w:top w:val="single" w:sz="2" w:space="0" w:color="auto"/>
              <w:left w:val="single" w:sz="2" w:space="0" w:color="auto"/>
              <w:bottom w:val="single" w:sz="2" w:space="0" w:color="auto"/>
              <w:right w:val="single" w:sz="2" w:space="0" w:color="auto"/>
            </w:tcBorders>
            <w:vAlign w:val="center"/>
          </w:tcPr>
          <w:p w14:paraId="26D7DFC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0.95</w:t>
            </w:r>
          </w:p>
        </w:tc>
        <w:tc>
          <w:tcPr>
            <w:tcW w:w="851" w:type="dxa"/>
            <w:tcBorders>
              <w:top w:val="single" w:sz="2" w:space="0" w:color="auto"/>
              <w:left w:val="single" w:sz="2" w:space="0" w:color="auto"/>
              <w:bottom w:val="single" w:sz="2" w:space="0" w:color="auto"/>
              <w:right w:val="single" w:sz="2" w:space="0" w:color="auto"/>
            </w:tcBorders>
            <w:vAlign w:val="center"/>
          </w:tcPr>
          <w:p w14:paraId="42AFC46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C0DB23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647A3D1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4087ABF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3BA59BC6"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7B263D9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熟食投资规划</w:t>
            </w:r>
          </w:p>
        </w:tc>
        <w:tc>
          <w:tcPr>
            <w:tcW w:w="1134" w:type="dxa"/>
            <w:tcBorders>
              <w:top w:val="single" w:sz="2" w:space="0" w:color="auto"/>
              <w:left w:val="single" w:sz="2" w:space="0" w:color="auto"/>
              <w:bottom w:val="single" w:sz="2" w:space="0" w:color="auto"/>
              <w:right w:val="single" w:sz="2" w:space="0" w:color="auto"/>
            </w:tcBorders>
            <w:vAlign w:val="center"/>
          </w:tcPr>
          <w:p w14:paraId="05161EA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75,016,000.00</w:t>
            </w:r>
          </w:p>
        </w:tc>
        <w:tc>
          <w:tcPr>
            <w:tcW w:w="1134" w:type="dxa"/>
            <w:tcBorders>
              <w:top w:val="single" w:sz="2" w:space="0" w:color="auto"/>
              <w:left w:val="single" w:sz="2" w:space="0" w:color="auto"/>
              <w:bottom w:val="single" w:sz="2" w:space="0" w:color="auto"/>
              <w:right w:val="single" w:sz="2" w:space="0" w:color="auto"/>
            </w:tcBorders>
            <w:vAlign w:val="center"/>
          </w:tcPr>
          <w:p w14:paraId="3CA2C11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7,840,173.83</w:t>
            </w:r>
          </w:p>
        </w:tc>
        <w:tc>
          <w:tcPr>
            <w:tcW w:w="992" w:type="dxa"/>
            <w:tcBorders>
              <w:top w:val="single" w:sz="2" w:space="0" w:color="auto"/>
              <w:left w:val="single" w:sz="2" w:space="0" w:color="auto"/>
              <w:bottom w:val="single" w:sz="2" w:space="0" w:color="auto"/>
              <w:right w:val="single" w:sz="2" w:space="0" w:color="auto"/>
            </w:tcBorders>
            <w:vAlign w:val="center"/>
          </w:tcPr>
          <w:p w14:paraId="4AD7443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147,477.92</w:t>
            </w:r>
          </w:p>
        </w:tc>
        <w:tc>
          <w:tcPr>
            <w:tcW w:w="992" w:type="dxa"/>
            <w:tcBorders>
              <w:top w:val="single" w:sz="2" w:space="0" w:color="auto"/>
              <w:left w:val="single" w:sz="2" w:space="0" w:color="auto"/>
              <w:bottom w:val="single" w:sz="2" w:space="0" w:color="auto"/>
              <w:right w:val="single" w:sz="2" w:space="0" w:color="auto"/>
            </w:tcBorders>
            <w:vAlign w:val="center"/>
          </w:tcPr>
          <w:p w14:paraId="3F609AD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78201D8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31A1A4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7,987,651.75</w:t>
            </w:r>
          </w:p>
        </w:tc>
        <w:tc>
          <w:tcPr>
            <w:tcW w:w="708" w:type="dxa"/>
            <w:tcBorders>
              <w:top w:val="single" w:sz="2" w:space="0" w:color="auto"/>
              <w:left w:val="single" w:sz="2" w:space="0" w:color="auto"/>
              <w:bottom w:val="single" w:sz="2" w:space="0" w:color="auto"/>
              <w:right w:val="single" w:sz="2" w:space="0" w:color="auto"/>
            </w:tcBorders>
            <w:vAlign w:val="center"/>
          </w:tcPr>
          <w:p w14:paraId="1B6E622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10.65%</w:t>
            </w:r>
          </w:p>
        </w:tc>
        <w:tc>
          <w:tcPr>
            <w:tcW w:w="567" w:type="dxa"/>
            <w:tcBorders>
              <w:top w:val="single" w:sz="2" w:space="0" w:color="auto"/>
              <w:left w:val="single" w:sz="2" w:space="0" w:color="auto"/>
              <w:bottom w:val="single" w:sz="2" w:space="0" w:color="auto"/>
              <w:right w:val="single" w:sz="2" w:space="0" w:color="auto"/>
            </w:tcBorders>
            <w:vAlign w:val="center"/>
          </w:tcPr>
          <w:p w14:paraId="74B8DFB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0.11</w:t>
            </w:r>
          </w:p>
        </w:tc>
        <w:tc>
          <w:tcPr>
            <w:tcW w:w="851" w:type="dxa"/>
            <w:tcBorders>
              <w:top w:val="single" w:sz="2" w:space="0" w:color="auto"/>
              <w:left w:val="single" w:sz="2" w:space="0" w:color="auto"/>
              <w:bottom w:val="single" w:sz="2" w:space="0" w:color="auto"/>
              <w:right w:val="single" w:sz="2" w:space="0" w:color="auto"/>
            </w:tcBorders>
            <w:vAlign w:val="center"/>
          </w:tcPr>
          <w:p w14:paraId="736A727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55B7733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79CCC3C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3F8064B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7FEEE033"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5B55D11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安丘晏峪养殖项目污水处理工程</w:t>
            </w:r>
          </w:p>
        </w:tc>
        <w:tc>
          <w:tcPr>
            <w:tcW w:w="1134" w:type="dxa"/>
            <w:tcBorders>
              <w:top w:val="single" w:sz="2" w:space="0" w:color="auto"/>
              <w:left w:val="single" w:sz="2" w:space="0" w:color="auto"/>
              <w:bottom w:val="single" w:sz="2" w:space="0" w:color="auto"/>
              <w:right w:val="single" w:sz="2" w:space="0" w:color="auto"/>
            </w:tcBorders>
            <w:vAlign w:val="center"/>
          </w:tcPr>
          <w:p w14:paraId="0643819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6,300,000.00</w:t>
            </w:r>
          </w:p>
        </w:tc>
        <w:tc>
          <w:tcPr>
            <w:tcW w:w="1134" w:type="dxa"/>
            <w:tcBorders>
              <w:top w:val="single" w:sz="2" w:space="0" w:color="auto"/>
              <w:left w:val="single" w:sz="2" w:space="0" w:color="auto"/>
              <w:bottom w:val="single" w:sz="2" w:space="0" w:color="auto"/>
              <w:right w:val="single" w:sz="2" w:space="0" w:color="auto"/>
            </w:tcBorders>
            <w:vAlign w:val="center"/>
          </w:tcPr>
          <w:p w14:paraId="66CEC7E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350,768.62</w:t>
            </w:r>
          </w:p>
        </w:tc>
        <w:tc>
          <w:tcPr>
            <w:tcW w:w="992" w:type="dxa"/>
            <w:tcBorders>
              <w:top w:val="single" w:sz="2" w:space="0" w:color="auto"/>
              <w:left w:val="single" w:sz="2" w:space="0" w:color="auto"/>
              <w:bottom w:val="single" w:sz="2" w:space="0" w:color="auto"/>
              <w:right w:val="single" w:sz="2" w:space="0" w:color="auto"/>
            </w:tcBorders>
            <w:vAlign w:val="center"/>
          </w:tcPr>
          <w:p w14:paraId="25D7F18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8590D7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350,768.62</w:t>
            </w:r>
          </w:p>
        </w:tc>
        <w:tc>
          <w:tcPr>
            <w:tcW w:w="426" w:type="dxa"/>
            <w:tcBorders>
              <w:top w:val="single" w:sz="2" w:space="0" w:color="auto"/>
              <w:left w:val="single" w:sz="2" w:space="0" w:color="auto"/>
              <w:bottom w:val="single" w:sz="2" w:space="0" w:color="auto"/>
              <w:right w:val="single" w:sz="2" w:space="0" w:color="auto"/>
            </w:tcBorders>
            <w:vAlign w:val="center"/>
          </w:tcPr>
          <w:p w14:paraId="3B65CCF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B7517E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708" w:type="dxa"/>
            <w:tcBorders>
              <w:top w:val="single" w:sz="2" w:space="0" w:color="auto"/>
              <w:left w:val="single" w:sz="2" w:space="0" w:color="auto"/>
              <w:bottom w:val="single" w:sz="2" w:space="0" w:color="auto"/>
              <w:right w:val="single" w:sz="2" w:space="0" w:color="auto"/>
            </w:tcBorders>
            <w:vAlign w:val="center"/>
          </w:tcPr>
          <w:p w14:paraId="6623535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27.91%</w:t>
            </w:r>
          </w:p>
        </w:tc>
        <w:tc>
          <w:tcPr>
            <w:tcW w:w="567" w:type="dxa"/>
            <w:tcBorders>
              <w:top w:val="single" w:sz="2" w:space="0" w:color="auto"/>
              <w:left w:val="single" w:sz="2" w:space="0" w:color="auto"/>
              <w:bottom w:val="single" w:sz="2" w:space="0" w:color="auto"/>
              <w:right w:val="single" w:sz="2" w:space="0" w:color="auto"/>
            </w:tcBorders>
            <w:vAlign w:val="center"/>
          </w:tcPr>
          <w:p w14:paraId="7440D03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p>
        </w:tc>
        <w:tc>
          <w:tcPr>
            <w:tcW w:w="851" w:type="dxa"/>
            <w:tcBorders>
              <w:top w:val="single" w:sz="2" w:space="0" w:color="auto"/>
              <w:left w:val="single" w:sz="2" w:space="0" w:color="auto"/>
              <w:bottom w:val="single" w:sz="2" w:space="0" w:color="auto"/>
              <w:right w:val="single" w:sz="2" w:space="0" w:color="auto"/>
            </w:tcBorders>
            <w:vAlign w:val="center"/>
          </w:tcPr>
          <w:p w14:paraId="75810D9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72F2856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CF4F23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3BFD4FE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募集资金</w:t>
            </w:r>
          </w:p>
        </w:tc>
      </w:tr>
      <w:tr w:rsidR="005E1317" w:rsidRPr="005A284F" w14:paraId="67EC7064"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0A1C06D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晏峪二期空气过滤设备及土建项目</w:t>
            </w:r>
          </w:p>
        </w:tc>
        <w:tc>
          <w:tcPr>
            <w:tcW w:w="1134" w:type="dxa"/>
            <w:tcBorders>
              <w:top w:val="single" w:sz="2" w:space="0" w:color="auto"/>
              <w:left w:val="single" w:sz="2" w:space="0" w:color="auto"/>
              <w:bottom w:val="single" w:sz="2" w:space="0" w:color="auto"/>
              <w:right w:val="single" w:sz="2" w:space="0" w:color="auto"/>
            </w:tcBorders>
            <w:vAlign w:val="center"/>
          </w:tcPr>
          <w:p w14:paraId="703EC80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352,710.61</w:t>
            </w:r>
          </w:p>
        </w:tc>
        <w:tc>
          <w:tcPr>
            <w:tcW w:w="1134" w:type="dxa"/>
            <w:tcBorders>
              <w:top w:val="single" w:sz="2" w:space="0" w:color="auto"/>
              <w:left w:val="single" w:sz="2" w:space="0" w:color="auto"/>
              <w:bottom w:val="single" w:sz="2" w:space="0" w:color="auto"/>
              <w:right w:val="single" w:sz="2" w:space="0" w:color="auto"/>
            </w:tcBorders>
            <w:vAlign w:val="center"/>
          </w:tcPr>
          <w:p w14:paraId="338DC78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12B9AF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282,168.48</w:t>
            </w:r>
          </w:p>
        </w:tc>
        <w:tc>
          <w:tcPr>
            <w:tcW w:w="992" w:type="dxa"/>
            <w:tcBorders>
              <w:top w:val="single" w:sz="2" w:space="0" w:color="auto"/>
              <w:left w:val="single" w:sz="2" w:space="0" w:color="auto"/>
              <w:bottom w:val="single" w:sz="2" w:space="0" w:color="auto"/>
              <w:right w:val="single" w:sz="2" w:space="0" w:color="auto"/>
            </w:tcBorders>
            <w:vAlign w:val="center"/>
          </w:tcPr>
          <w:p w14:paraId="60E506A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4D3CA6A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AD2562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282,168.48</w:t>
            </w:r>
          </w:p>
        </w:tc>
        <w:tc>
          <w:tcPr>
            <w:tcW w:w="708" w:type="dxa"/>
            <w:tcBorders>
              <w:top w:val="single" w:sz="2" w:space="0" w:color="auto"/>
              <w:left w:val="single" w:sz="2" w:space="0" w:color="auto"/>
              <w:bottom w:val="single" w:sz="2" w:space="0" w:color="auto"/>
              <w:right w:val="single" w:sz="2" w:space="0" w:color="auto"/>
            </w:tcBorders>
            <w:vAlign w:val="center"/>
          </w:tcPr>
          <w:p w14:paraId="623F9E7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80.00%</w:t>
            </w:r>
          </w:p>
        </w:tc>
        <w:tc>
          <w:tcPr>
            <w:tcW w:w="567" w:type="dxa"/>
            <w:tcBorders>
              <w:top w:val="single" w:sz="2" w:space="0" w:color="auto"/>
              <w:left w:val="single" w:sz="2" w:space="0" w:color="auto"/>
              <w:bottom w:val="single" w:sz="2" w:space="0" w:color="auto"/>
              <w:right w:val="single" w:sz="2" w:space="0" w:color="auto"/>
            </w:tcBorders>
            <w:vAlign w:val="center"/>
          </w:tcPr>
          <w:p w14:paraId="3DAFDB1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0.75</w:t>
            </w:r>
          </w:p>
        </w:tc>
        <w:tc>
          <w:tcPr>
            <w:tcW w:w="851" w:type="dxa"/>
            <w:tcBorders>
              <w:top w:val="single" w:sz="2" w:space="0" w:color="auto"/>
              <w:left w:val="single" w:sz="2" w:space="0" w:color="auto"/>
              <w:bottom w:val="single" w:sz="2" w:space="0" w:color="auto"/>
              <w:right w:val="single" w:sz="2" w:space="0" w:color="auto"/>
            </w:tcBorders>
            <w:vAlign w:val="center"/>
          </w:tcPr>
          <w:p w14:paraId="1E756F6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1A3F9F0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15C4BCD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378E44A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募集资金</w:t>
            </w:r>
          </w:p>
        </w:tc>
      </w:tr>
      <w:tr w:rsidR="005E1317" w:rsidRPr="005A284F" w14:paraId="1A600BF1"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74A08F3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小河北猪场</w:t>
            </w:r>
          </w:p>
        </w:tc>
        <w:tc>
          <w:tcPr>
            <w:tcW w:w="1134" w:type="dxa"/>
            <w:tcBorders>
              <w:top w:val="single" w:sz="2" w:space="0" w:color="auto"/>
              <w:left w:val="single" w:sz="2" w:space="0" w:color="auto"/>
              <w:bottom w:val="single" w:sz="2" w:space="0" w:color="auto"/>
              <w:right w:val="single" w:sz="2" w:space="0" w:color="auto"/>
            </w:tcBorders>
            <w:vAlign w:val="center"/>
          </w:tcPr>
          <w:p w14:paraId="4EA3C1A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142,000.00</w:t>
            </w:r>
          </w:p>
        </w:tc>
        <w:tc>
          <w:tcPr>
            <w:tcW w:w="1134" w:type="dxa"/>
            <w:tcBorders>
              <w:top w:val="single" w:sz="2" w:space="0" w:color="auto"/>
              <w:left w:val="single" w:sz="2" w:space="0" w:color="auto"/>
              <w:bottom w:val="single" w:sz="2" w:space="0" w:color="auto"/>
              <w:right w:val="single" w:sz="2" w:space="0" w:color="auto"/>
            </w:tcBorders>
            <w:vAlign w:val="center"/>
          </w:tcPr>
          <w:p w14:paraId="7B48B07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155,046.77</w:t>
            </w:r>
          </w:p>
        </w:tc>
        <w:tc>
          <w:tcPr>
            <w:tcW w:w="992" w:type="dxa"/>
            <w:tcBorders>
              <w:top w:val="single" w:sz="2" w:space="0" w:color="auto"/>
              <w:left w:val="single" w:sz="2" w:space="0" w:color="auto"/>
              <w:bottom w:val="single" w:sz="2" w:space="0" w:color="auto"/>
              <w:right w:val="single" w:sz="2" w:space="0" w:color="auto"/>
            </w:tcBorders>
            <w:vAlign w:val="center"/>
          </w:tcPr>
          <w:p w14:paraId="2EA73AD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0895A7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10616E7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4D6904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155,046.77</w:t>
            </w:r>
          </w:p>
        </w:tc>
        <w:tc>
          <w:tcPr>
            <w:tcW w:w="708" w:type="dxa"/>
            <w:tcBorders>
              <w:top w:val="single" w:sz="2" w:space="0" w:color="auto"/>
              <w:left w:val="single" w:sz="2" w:space="0" w:color="auto"/>
              <w:bottom w:val="single" w:sz="2" w:space="0" w:color="auto"/>
              <w:right w:val="single" w:sz="2" w:space="0" w:color="auto"/>
            </w:tcBorders>
            <w:vAlign w:val="center"/>
          </w:tcPr>
          <w:p w14:paraId="366A12F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109.19%</w:t>
            </w:r>
          </w:p>
        </w:tc>
        <w:tc>
          <w:tcPr>
            <w:tcW w:w="567" w:type="dxa"/>
            <w:tcBorders>
              <w:top w:val="single" w:sz="2" w:space="0" w:color="auto"/>
              <w:left w:val="single" w:sz="2" w:space="0" w:color="auto"/>
              <w:bottom w:val="single" w:sz="2" w:space="0" w:color="auto"/>
              <w:right w:val="single" w:sz="2" w:space="0" w:color="auto"/>
            </w:tcBorders>
            <w:vAlign w:val="center"/>
          </w:tcPr>
          <w:p w14:paraId="1E6579E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0.98</w:t>
            </w:r>
          </w:p>
        </w:tc>
        <w:tc>
          <w:tcPr>
            <w:tcW w:w="851" w:type="dxa"/>
            <w:tcBorders>
              <w:top w:val="single" w:sz="2" w:space="0" w:color="auto"/>
              <w:left w:val="single" w:sz="2" w:space="0" w:color="auto"/>
              <w:bottom w:val="single" w:sz="2" w:space="0" w:color="auto"/>
              <w:right w:val="single" w:sz="2" w:space="0" w:color="auto"/>
            </w:tcBorders>
            <w:vAlign w:val="center"/>
          </w:tcPr>
          <w:p w14:paraId="360237E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0E289B5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6DB8E4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6FEE0C7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3D1384E9"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71B6DBB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烘干设备</w:t>
            </w:r>
          </w:p>
        </w:tc>
        <w:tc>
          <w:tcPr>
            <w:tcW w:w="1134" w:type="dxa"/>
            <w:tcBorders>
              <w:top w:val="single" w:sz="2" w:space="0" w:color="auto"/>
              <w:left w:val="single" w:sz="2" w:space="0" w:color="auto"/>
              <w:bottom w:val="single" w:sz="2" w:space="0" w:color="auto"/>
              <w:right w:val="single" w:sz="2" w:space="0" w:color="auto"/>
            </w:tcBorders>
            <w:vAlign w:val="center"/>
          </w:tcPr>
          <w:p w14:paraId="0F17DA0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119,300.00</w:t>
            </w:r>
          </w:p>
        </w:tc>
        <w:tc>
          <w:tcPr>
            <w:tcW w:w="1134" w:type="dxa"/>
            <w:tcBorders>
              <w:top w:val="single" w:sz="2" w:space="0" w:color="auto"/>
              <w:left w:val="single" w:sz="2" w:space="0" w:color="auto"/>
              <w:bottom w:val="single" w:sz="2" w:space="0" w:color="auto"/>
              <w:right w:val="single" w:sz="2" w:space="0" w:color="auto"/>
            </w:tcBorders>
            <w:vAlign w:val="center"/>
          </w:tcPr>
          <w:p w14:paraId="2114947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95,440.00</w:t>
            </w:r>
          </w:p>
        </w:tc>
        <w:tc>
          <w:tcPr>
            <w:tcW w:w="992" w:type="dxa"/>
            <w:tcBorders>
              <w:top w:val="single" w:sz="2" w:space="0" w:color="auto"/>
              <w:left w:val="single" w:sz="2" w:space="0" w:color="auto"/>
              <w:bottom w:val="single" w:sz="2" w:space="0" w:color="auto"/>
              <w:right w:val="single" w:sz="2" w:space="0" w:color="auto"/>
            </w:tcBorders>
            <w:vAlign w:val="center"/>
          </w:tcPr>
          <w:p w14:paraId="2D90631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173706C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350B154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53CCFC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95,440.00</w:t>
            </w:r>
          </w:p>
        </w:tc>
        <w:tc>
          <w:tcPr>
            <w:tcW w:w="708" w:type="dxa"/>
            <w:tcBorders>
              <w:top w:val="single" w:sz="2" w:space="0" w:color="auto"/>
              <w:left w:val="single" w:sz="2" w:space="0" w:color="auto"/>
              <w:bottom w:val="single" w:sz="2" w:space="0" w:color="auto"/>
              <w:right w:val="single" w:sz="2" w:space="0" w:color="auto"/>
            </w:tcBorders>
            <w:vAlign w:val="center"/>
          </w:tcPr>
          <w:p w14:paraId="08FB4CC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80.00%</w:t>
            </w:r>
          </w:p>
        </w:tc>
        <w:tc>
          <w:tcPr>
            <w:tcW w:w="567" w:type="dxa"/>
            <w:tcBorders>
              <w:top w:val="single" w:sz="2" w:space="0" w:color="auto"/>
              <w:left w:val="single" w:sz="2" w:space="0" w:color="auto"/>
              <w:bottom w:val="single" w:sz="2" w:space="0" w:color="auto"/>
              <w:right w:val="single" w:sz="2" w:space="0" w:color="auto"/>
            </w:tcBorders>
            <w:vAlign w:val="center"/>
          </w:tcPr>
          <w:p w14:paraId="2BBE099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0.98</w:t>
            </w:r>
          </w:p>
        </w:tc>
        <w:tc>
          <w:tcPr>
            <w:tcW w:w="851" w:type="dxa"/>
            <w:tcBorders>
              <w:top w:val="single" w:sz="2" w:space="0" w:color="auto"/>
              <w:left w:val="single" w:sz="2" w:space="0" w:color="auto"/>
              <w:bottom w:val="single" w:sz="2" w:space="0" w:color="auto"/>
              <w:right w:val="single" w:sz="2" w:space="0" w:color="auto"/>
            </w:tcBorders>
            <w:vAlign w:val="center"/>
          </w:tcPr>
          <w:p w14:paraId="3483041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21414B4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60F11FC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1D5E133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6BD2C2E7"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30DEC26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空气过滤设备</w:t>
            </w:r>
          </w:p>
        </w:tc>
        <w:tc>
          <w:tcPr>
            <w:tcW w:w="1134" w:type="dxa"/>
            <w:tcBorders>
              <w:top w:val="single" w:sz="2" w:space="0" w:color="auto"/>
              <w:left w:val="single" w:sz="2" w:space="0" w:color="auto"/>
              <w:bottom w:val="single" w:sz="2" w:space="0" w:color="auto"/>
              <w:right w:val="single" w:sz="2" w:space="0" w:color="auto"/>
            </w:tcBorders>
            <w:vAlign w:val="center"/>
          </w:tcPr>
          <w:p w14:paraId="6CD3ADA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873,252.06</w:t>
            </w:r>
          </w:p>
        </w:tc>
        <w:tc>
          <w:tcPr>
            <w:tcW w:w="1134" w:type="dxa"/>
            <w:tcBorders>
              <w:top w:val="single" w:sz="2" w:space="0" w:color="auto"/>
              <w:left w:val="single" w:sz="2" w:space="0" w:color="auto"/>
              <w:bottom w:val="single" w:sz="2" w:space="0" w:color="auto"/>
              <w:right w:val="single" w:sz="2" w:space="0" w:color="auto"/>
            </w:tcBorders>
            <w:vAlign w:val="center"/>
          </w:tcPr>
          <w:p w14:paraId="0FB98BC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698,601.65</w:t>
            </w:r>
          </w:p>
        </w:tc>
        <w:tc>
          <w:tcPr>
            <w:tcW w:w="992" w:type="dxa"/>
            <w:tcBorders>
              <w:top w:val="single" w:sz="2" w:space="0" w:color="auto"/>
              <w:left w:val="single" w:sz="2" w:space="0" w:color="auto"/>
              <w:bottom w:val="single" w:sz="2" w:space="0" w:color="auto"/>
              <w:right w:val="single" w:sz="2" w:space="0" w:color="auto"/>
            </w:tcBorders>
            <w:vAlign w:val="center"/>
          </w:tcPr>
          <w:p w14:paraId="5C3510D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7AD4BC8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4E50B95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9E3310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698,601.65</w:t>
            </w:r>
          </w:p>
        </w:tc>
        <w:tc>
          <w:tcPr>
            <w:tcW w:w="708" w:type="dxa"/>
            <w:tcBorders>
              <w:top w:val="single" w:sz="2" w:space="0" w:color="auto"/>
              <w:left w:val="single" w:sz="2" w:space="0" w:color="auto"/>
              <w:bottom w:val="single" w:sz="2" w:space="0" w:color="auto"/>
              <w:right w:val="single" w:sz="2" w:space="0" w:color="auto"/>
            </w:tcBorders>
            <w:vAlign w:val="center"/>
          </w:tcPr>
          <w:p w14:paraId="6BDC74A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80.00%</w:t>
            </w:r>
          </w:p>
        </w:tc>
        <w:tc>
          <w:tcPr>
            <w:tcW w:w="567" w:type="dxa"/>
            <w:tcBorders>
              <w:top w:val="single" w:sz="2" w:space="0" w:color="auto"/>
              <w:left w:val="single" w:sz="2" w:space="0" w:color="auto"/>
              <w:bottom w:val="single" w:sz="2" w:space="0" w:color="auto"/>
              <w:right w:val="single" w:sz="2" w:space="0" w:color="auto"/>
            </w:tcBorders>
            <w:vAlign w:val="center"/>
          </w:tcPr>
          <w:p w14:paraId="0374948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0.96</w:t>
            </w:r>
          </w:p>
        </w:tc>
        <w:tc>
          <w:tcPr>
            <w:tcW w:w="851" w:type="dxa"/>
            <w:tcBorders>
              <w:top w:val="single" w:sz="2" w:space="0" w:color="auto"/>
              <w:left w:val="single" w:sz="2" w:space="0" w:color="auto"/>
              <w:bottom w:val="single" w:sz="2" w:space="0" w:color="auto"/>
              <w:right w:val="single" w:sz="2" w:space="0" w:color="auto"/>
            </w:tcBorders>
            <w:vAlign w:val="center"/>
          </w:tcPr>
          <w:p w14:paraId="2A72886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06E7F2A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B5571C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67F98E3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0BDED852"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0F8C04B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晏峪猪场土建技改工程</w:t>
            </w:r>
          </w:p>
        </w:tc>
        <w:tc>
          <w:tcPr>
            <w:tcW w:w="1134" w:type="dxa"/>
            <w:tcBorders>
              <w:top w:val="single" w:sz="2" w:space="0" w:color="auto"/>
              <w:left w:val="single" w:sz="2" w:space="0" w:color="auto"/>
              <w:bottom w:val="single" w:sz="2" w:space="0" w:color="auto"/>
              <w:right w:val="single" w:sz="2" w:space="0" w:color="auto"/>
            </w:tcBorders>
            <w:vAlign w:val="center"/>
          </w:tcPr>
          <w:p w14:paraId="099DB06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444,707.64</w:t>
            </w:r>
          </w:p>
        </w:tc>
        <w:tc>
          <w:tcPr>
            <w:tcW w:w="1134" w:type="dxa"/>
            <w:tcBorders>
              <w:top w:val="single" w:sz="2" w:space="0" w:color="auto"/>
              <w:left w:val="single" w:sz="2" w:space="0" w:color="auto"/>
              <w:bottom w:val="single" w:sz="2" w:space="0" w:color="auto"/>
              <w:right w:val="single" w:sz="2" w:space="0" w:color="auto"/>
            </w:tcBorders>
            <w:vAlign w:val="center"/>
          </w:tcPr>
          <w:p w14:paraId="01863E8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468,113.30</w:t>
            </w:r>
          </w:p>
        </w:tc>
        <w:tc>
          <w:tcPr>
            <w:tcW w:w="992" w:type="dxa"/>
            <w:tcBorders>
              <w:top w:val="single" w:sz="2" w:space="0" w:color="auto"/>
              <w:left w:val="single" w:sz="2" w:space="0" w:color="auto"/>
              <w:bottom w:val="single" w:sz="2" w:space="0" w:color="auto"/>
              <w:right w:val="single" w:sz="2" w:space="0" w:color="auto"/>
            </w:tcBorders>
            <w:vAlign w:val="center"/>
          </w:tcPr>
          <w:p w14:paraId="1619C7B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760E946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2861687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BF0678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468,113.30</w:t>
            </w:r>
          </w:p>
        </w:tc>
        <w:tc>
          <w:tcPr>
            <w:tcW w:w="708" w:type="dxa"/>
            <w:tcBorders>
              <w:top w:val="single" w:sz="2" w:space="0" w:color="auto"/>
              <w:left w:val="single" w:sz="2" w:space="0" w:color="auto"/>
              <w:bottom w:val="single" w:sz="2" w:space="0" w:color="auto"/>
              <w:right w:val="single" w:sz="2" w:space="0" w:color="auto"/>
            </w:tcBorders>
            <w:vAlign w:val="center"/>
          </w:tcPr>
          <w:p w14:paraId="10C093E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105.26%</w:t>
            </w:r>
          </w:p>
        </w:tc>
        <w:tc>
          <w:tcPr>
            <w:tcW w:w="567" w:type="dxa"/>
            <w:tcBorders>
              <w:top w:val="single" w:sz="2" w:space="0" w:color="auto"/>
              <w:left w:val="single" w:sz="2" w:space="0" w:color="auto"/>
              <w:bottom w:val="single" w:sz="2" w:space="0" w:color="auto"/>
              <w:right w:val="single" w:sz="2" w:space="0" w:color="auto"/>
            </w:tcBorders>
            <w:vAlign w:val="center"/>
          </w:tcPr>
          <w:p w14:paraId="46F6503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0.97</w:t>
            </w:r>
          </w:p>
        </w:tc>
        <w:tc>
          <w:tcPr>
            <w:tcW w:w="851" w:type="dxa"/>
            <w:tcBorders>
              <w:top w:val="single" w:sz="2" w:space="0" w:color="auto"/>
              <w:left w:val="single" w:sz="2" w:space="0" w:color="auto"/>
              <w:bottom w:val="single" w:sz="2" w:space="0" w:color="auto"/>
              <w:right w:val="single" w:sz="2" w:space="0" w:color="auto"/>
            </w:tcBorders>
            <w:vAlign w:val="center"/>
          </w:tcPr>
          <w:p w14:paraId="7271402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7DB5F12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7F143C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0DC2F93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6DADCA1E"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7F1D7D8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蒸发冷及制冷管道支架改造工程</w:t>
            </w:r>
          </w:p>
        </w:tc>
        <w:tc>
          <w:tcPr>
            <w:tcW w:w="1134" w:type="dxa"/>
            <w:tcBorders>
              <w:top w:val="single" w:sz="2" w:space="0" w:color="auto"/>
              <w:left w:val="single" w:sz="2" w:space="0" w:color="auto"/>
              <w:bottom w:val="single" w:sz="2" w:space="0" w:color="auto"/>
              <w:right w:val="single" w:sz="2" w:space="0" w:color="auto"/>
            </w:tcBorders>
            <w:vAlign w:val="center"/>
          </w:tcPr>
          <w:p w14:paraId="2964B52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1,050,000.00</w:t>
            </w:r>
          </w:p>
        </w:tc>
        <w:tc>
          <w:tcPr>
            <w:tcW w:w="1134" w:type="dxa"/>
            <w:tcBorders>
              <w:top w:val="single" w:sz="2" w:space="0" w:color="auto"/>
              <w:left w:val="single" w:sz="2" w:space="0" w:color="auto"/>
              <w:bottom w:val="single" w:sz="2" w:space="0" w:color="auto"/>
              <w:right w:val="single" w:sz="2" w:space="0" w:color="auto"/>
            </w:tcBorders>
            <w:vAlign w:val="center"/>
          </w:tcPr>
          <w:p w14:paraId="1786533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992" w:type="dxa"/>
            <w:tcBorders>
              <w:top w:val="single" w:sz="2" w:space="0" w:color="auto"/>
              <w:left w:val="single" w:sz="2" w:space="0" w:color="auto"/>
              <w:bottom w:val="single" w:sz="2" w:space="0" w:color="auto"/>
              <w:right w:val="single" w:sz="2" w:space="0" w:color="auto"/>
            </w:tcBorders>
            <w:vAlign w:val="center"/>
          </w:tcPr>
          <w:p w14:paraId="17341C3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522,300.88</w:t>
            </w:r>
          </w:p>
        </w:tc>
        <w:tc>
          <w:tcPr>
            <w:tcW w:w="992" w:type="dxa"/>
            <w:tcBorders>
              <w:top w:val="single" w:sz="2" w:space="0" w:color="auto"/>
              <w:left w:val="single" w:sz="2" w:space="0" w:color="auto"/>
              <w:bottom w:val="single" w:sz="2" w:space="0" w:color="auto"/>
              <w:right w:val="single" w:sz="2" w:space="0" w:color="auto"/>
            </w:tcBorders>
            <w:vAlign w:val="center"/>
          </w:tcPr>
          <w:p w14:paraId="452BF1C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426" w:type="dxa"/>
            <w:tcBorders>
              <w:top w:val="single" w:sz="2" w:space="0" w:color="auto"/>
              <w:left w:val="single" w:sz="2" w:space="0" w:color="auto"/>
              <w:bottom w:val="single" w:sz="2" w:space="0" w:color="auto"/>
              <w:right w:val="single" w:sz="2" w:space="0" w:color="auto"/>
            </w:tcBorders>
            <w:vAlign w:val="center"/>
          </w:tcPr>
          <w:p w14:paraId="41E834A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04394CE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522,300.88</w:t>
            </w:r>
          </w:p>
        </w:tc>
        <w:tc>
          <w:tcPr>
            <w:tcW w:w="708" w:type="dxa"/>
            <w:tcBorders>
              <w:top w:val="single" w:sz="2" w:space="0" w:color="auto"/>
              <w:left w:val="single" w:sz="2" w:space="0" w:color="auto"/>
              <w:bottom w:val="single" w:sz="2" w:space="0" w:color="auto"/>
              <w:right w:val="single" w:sz="2" w:space="0" w:color="auto"/>
            </w:tcBorders>
            <w:vAlign w:val="center"/>
          </w:tcPr>
          <w:p w14:paraId="2547158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49.74%</w:t>
            </w:r>
          </w:p>
        </w:tc>
        <w:tc>
          <w:tcPr>
            <w:tcW w:w="567" w:type="dxa"/>
            <w:tcBorders>
              <w:top w:val="single" w:sz="2" w:space="0" w:color="auto"/>
              <w:left w:val="single" w:sz="2" w:space="0" w:color="auto"/>
              <w:bottom w:val="single" w:sz="2" w:space="0" w:color="auto"/>
              <w:right w:val="single" w:sz="2" w:space="0" w:color="auto"/>
            </w:tcBorders>
            <w:vAlign w:val="center"/>
          </w:tcPr>
          <w:p w14:paraId="3311A1F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0.95</w:t>
            </w:r>
          </w:p>
        </w:tc>
        <w:tc>
          <w:tcPr>
            <w:tcW w:w="851" w:type="dxa"/>
            <w:tcBorders>
              <w:top w:val="single" w:sz="2" w:space="0" w:color="auto"/>
              <w:left w:val="single" w:sz="2" w:space="0" w:color="auto"/>
              <w:bottom w:val="single" w:sz="2" w:space="0" w:color="auto"/>
              <w:right w:val="single" w:sz="2" w:space="0" w:color="auto"/>
            </w:tcBorders>
            <w:vAlign w:val="center"/>
          </w:tcPr>
          <w:p w14:paraId="467ED32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0A782E6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3F99031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6C17F20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226AB23E"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3F2FC23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工厂除臭管道更换工程</w:t>
            </w:r>
          </w:p>
        </w:tc>
        <w:tc>
          <w:tcPr>
            <w:tcW w:w="1134" w:type="dxa"/>
            <w:tcBorders>
              <w:top w:val="single" w:sz="2" w:space="0" w:color="auto"/>
              <w:left w:val="single" w:sz="2" w:space="0" w:color="auto"/>
              <w:bottom w:val="single" w:sz="2" w:space="0" w:color="auto"/>
              <w:right w:val="single" w:sz="2" w:space="0" w:color="auto"/>
            </w:tcBorders>
            <w:vAlign w:val="center"/>
          </w:tcPr>
          <w:p w14:paraId="263B297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160,000.00</w:t>
            </w:r>
          </w:p>
        </w:tc>
        <w:tc>
          <w:tcPr>
            <w:tcW w:w="1134" w:type="dxa"/>
            <w:tcBorders>
              <w:top w:val="single" w:sz="2" w:space="0" w:color="auto"/>
              <w:left w:val="single" w:sz="2" w:space="0" w:color="auto"/>
              <w:bottom w:val="single" w:sz="2" w:space="0" w:color="auto"/>
              <w:right w:val="single" w:sz="2" w:space="0" w:color="auto"/>
            </w:tcBorders>
            <w:vAlign w:val="center"/>
          </w:tcPr>
          <w:p w14:paraId="46B2F13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88,875.42</w:t>
            </w:r>
          </w:p>
        </w:tc>
        <w:tc>
          <w:tcPr>
            <w:tcW w:w="992" w:type="dxa"/>
            <w:tcBorders>
              <w:top w:val="single" w:sz="2" w:space="0" w:color="auto"/>
              <w:left w:val="single" w:sz="2" w:space="0" w:color="auto"/>
              <w:bottom w:val="single" w:sz="2" w:space="0" w:color="auto"/>
              <w:right w:val="single" w:sz="2" w:space="0" w:color="auto"/>
            </w:tcBorders>
            <w:vAlign w:val="center"/>
          </w:tcPr>
          <w:p w14:paraId="59DC477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992" w:type="dxa"/>
            <w:tcBorders>
              <w:top w:val="single" w:sz="2" w:space="0" w:color="auto"/>
              <w:left w:val="single" w:sz="2" w:space="0" w:color="auto"/>
              <w:bottom w:val="single" w:sz="2" w:space="0" w:color="auto"/>
              <w:right w:val="single" w:sz="2" w:space="0" w:color="auto"/>
            </w:tcBorders>
            <w:vAlign w:val="center"/>
          </w:tcPr>
          <w:p w14:paraId="72AE3F1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426" w:type="dxa"/>
            <w:tcBorders>
              <w:top w:val="single" w:sz="2" w:space="0" w:color="auto"/>
              <w:left w:val="single" w:sz="2" w:space="0" w:color="auto"/>
              <w:bottom w:val="single" w:sz="2" w:space="0" w:color="auto"/>
              <w:right w:val="single" w:sz="2" w:space="0" w:color="auto"/>
            </w:tcBorders>
            <w:vAlign w:val="center"/>
          </w:tcPr>
          <w:p w14:paraId="21B79BF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1BE8272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88,875.42</w:t>
            </w:r>
          </w:p>
        </w:tc>
        <w:tc>
          <w:tcPr>
            <w:tcW w:w="708" w:type="dxa"/>
            <w:tcBorders>
              <w:top w:val="single" w:sz="2" w:space="0" w:color="auto"/>
              <w:left w:val="single" w:sz="2" w:space="0" w:color="auto"/>
              <w:bottom w:val="single" w:sz="2" w:space="0" w:color="auto"/>
              <w:right w:val="single" w:sz="2" w:space="0" w:color="auto"/>
            </w:tcBorders>
            <w:vAlign w:val="center"/>
          </w:tcPr>
          <w:p w14:paraId="3431FE3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55.55%</w:t>
            </w:r>
          </w:p>
        </w:tc>
        <w:tc>
          <w:tcPr>
            <w:tcW w:w="567" w:type="dxa"/>
            <w:tcBorders>
              <w:top w:val="single" w:sz="2" w:space="0" w:color="auto"/>
              <w:left w:val="single" w:sz="2" w:space="0" w:color="auto"/>
              <w:bottom w:val="single" w:sz="2" w:space="0" w:color="auto"/>
              <w:right w:val="single" w:sz="2" w:space="0" w:color="auto"/>
            </w:tcBorders>
            <w:vAlign w:val="center"/>
          </w:tcPr>
          <w:p w14:paraId="7CF387E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0.95</w:t>
            </w:r>
          </w:p>
        </w:tc>
        <w:tc>
          <w:tcPr>
            <w:tcW w:w="851" w:type="dxa"/>
            <w:tcBorders>
              <w:top w:val="single" w:sz="2" w:space="0" w:color="auto"/>
              <w:left w:val="single" w:sz="2" w:space="0" w:color="auto"/>
              <w:bottom w:val="single" w:sz="2" w:space="0" w:color="auto"/>
              <w:right w:val="single" w:sz="2" w:space="0" w:color="auto"/>
            </w:tcBorders>
            <w:vAlign w:val="center"/>
          </w:tcPr>
          <w:p w14:paraId="25B0D08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0B3BB1D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C21674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7885070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7D8E734E"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7244B82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待宰栏新建钢结构雨棚项目</w:t>
            </w:r>
          </w:p>
        </w:tc>
        <w:tc>
          <w:tcPr>
            <w:tcW w:w="1134" w:type="dxa"/>
            <w:tcBorders>
              <w:top w:val="single" w:sz="2" w:space="0" w:color="auto"/>
              <w:left w:val="single" w:sz="2" w:space="0" w:color="auto"/>
              <w:bottom w:val="single" w:sz="2" w:space="0" w:color="auto"/>
              <w:right w:val="single" w:sz="2" w:space="0" w:color="auto"/>
            </w:tcBorders>
            <w:vAlign w:val="center"/>
          </w:tcPr>
          <w:p w14:paraId="515ABDB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150,000.00</w:t>
            </w:r>
          </w:p>
        </w:tc>
        <w:tc>
          <w:tcPr>
            <w:tcW w:w="1134" w:type="dxa"/>
            <w:tcBorders>
              <w:top w:val="single" w:sz="2" w:space="0" w:color="auto"/>
              <w:left w:val="single" w:sz="2" w:space="0" w:color="auto"/>
              <w:bottom w:val="single" w:sz="2" w:space="0" w:color="auto"/>
              <w:right w:val="single" w:sz="2" w:space="0" w:color="auto"/>
            </w:tcBorders>
            <w:vAlign w:val="center"/>
          </w:tcPr>
          <w:p w14:paraId="212DCD6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100,793.24</w:t>
            </w:r>
          </w:p>
        </w:tc>
        <w:tc>
          <w:tcPr>
            <w:tcW w:w="992" w:type="dxa"/>
            <w:tcBorders>
              <w:top w:val="single" w:sz="2" w:space="0" w:color="auto"/>
              <w:left w:val="single" w:sz="2" w:space="0" w:color="auto"/>
              <w:bottom w:val="single" w:sz="2" w:space="0" w:color="auto"/>
              <w:right w:val="single" w:sz="2" w:space="0" w:color="auto"/>
            </w:tcBorders>
            <w:vAlign w:val="center"/>
          </w:tcPr>
          <w:p w14:paraId="752DEF2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31,172.94</w:t>
            </w:r>
          </w:p>
        </w:tc>
        <w:tc>
          <w:tcPr>
            <w:tcW w:w="992" w:type="dxa"/>
            <w:tcBorders>
              <w:top w:val="single" w:sz="2" w:space="0" w:color="auto"/>
              <w:left w:val="single" w:sz="2" w:space="0" w:color="auto"/>
              <w:bottom w:val="single" w:sz="2" w:space="0" w:color="auto"/>
              <w:right w:val="single" w:sz="2" w:space="0" w:color="auto"/>
            </w:tcBorders>
            <w:vAlign w:val="center"/>
          </w:tcPr>
          <w:p w14:paraId="7E3C022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131,966.18</w:t>
            </w:r>
          </w:p>
        </w:tc>
        <w:tc>
          <w:tcPr>
            <w:tcW w:w="426" w:type="dxa"/>
            <w:tcBorders>
              <w:top w:val="single" w:sz="2" w:space="0" w:color="auto"/>
              <w:left w:val="single" w:sz="2" w:space="0" w:color="auto"/>
              <w:bottom w:val="single" w:sz="2" w:space="0" w:color="auto"/>
              <w:right w:val="single" w:sz="2" w:space="0" w:color="auto"/>
            </w:tcBorders>
            <w:vAlign w:val="center"/>
          </w:tcPr>
          <w:p w14:paraId="5F2C914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4BCE204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708" w:type="dxa"/>
            <w:tcBorders>
              <w:top w:val="single" w:sz="2" w:space="0" w:color="auto"/>
              <w:left w:val="single" w:sz="2" w:space="0" w:color="auto"/>
              <w:bottom w:val="single" w:sz="2" w:space="0" w:color="auto"/>
              <w:right w:val="single" w:sz="2" w:space="0" w:color="auto"/>
            </w:tcBorders>
            <w:vAlign w:val="center"/>
          </w:tcPr>
          <w:p w14:paraId="3DB9AC5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87.98%</w:t>
            </w:r>
          </w:p>
        </w:tc>
        <w:tc>
          <w:tcPr>
            <w:tcW w:w="567" w:type="dxa"/>
            <w:tcBorders>
              <w:top w:val="single" w:sz="2" w:space="0" w:color="auto"/>
              <w:left w:val="single" w:sz="2" w:space="0" w:color="auto"/>
              <w:bottom w:val="single" w:sz="2" w:space="0" w:color="auto"/>
              <w:right w:val="single" w:sz="2" w:space="0" w:color="auto"/>
            </w:tcBorders>
            <w:vAlign w:val="center"/>
          </w:tcPr>
          <w:p w14:paraId="17168B2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p>
        </w:tc>
        <w:tc>
          <w:tcPr>
            <w:tcW w:w="851" w:type="dxa"/>
            <w:tcBorders>
              <w:top w:val="single" w:sz="2" w:space="0" w:color="auto"/>
              <w:left w:val="single" w:sz="2" w:space="0" w:color="auto"/>
              <w:bottom w:val="single" w:sz="2" w:space="0" w:color="auto"/>
              <w:right w:val="single" w:sz="2" w:space="0" w:color="auto"/>
            </w:tcBorders>
            <w:vAlign w:val="center"/>
          </w:tcPr>
          <w:p w14:paraId="56E564C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3958320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78453E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7A933CB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711DB011"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5CEA645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厂区道路修缮项目工程</w:t>
            </w:r>
          </w:p>
        </w:tc>
        <w:tc>
          <w:tcPr>
            <w:tcW w:w="1134" w:type="dxa"/>
            <w:tcBorders>
              <w:top w:val="single" w:sz="2" w:space="0" w:color="auto"/>
              <w:left w:val="single" w:sz="2" w:space="0" w:color="auto"/>
              <w:bottom w:val="single" w:sz="2" w:space="0" w:color="auto"/>
              <w:right w:val="single" w:sz="2" w:space="0" w:color="auto"/>
            </w:tcBorders>
            <w:vAlign w:val="center"/>
          </w:tcPr>
          <w:p w14:paraId="2718DBF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68,000.00</w:t>
            </w:r>
          </w:p>
        </w:tc>
        <w:tc>
          <w:tcPr>
            <w:tcW w:w="1134" w:type="dxa"/>
            <w:tcBorders>
              <w:top w:val="single" w:sz="2" w:space="0" w:color="auto"/>
              <w:left w:val="single" w:sz="2" w:space="0" w:color="auto"/>
              <w:bottom w:val="single" w:sz="2" w:space="0" w:color="auto"/>
              <w:right w:val="single" w:sz="2" w:space="0" w:color="auto"/>
            </w:tcBorders>
            <w:vAlign w:val="center"/>
          </w:tcPr>
          <w:p w14:paraId="7FBC461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992" w:type="dxa"/>
            <w:tcBorders>
              <w:top w:val="single" w:sz="2" w:space="0" w:color="auto"/>
              <w:left w:val="single" w:sz="2" w:space="0" w:color="auto"/>
              <w:bottom w:val="single" w:sz="2" w:space="0" w:color="auto"/>
              <w:right w:val="single" w:sz="2" w:space="0" w:color="auto"/>
            </w:tcBorders>
            <w:vAlign w:val="center"/>
          </w:tcPr>
          <w:p w14:paraId="74D9974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37,946.13</w:t>
            </w:r>
          </w:p>
        </w:tc>
        <w:tc>
          <w:tcPr>
            <w:tcW w:w="992" w:type="dxa"/>
            <w:tcBorders>
              <w:top w:val="single" w:sz="2" w:space="0" w:color="auto"/>
              <w:left w:val="single" w:sz="2" w:space="0" w:color="auto"/>
              <w:bottom w:val="single" w:sz="2" w:space="0" w:color="auto"/>
              <w:right w:val="single" w:sz="2" w:space="0" w:color="auto"/>
            </w:tcBorders>
            <w:vAlign w:val="center"/>
          </w:tcPr>
          <w:p w14:paraId="5A8D5E2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426" w:type="dxa"/>
            <w:tcBorders>
              <w:top w:val="single" w:sz="2" w:space="0" w:color="auto"/>
              <w:left w:val="single" w:sz="2" w:space="0" w:color="auto"/>
              <w:bottom w:val="single" w:sz="2" w:space="0" w:color="auto"/>
              <w:right w:val="single" w:sz="2" w:space="0" w:color="auto"/>
            </w:tcBorders>
            <w:vAlign w:val="center"/>
          </w:tcPr>
          <w:p w14:paraId="7C62C70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747A39D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37,946.13</w:t>
            </w:r>
          </w:p>
        </w:tc>
        <w:tc>
          <w:tcPr>
            <w:tcW w:w="708" w:type="dxa"/>
            <w:tcBorders>
              <w:top w:val="single" w:sz="2" w:space="0" w:color="auto"/>
              <w:left w:val="single" w:sz="2" w:space="0" w:color="auto"/>
              <w:bottom w:val="single" w:sz="2" w:space="0" w:color="auto"/>
              <w:right w:val="single" w:sz="2" w:space="0" w:color="auto"/>
            </w:tcBorders>
            <w:vAlign w:val="center"/>
          </w:tcPr>
          <w:p w14:paraId="100A1FA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55.80%</w:t>
            </w:r>
          </w:p>
        </w:tc>
        <w:tc>
          <w:tcPr>
            <w:tcW w:w="567" w:type="dxa"/>
            <w:tcBorders>
              <w:top w:val="single" w:sz="2" w:space="0" w:color="auto"/>
              <w:left w:val="single" w:sz="2" w:space="0" w:color="auto"/>
              <w:bottom w:val="single" w:sz="2" w:space="0" w:color="auto"/>
              <w:right w:val="single" w:sz="2" w:space="0" w:color="auto"/>
            </w:tcBorders>
            <w:vAlign w:val="center"/>
          </w:tcPr>
          <w:p w14:paraId="6F6D6A8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0.95</w:t>
            </w:r>
          </w:p>
        </w:tc>
        <w:tc>
          <w:tcPr>
            <w:tcW w:w="851" w:type="dxa"/>
            <w:tcBorders>
              <w:top w:val="single" w:sz="2" w:space="0" w:color="auto"/>
              <w:left w:val="single" w:sz="2" w:space="0" w:color="auto"/>
              <w:bottom w:val="single" w:sz="2" w:space="0" w:color="auto"/>
              <w:right w:val="single" w:sz="2" w:space="0" w:color="auto"/>
            </w:tcBorders>
            <w:vAlign w:val="center"/>
          </w:tcPr>
          <w:p w14:paraId="539D094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4A7A887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9D13D1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4B21F76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753EF625"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1AF8611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工厂副产品输送线设备安装</w:t>
            </w:r>
          </w:p>
        </w:tc>
        <w:tc>
          <w:tcPr>
            <w:tcW w:w="1134" w:type="dxa"/>
            <w:tcBorders>
              <w:top w:val="single" w:sz="2" w:space="0" w:color="auto"/>
              <w:left w:val="single" w:sz="2" w:space="0" w:color="auto"/>
              <w:bottom w:val="single" w:sz="2" w:space="0" w:color="auto"/>
              <w:right w:val="single" w:sz="2" w:space="0" w:color="auto"/>
            </w:tcBorders>
            <w:vAlign w:val="center"/>
          </w:tcPr>
          <w:p w14:paraId="45B2160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140,000.00</w:t>
            </w:r>
          </w:p>
        </w:tc>
        <w:tc>
          <w:tcPr>
            <w:tcW w:w="1134" w:type="dxa"/>
            <w:tcBorders>
              <w:top w:val="single" w:sz="2" w:space="0" w:color="auto"/>
              <w:left w:val="single" w:sz="2" w:space="0" w:color="auto"/>
              <w:bottom w:val="single" w:sz="2" w:space="0" w:color="auto"/>
              <w:right w:val="single" w:sz="2" w:space="0" w:color="auto"/>
            </w:tcBorders>
            <w:vAlign w:val="center"/>
          </w:tcPr>
          <w:p w14:paraId="5C0521B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992" w:type="dxa"/>
            <w:tcBorders>
              <w:top w:val="single" w:sz="2" w:space="0" w:color="auto"/>
              <w:left w:val="single" w:sz="2" w:space="0" w:color="auto"/>
              <w:bottom w:val="single" w:sz="2" w:space="0" w:color="auto"/>
              <w:right w:val="single" w:sz="2" w:space="0" w:color="auto"/>
            </w:tcBorders>
            <w:vAlign w:val="center"/>
          </w:tcPr>
          <w:p w14:paraId="4BEAD19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100,725.00</w:t>
            </w:r>
          </w:p>
        </w:tc>
        <w:tc>
          <w:tcPr>
            <w:tcW w:w="992" w:type="dxa"/>
            <w:tcBorders>
              <w:top w:val="single" w:sz="2" w:space="0" w:color="auto"/>
              <w:left w:val="single" w:sz="2" w:space="0" w:color="auto"/>
              <w:bottom w:val="single" w:sz="2" w:space="0" w:color="auto"/>
              <w:right w:val="single" w:sz="2" w:space="0" w:color="auto"/>
            </w:tcBorders>
            <w:vAlign w:val="center"/>
          </w:tcPr>
          <w:p w14:paraId="0A76F6C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426" w:type="dxa"/>
            <w:tcBorders>
              <w:top w:val="single" w:sz="2" w:space="0" w:color="auto"/>
              <w:left w:val="single" w:sz="2" w:space="0" w:color="auto"/>
              <w:bottom w:val="single" w:sz="2" w:space="0" w:color="auto"/>
              <w:right w:val="single" w:sz="2" w:space="0" w:color="auto"/>
            </w:tcBorders>
            <w:vAlign w:val="center"/>
          </w:tcPr>
          <w:p w14:paraId="10E60C3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6470086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100,725.00</w:t>
            </w:r>
          </w:p>
        </w:tc>
        <w:tc>
          <w:tcPr>
            <w:tcW w:w="708" w:type="dxa"/>
            <w:tcBorders>
              <w:top w:val="single" w:sz="2" w:space="0" w:color="auto"/>
              <w:left w:val="single" w:sz="2" w:space="0" w:color="auto"/>
              <w:bottom w:val="single" w:sz="2" w:space="0" w:color="auto"/>
              <w:right w:val="single" w:sz="2" w:space="0" w:color="auto"/>
            </w:tcBorders>
            <w:vAlign w:val="center"/>
          </w:tcPr>
          <w:p w14:paraId="38FF308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71.95%</w:t>
            </w:r>
          </w:p>
        </w:tc>
        <w:tc>
          <w:tcPr>
            <w:tcW w:w="567" w:type="dxa"/>
            <w:tcBorders>
              <w:top w:val="single" w:sz="2" w:space="0" w:color="auto"/>
              <w:left w:val="single" w:sz="2" w:space="0" w:color="auto"/>
              <w:bottom w:val="single" w:sz="2" w:space="0" w:color="auto"/>
              <w:right w:val="single" w:sz="2" w:space="0" w:color="auto"/>
            </w:tcBorders>
            <w:vAlign w:val="center"/>
          </w:tcPr>
          <w:p w14:paraId="30F4C3F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0.95</w:t>
            </w:r>
          </w:p>
        </w:tc>
        <w:tc>
          <w:tcPr>
            <w:tcW w:w="851" w:type="dxa"/>
            <w:tcBorders>
              <w:top w:val="single" w:sz="2" w:space="0" w:color="auto"/>
              <w:left w:val="single" w:sz="2" w:space="0" w:color="auto"/>
              <w:bottom w:val="single" w:sz="2" w:space="0" w:color="auto"/>
              <w:right w:val="single" w:sz="2" w:space="0" w:color="auto"/>
            </w:tcBorders>
            <w:vAlign w:val="center"/>
          </w:tcPr>
          <w:p w14:paraId="390DD0C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20F9FD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C74A9E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72A66A0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6DB6012F"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0B75D4A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乔家泊饲料厂技改土建工程</w:t>
            </w:r>
          </w:p>
        </w:tc>
        <w:tc>
          <w:tcPr>
            <w:tcW w:w="1134" w:type="dxa"/>
            <w:tcBorders>
              <w:top w:val="single" w:sz="2" w:space="0" w:color="auto"/>
              <w:left w:val="single" w:sz="2" w:space="0" w:color="auto"/>
              <w:bottom w:val="single" w:sz="2" w:space="0" w:color="auto"/>
              <w:right w:val="single" w:sz="2" w:space="0" w:color="auto"/>
            </w:tcBorders>
            <w:vAlign w:val="center"/>
          </w:tcPr>
          <w:p w14:paraId="426C54E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520,000.00</w:t>
            </w:r>
          </w:p>
        </w:tc>
        <w:tc>
          <w:tcPr>
            <w:tcW w:w="1134" w:type="dxa"/>
            <w:tcBorders>
              <w:top w:val="single" w:sz="2" w:space="0" w:color="auto"/>
              <w:left w:val="single" w:sz="2" w:space="0" w:color="auto"/>
              <w:bottom w:val="single" w:sz="2" w:space="0" w:color="auto"/>
              <w:right w:val="single" w:sz="2" w:space="0" w:color="auto"/>
            </w:tcBorders>
            <w:vAlign w:val="center"/>
          </w:tcPr>
          <w:p w14:paraId="5101DEE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420,800.00</w:t>
            </w:r>
          </w:p>
        </w:tc>
        <w:tc>
          <w:tcPr>
            <w:tcW w:w="992" w:type="dxa"/>
            <w:tcBorders>
              <w:top w:val="single" w:sz="2" w:space="0" w:color="auto"/>
              <w:left w:val="single" w:sz="2" w:space="0" w:color="auto"/>
              <w:bottom w:val="single" w:sz="2" w:space="0" w:color="auto"/>
              <w:right w:val="single" w:sz="2" w:space="0" w:color="auto"/>
            </w:tcBorders>
            <w:vAlign w:val="center"/>
          </w:tcPr>
          <w:p w14:paraId="4FD164F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131,658.45</w:t>
            </w:r>
          </w:p>
        </w:tc>
        <w:tc>
          <w:tcPr>
            <w:tcW w:w="992" w:type="dxa"/>
            <w:tcBorders>
              <w:top w:val="single" w:sz="2" w:space="0" w:color="auto"/>
              <w:left w:val="single" w:sz="2" w:space="0" w:color="auto"/>
              <w:bottom w:val="single" w:sz="2" w:space="0" w:color="auto"/>
              <w:right w:val="single" w:sz="2" w:space="0" w:color="auto"/>
            </w:tcBorders>
            <w:vAlign w:val="center"/>
          </w:tcPr>
          <w:p w14:paraId="2F1A324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552,458.45</w:t>
            </w:r>
          </w:p>
        </w:tc>
        <w:tc>
          <w:tcPr>
            <w:tcW w:w="426" w:type="dxa"/>
            <w:tcBorders>
              <w:top w:val="single" w:sz="2" w:space="0" w:color="auto"/>
              <w:left w:val="single" w:sz="2" w:space="0" w:color="auto"/>
              <w:bottom w:val="single" w:sz="2" w:space="0" w:color="auto"/>
              <w:right w:val="single" w:sz="2" w:space="0" w:color="auto"/>
            </w:tcBorders>
            <w:vAlign w:val="center"/>
          </w:tcPr>
          <w:p w14:paraId="1B08185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209A010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708" w:type="dxa"/>
            <w:tcBorders>
              <w:top w:val="single" w:sz="2" w:space="0" w:color="auto"/>
              <w:left w:val="single" w:sz="2" w:space="0" w:color="auto"/>
              <w:bottom w:val="single" w:sz="2" w:space="0" w:color="auto"/>
              <w:right w:val="single" w:sz="2" w:space="0" w:color="auto"/>
            </w:tcBorders>
            <w:vAlign w:val="center"/>
          </w:tcPr>
          <w:p w14:paraId="4F25E0A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106.24%</w:t>
            </w:r>
          </w:p>
        </w:tc>
        <w:tc>
          <w:tcPr>
            <w:tcW w:w="567" w:type="dxa"/>
            <w:tcBorders>
              <w:top w:val="single" w:sz="2" w:space="0" w:color="auto"/>
              <w:left w:val="single" w:sz="2" w:space="0" w:color="auto"/>
              <w:bottom w:val="single" w:sz="2" w:space="0" w:color="auto"/>
              <w:right w:val="single" w:sz="2" w:space="0" w:color="auto"/>
            </w:tcBorders>
            <w:vAlign w:val="center"/>
          </w:tcPr>
          <w:p w14:paraId="7B2742B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p>
        </w:tc>
        <w:tc>
          <w:tcPr>
            <w:tcW w:w="851" w:type="dxa"/>
            <w:tcBorders>
              <w:top w:val="single" w:sz="2" w:space="0" w:color="auto"/>
              <w:left w:val="single" w:sz="2" w:space="0" w:color="auto"/>
              <w:bottom w:val="single" w:sz="2" w:space="0" w:color="auto"/>
              <w:right w:val="single" w:sz="2" w:space="0" w:color="auto"/>
            </w:tcBorders>
            <w:vAlign w:val="center"/>
          </w:tcPr>
          <w:p w14:paraId="2C37A2E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D72315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0DBCF3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1BAA421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6922DC6D"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7A5854F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乔家泊饲料厂办公室改造工程</w:t>
            </w:r>
          </w:p>
        </w:tc>
        <w:tc>
          <w:tcPr>
            <w:tcW w:w="1134" w:type="dxa"/>
            <w:tcBorders>
              <w:top w:val="single" w:sz="2" w:space="0" w:color="auto"/>
              <w:left w:val="single" w:sz="2" w:space="0" w:color="auto"/>
              <w:bottom w:val="single" w:sz="2" w:space="0" w:color="auto"/>
              <w:right w:val="single" w:sz="2" w:space="0" w:color="auto"/>
            </w:tcBorders>
            <w:vAlign w:val="center"/>
          </w:tcPr>
          <w:p w14:paraId="29BF9EE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800,000.00</w:t>
            </w:r>
          </w:p>
        </w:tc>
        <w:tc>
          <w:tcPr>
            <w:tcW w:w="1134" w:type="dxa"/>
            <w:tcBorders>
              <w:top w:val="single" w:sz="2" w:space="0" w:color="auto"/>
              <w:left w:val="single" w:sz="2" w:space="0" w:color="auto"/>
              <w:bottom w:val="single" w:sz="2" w:space="0" w:color="auto"/>
              <w:right w:val="single" w:sz="2" w:space="0" w:color="auto"/>
            </w:tcBorders>
            <w:vAlign w:val="center"/>
          </w:tcPr>
          <w:p w14:paraId="373FFFC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633,600.00</w:t>
            </w:r>
          </w:p>
        </w:tc>
        <w:tc>
          <w:tcPr>
            <w:tcW w:w="992" w:type="dxa"/>
            <w:tcBorders>
              <w:top w:val="single" w:sz="2" w:space="0" w:color="auto"/>
              <w:left w:val="single" w:sz="2" w:space="0" w:color="auto"/>
              <w:bottom w:val="single" w:sz="2" w:space="0" w:color="auto"/>
              <w:right w:val="single" w:sz="2" w:space="0" w:color="auto"/>
            </w:tcBorders>
            <w:vAlign w:val="center"/>
          </w:tcPr>
          <w:p w14:paraId="2D44327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2C4FAE8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07E85C7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82F599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633,600.00</w:t>
            </w:r>
          </w:p>
        </w:tc>
        <w:tc>
          <w:tcPr>
            <w:tcW w:w="708" w:type="dxa"/>
            <w:tcBorders>
              <w:top w:val="single" w:sz="2" w:space="0" w:color="auto"/>
              <w:left w:val="single" w:sz="2" w:space="0" w:color="auto"/>
              <w:bottom w:val="single" w:sz="2" w:space="0" w:color="auto"/>
              <w:right w:val="single" w:sz="2" w:space="0" w:color="auto"/>
            </w:tcBorders>
            <w:vAlign w:val="center"/>
          </w:tcPr>
          <w:p w14:paraId="4B8D612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79.20%</w:t>
            </w:r>
          </w:p>
        </w:tc>
        <w:tc>
          <w:tcPr>
            <w:tcW w:w="567" w:type="dxa"/>
            <w:tcBorders>
              <w:top w:val="single" w:sz="2" w:space="0" w:color="auto"/>
              <w:left w:val="single" w:sz="2" w:space="0" w:color="auto"/>
              <w:bottom w:val="single" w:sz="2" w:space="0" w:color="auto"/>
              <w:right w:val="single" w:sz="2" w:space="0" w:color="auto"/>
            </w:tcBorders>
            <w:vAlign w:val="center"/>
          </w:tcPr>
          <w:p w14:paraId="09D4165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0.88</w:t>
            </w:r>
          </w:p>
        </w:tc>
        <w:tc>
          <w:tcPr>
            <w:tcW w:w="851" w:type="dxa"/>
            <w:tcBorders>
              <w:top w:val="single" w:sz="2" w:space="0" w:color="auto"/>
              <w:left w:val="single" w:sz="2" w:space="0" w:color="auto"/>
              <w:bottom w:val="single" w:sz="2" w:space="0" w:color="auto"/>
              <w:right w:val="single" w:sz="2" w:space="0" w:color="auto"/>
            </w:tcBorders>
            <w:vAlign w:val="center"/>
          </w:tcPr>
          <w:p w14:paraId="2868E76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5B8273A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369B6C3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03943E3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7EFB8B7F"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796F40B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团旺饲料厂散装钢板仓</w:t>
            </w:r>
          </w:p>
        </w:tc>
        <w:tc>
          <w:tcPr>
            <w:tcW w:w="1134" w:type="dxa"/>
            <w:tcBorders>
              <w:top w:val="single" w:sz="2" w:space="0" w:color="auto"/>
              <w:left w:val="single" w:sz="2" w:space="0" w:color="auto"/>
              <w:bottom w:val="single" w:sz="2" w:space="0" w:color="auto"/>
              <w:right w:val="single" w:sz="2" w:space="0" w:color="auto"/>
            </w:tcBorders>
            <w:vAlign w:val="center"/>
          </w:tcPr>
          <w:p w14:paraId="3C13E8F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1,470,000.00</w:t>
            </w:r>
          </w:p>
        </w:tc>
        <w:tc>
          <w:tcPr>
            <w:tcW w:w="1134" w:type="dxa"/>
            <w:tcBorders>
              <w:top w:val="single" w:sz="2" w:space="0" w:color="auto"/>
              <w:left w:val="single" w:sz="2" w:space="0" w:color="auto"/>
              <w:bottom w:val="single" w:sz="2" w:space="0" w:color="auto"/>
              <w:right w:val="single" w:sz="2" w:space="0" w:color="auto"/>
            </w:tcBorders>
            <w:vAlign w:val="center"/>
          </w:tcPr>
          <w:p w14:paraId="62DCC55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4A8C49C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227,756.31</w:t>
            </w:r>
          </w:p>
        </w:tc>
        <w:tc>
          <w:tcPr>
            <w:tcW w:w="992" w:type="dxa"/>
            <w:tcBorders>
              <w:top w:val="single" w:sz="2" w:space="0" w:color="auto"/>
              <w:left w:val="single" w:sz="2" w:space="0" w:color="auto"/>
              <w:bottom w:val="single" w:sz="2" w:space="0" w:color="auto"/>
              <w:right w:val="single" w:sz="2" w:space="0" w:color="auto"/>
            </w:tcBorders>
            <w:vAlign w:val="center"/>
          </w:tcPr>
          <w:p w14:paraId="02F6BAE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227,756.31</w:t>
            </w:r>
          </w:p>
        </w:tc>
        <w:tc>
          <w:tcPr>
            <w:tcW w:w="426" w:type="dxa"/>
            <w:tcBorders>
              <w:top w:val="single" w:sz="2" w:space="0" w:color="auto"/>
              <w:left w:val="single" w:sz="2" w:space="0" w:color="auto"/>
              <w:bottom w:val="single" w:sz="2" w:space="0" w:color="auto"/>
              <w:right w:val="single" w:sz="2" w:space="0" w:color="auto"/>
            </w:tcBorders>
            <w:vAlign w:val="center"/>
          </w:tcPr>
          <w:p w14:paraId="4E6CC31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D85831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708" w:type="dxa"/>
            <w:tcBorders>
              <w:top w:val="single" w:sz="2" w:space="0" w:color="auto"/>
              <w:left w:val="single" w:sz="2" w:space="0" w:color="auto"/>
              <w:bottom w:val="single" w:sz="2" w:space="0" w:color="auto"/>
              <w:right w:val="single" w:sz="2" w:space="0" w:color="auto"/>
            </w:tcBorders>
            <w:vAlign w:val="center"/>
          </w:tcPr>
          <w:p w14:paraId="4603784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100.49%</w:t>
            </w:r>
          </w:p>
        </w:tc>
        <w:tc>
          <w:tcPr>
            <w:tcW w:w="567" w:type="dxa"/>
            <w:tcBorders>
              <w:top w:val="single" w:sz="2" w:space="0" w:color="auto"/>
              <w:left w:val="single" w:sz="2" w:space="0" w:color="auto"/>
              <w:bottom w:val="single" w:sz="2" w:space="0" w:color="auto"/>
              <w:right w:val="single" w:sz="2" w:space="0" w:color="auto"/>
            </w:tcBorders>
            <w:vAlign w:val="center"/>
          </w:tcPr>
          <w:p w14:paraId="0E2B057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p>
        </w:tc>
        <w:tc>
          <w:tcPr>
            <w:tcW w:w="851" w:type="dxa"/>
            <w:tcBorders>
              <w:top w:val="single" w:sz="2" w:space="0" w:color="auto"/>
              <w:left w:val="single" w:sz="2" w:space="0" w:color="auto"/>
              <w:bottom w:val="single" w:sz="2" w:space="0" w:color="auto"/>
              <w:right w:val="single" w:sz="2" w:space="0" w:color="auto"/>
            </w:tcBorders>
            <w:vAlign w:val="center"/>
          </w:tcPr>
          <w:p w14:paraId="237DFB8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33282F1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7A310D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35C91A1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1F7EF3DB"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1323737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王宋预处理中心</w:t>
            </w:r>
          </w:p>
        </w:tc>
        <w:tc>
          <w:tcPr>
            <w:tcW w:w="1134" w:type="dxa"/>
            <w:tcBorders>
              <w:top w:val="single" w:sz="2" w:space="0" w:color="auto"/>
              <w:left w:val="single" w:sz="2" w:space="0" w:color="auto"/>
              <w:bottom w:val="single" w:sz="2" w:space="0" w:color="auto"/>
              <w:right w:val="single" w:sz="2" w:space="0" w:color="auto"/>
            </w:tcBorders>
            <w:vAlign w:val="center"/>
          </w:tcPr>
          <w:p w14:paraId="521228B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300,000.00</w:t>
            </w:r>
          </w:p>
        </w:tc>
        <w:tc>
          <w:tcPr>
            <w:tcW w:w="1134" w:type="dxa"/>
            <w:tcBorders>
              <w:top w:val="single" w:sz="2" w:space="0" w:color="auto"/>
              <w:left w:val="single" w:sz="2" w:space="0" w:color="auto"/>
              <w:bottom w:val="single" w:sz="2" w:space="0" w:color="auto"/>
              <w:right w:val="single" w:sz="2" w:space="0" w:color="auto"/>
            </w:tcBorders>
            <w:vAlign w:val="center"/>
          </w:tcPr>
          <w:p w14:paraId="1DB02DE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156,000.00</w:t>
            </w:r>
          </w:p>
        </w:tc>
        <w:tc>
          <w:tcPr>
            <w:tcW w:w="992" w:type="dxa"/>
            <w:tcBorders>
              <w:top w:val="single" w:sz="2" w:space="0" w:color="auto"/>
              <w:left w:val="single" w:sz="2" w:space="0" w:color="auto"/>
              <w:bottom w:val="single" w:sz="2" w:space="0" w:color="auto"/>
              <w:right w:val="single" w:sz="2" w:space="0" w:color="auto"/>
            </w:tcBorders>
            <w:vAlign w:val="center"/>
          </w:tcPr>
          <w:p w14:paraId="0ADDA65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56,916.70</w:t>
            </w:r>
          </w:p>
        </w:tc>
        <w:tc>
          <w:tcPr>
            <w:tcW w:w="992" w:type="dxa"/>
            <w:tcBorders>
              <w:top w:val="single" w:sz="2" w:space="0" w:color="auto"/>
              <w:left w:val="single" w:sz="2" w:space="0" w:color="auto"/>
              <w:bottom w:val="single" w:sz="2" w:space="0" w:color="auto"/>
              <w:right w:val="single" w:sz="2" w:space="0" w:color="auto"/>
            </w:tcBorders>
            <w:vAlign w:val="center"/>
          </w:tcPr>
          <w:p w14:paraId="74437D5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5C2C911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4C68CB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212,916.70</w:t>
            </w:r>
          </w:p>
        </w:tc>
        <w:tc>
          <w:tcPr>
            <w:tcW w:w="708" w:type="dxa"/>
            <w:tcBorders>
              <w:top w:val="single" w:sz="2" w:space="0" w:color="auto"/>
              <w:left w:val="single" w:sz="2" w:space="0" w:color="auto"/>
              <w:bottom w:val="single" w:sz="2" w:space="0" w:color="auto"/>
              <w:right w:val="single" w:sz="2" w:space="0" w:color="auto"/>
            </w:tcBorders>
            <w:vAlign w:val="center"/>
          </w:tcPr>
          <w:p w14:paraId="4010801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70.97%</w:t>
            </w:r>
          </w:p>
        </w:tc>
        <w:tc>
          <w:tcPr>
            <w:tcW w:w="567" w:type="dxa"/>
            <w:tcBorders>
              <w:top w:val="single" w:sz="2" w:space="0" w:color="auto"/>
              <w:left w:val="single" w:sz="2" w:space="0" w:color="auto"/>
              <w:bottom w:val="single" w:sz="2" w:space="0" w:color="auto"/>
              <w:right w:val="single" w:sz="2" w:space="0" w:color="auto"/>
            </w:tcBorders>
            <w:vAlign w:val="center"/>
          </w:tcPr>
          <w:p w14:paraId="540F2D7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0.9</w:t>
            </w:r>
          </w:p>
        </w:tc>
        <w:tc>
          <w:tcPr>
            <w:tcW w:w="851" w:type="dxa"/>
            <w:tcBorders>
              <w:top w:val="single" w:sz="2" w:space="0" w:color="auto"/>
              <w:left w:val="single" w:sz="2" w:space="0" w:color="auto"/>
              <w:bottom w:val="single" w:sz="2" w:space="0" w:color="auto"/>
              <w:right w:val="single" w:sz="2" w:space="0" w:color="auto"/>
            </w:tcBorders>
            <w:vAlign w:val="center"/>
          </w:tcPr>
          <w:p w14:paraId="654F83F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3686B03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6822EFC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1F551E7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551A4EFB"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645DE19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团旺饲料厂土建技改工程</w:t>
            </w:r>
          </w:p>
        </w:tc>
        <w:tc>
          <w:tcPr>
            <w:tcW w:w="1134" w:type="dxa"/>
            <w:tcBorders>
              <w:top w:val="single" w:sz="2" w:space="0" w:color="auto"/>
              <w:left w:val="single" w:sz="2" w:space="0" w:color="auto"/>
              <w:bottom w:val="single" w:sz="2" w:space="0" w:color="auto"/>
              <w:right w:val="single" w:sz="2" w:space="0" w:color="auto"/>
            </w:tcBorders>
            <w:vAlign w:val="center"/>
          </w:tcPr>
          <w:p w14:paraId="00A521B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600,000.00</w:t>
            </w:r>
          </w:p>
        </w:tc>
        <w:tc>
          <w:tcPr>
            <w:tcW w:w="1134" w:type="dxa"/>
            <w:tcBorders>
              <w:top w:val="single" w:sz="2" w:space="0" w:color="auto"/>
              <w:left w:val="single" w:sz="2" w:space="0" w:color="auto"/>
              <w:bottom w:val="single" w:sz="2" w:space="0" w:color="auto"/>
              <w:right w:val="single" w:sz="2" w:space="0" w:color="auto"/>
            </w:tcBorders>
            <w:vAlign w:val="center"/>
          </w:tcPr>
          <w:p w14:paraId="5A0A857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583,200.00</w:t>
            </w:r>
          </w:p>
        </w:tc>
        <w:tc>
          <w:tcPr>
            <w:tcW w:w="992" w:type="dxa"/>
            <w:tcBorders>
              <w:top w:val="single" w:sz="2" w:space="0" w:color="auto"/>
              <w:left w:val="single" w:sz="2" w:space="0" w:color="auto"/>
              <w:bottom w:val="single" w:sz="2" w:space="0" w:color="auto"/>
              <w:right w:val="single" w:sz="2" w:space="0" w:color="auto"/>
            </w:tcBorders>
            <w:vAlign w:val="center"/>
          </w:tcPr>
          <w:p w14:paraId="60AE7A2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113,255.72</w:t>
            </w:r>
          </w:p>
        </w:tc>
        <w:tc>
          <w:tcPr>
            <w:tcW w:w="992" w:type="dxa"/>
            <w:tcBorders>
              <w:top w:val="single" w:sz="2" w:space="0" w:color="auto"/>
              <w:left w:val="single" w:sz="2" w:space="0" w:color="auto"/>
              <w:bottom w:val="single" w:sz="2" w:space="0" w:color="auto"/>
              <w:right w:val="single" w:sz="2" w:space="0" w:color="auto"/>
            </w:tcBorders>
            <w:vAlign w:val="center"/>
          </w:tcPr>
          <w:p w14:paraId="2091D6C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696,455.72</w:t>
            </w:r>
          </w:p>
        </w:tc>
        <w:tc>
          <w:tcPr>
            <w:tcW w:w="426" w:type="dxa"/>
            <w:tcBorders>
              <w:top w:val="single" w:sz="2" w:space="0" w:color="auto"/>
              <w:left w:val="single" w:sz="2" w:space="0" w:color="auto"/>
              <w:bottom w:val="single" w:sz="2" w:space="0" w:color="auto"/>
              <w:right w:val="single" w:sz="2" w:space="0" w:color="auto"/>
            </w:tcBorders>
            <w:vAlign w:val="center"/>
          </w:tcPr>
          <w:p w14:paraId="15E9869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ADDBAE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708" w:type="dxa"/>
            <w:tcBorders>
              <w:top w:val="single" w:sz="2" w:space="0" w:color="auto"/>
              <w:left w:val="single" w:sz="2" w:space="0" w:color="auto"/>
              <w:bottom w:val="single" w:sz="2" w:space="0" w:color="auto"/>
              <w:right w:val="single" w:sz="2" w:space="0" w:color="auto"/>
            </w:tcBorders>
            <w:vAlign w:val="center"/>
          </w:tcPr>
          <w:p w14:paraId="67572A0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116.08%</w:t>
            </w:r>
          </w:p>
        </w:tc>
        <w:tc>
          <w:tcPr>
            <w:tcW w:w="567" w:type="dxa"/>
            <w:tcBorders>
              <w:top w:val="single" w:sz="2" w:space="0" w:color="auto"/>
              <w:left w:val="single" w:sz="2" w:space="0" w:color="auto"/>
              <w:bottom w:val="single" w:sz="2" w:space="0" w:color="auto"/>
              <w:right w:val="single" w:sz="2" w:space="0" w:color="auto"/>
            </w:tcBorders>
            <w:vAlign w:val="center"/>
          </w:tcPr>
          <w:p w14:paraId="15F3EB5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p>
        </w:tc>
        <w:tc>
          <w:tcPr>
            <w:tcW w:w="851" w:type="dxa"/>
            <w:tcBorders>
              <w:top w:val="single" w:sz="2" w:space="0" w:color="auto"/>
              <w:left w:val="single" w:sz="2" w:space="0" w:color="auto"/>
              <w:bottom w:val="single" w:sz="2" w:space="0" w:color="auto"/>
              <w:right w:val="single" w:sz="2" w:space="0" w:color="auto"/>
            </w:tcBorders>
            <w:vAlign w:val="center"/>
          </w:tcPr>
          <w:p w14:paraId="499752A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4D4B7EE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6451404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1C1B0EF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1EC7E95E"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6D54DBE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崔格庄土建技改工程二期</w:t>
            </w:r>
          </w:p>
        </w:tc>
        <w:tc>
          <w:tcPr>
            <w:tcW w:w="1134" w:type="dxa"/>
            <w:tcBorders>
              <w:top w:val="single" w:sz="2" w:space="0" w:color="auto"/>
              <w:left w:val="single" w:sz="2" w:space="0" w:color="auto"/>
              <w:bottom w:val="single" w:sz="2" w:space="0" w:color="auto"/>
              <w:right w:val="single" w:sz="2" w:space="0" w:color="auto"/>
            </w:tcBorders>
            <w:vAlign w:val="center"/>
          </w:tcPr>
          <w:p w14:paraId="6B86371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258,000.00</w:t>
            </w:r>
          </w:p>
        </w:tc>
        <w:tc>
          <w:tcPr>
            <w:tcW w:w="1134" w:type="dxa"/>
            <w:tcBorders>
              <w:top w:val="single" w:sz="2" w:space="0" w:color="auto"/>
              <w:left w:val="single" w:sz="2" w:space="0" w:color="auto"/>
              <w:bottom w:val="single" w:sz="2" w:space="0" w:color="auto"/>
              <w:right w:val="single" w:sz="2" w:space="0" w:color="auto"/>
            </w:tcBorders>
            <w:vAlign w:val="center"/>
          </w:tcPr>
          <w:p w14:paraId="16FD44E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0D49250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168,000.00</w:t>
            </w:r>
          </w:p>
        </w:tc>
        <w:tc>
          <w:tcPr>
            <w:tcW w:w="992" w:type="dxa"/>
            <w:tcBorders>
              <w:top w:val="single" w:sz="2" w:space="0" w:color="auto"/>
              <w:left w:val="single" w:sz="2" w:space="0" w:color="auto"/>
              <w:bottom w:val="single" w:sz="2" w:space="0" w:color="auto"/>
              <w:right w:val="single" w:sz="2" w:space="0" w:color="auto"/>
            </w:tcBorders>
            <w:vAlign w:val="center"/>
          </w:tcPr>
          <w:p w14:paraId="4A1DCEC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7492E80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2DC742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168,000.00</w:t>
            </w:r>
          </w:p>
        </w:tc>
        <w:tc>
          <w:tcPr>
            <w:tcW w:w="708" w:type="dxa"/>
            <w:tcBorders>
              <w:top w:val="single" w:sz="2" w:space="0" w:color="auto"/>
              <w:left w:val="single" w:sz="2" w:space="0" w:color="auto"/>
              <w:bottom w:val="single" w:sz="2" w:space="0" w:color="auto"/>
              <w:right w:val="single" w:sz="2" w:space="0" w:color="auto"/>
            </w:tcBorders>
            <w:vAlign w:val="center"/>
          </w:tcPr>
          <w:p w14:paraId="1E605F0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65.12%</w:t>
            </w:r>
          </w:p>
        </w:tc>
        <w:tc>
          <w:tcPr>
            <w:tcW w:w="567" w:type="dxa"/>
            <w:tcBorders>
              <w:top w:val="single" w:sz="2" w:space="0" w:color="auto"/>
              <w:left w:val="single" w:sz="2" w:space="0" w:color="auto"/>
              <w:bottom w:val="single" w:sz="2" w:space="0" w:color="auto"/>
              <w:right w:val="single" w:sz="2" w:space="0" w:color="auto"/>
            </w:tcBorders>
            <w:vAlign w:val="center"/>
          </w:tcPr>
          <w:p w14:paraId="722A29C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0.9</w:t>
            </w:r>
          </w:p>
        </w:tc>
        <w:tc>
          <w:tcPr>
            <w:tcW w:w="851" w:type="dxa"/>
            <w:tcBorders>
              <w:top w:val="single" w:sz="2" w:space="0" w:color="auto"/>
              <w:left w:val="single" w:sz="2" w:space="0" w:color="auto"/>
              <w:bottom w:val="single" w:sz="2" w:space="0" w:color="auto"/>
              <w:right w:val="single" w:sz="2" w:space="0" w:color="auto"/>
            </w:tcBorders>
            <w:vAlign w:val="center"/>
          </w:tcPr>
          <w:p w14:paraId="5691341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1B8777B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3708BE3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6576EF5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7E60D499"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7650870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王宋一技改工程</w:t>
            </w:r>
          </w:p>
        </w:tc>
        <w:tc>
          <w:tcPr>
            <w:tcW w:w="1134" w:type="dxa"/>
            <w:tcBorders>
              <w:top w:val="single" w:sz="2" w:space="0" w:color="auto"/>
              <w:left w:val="single" w:sz="2" w:space="0" w:color="auto"/>
              <w:bottom w:val="single" w:sz="2" w:space="0" w:color="auto"/>
              <w:right w:val="single" w:sz="2" w:space="0" w:color="auto"/>
            </w:tcBorders>
            <w:vAlign w:val="center"/>
          </w:tcPr>
          <w:p w14:paraId="0A59D7A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300,000.00</w:t>
            </w:r>
          </w:p>
        </w:tc>
        <w:tc>
          <w:tcPr>
            <w:tcW w:w="1134" w:type="dxa"/>
            <w:tcBorders>
              <w:top w:val="single" w:sz="2" w:space="0" w:color="auto"/>
              <w:left w:val="single" w:sz="2" w:space="0" w:color="auto"/>
              <w:bottom w:val="single" w:sz="2" w:space="0" w:color="auto"/>
              <w:right w:val="single" w:sz="2" w:space="0" w:color="auto"/>
            </w:tcBorders>
            <w:vAlign w:val="center"/>
          </w:tcPr>
          <w:p w14:paraId="33B260D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104,056.61</w:t>
            </w:r>
          </w:p>
        </w:tc>
        <w:tc>
          <w:tcPr>
            <w:tcW w:w="992" w:type="dxa"/>
            <w:tcBorders>
              <w:top w:val="single" w:sz="2" w:space="0" w:color="auto"/>
              <w:left w:val="single" w:sz="2" w:space="0" w:color="auto"/>
              <w:bottom w:val="single" w:sz="2" w:space="0" w:color="auto"/>
              <w:right w:val="single" w:sz="2" w:space="0" w:color="auto"/>
            </w:tcBorders>
            <w:vAlign w:val="center"/>
          </w:tcPr>
          <w:p w14:paraId="5D3A86D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2953419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104,056.61</w:t>
            </w:r>
          </w:p>
        </w:tc>
        <w:tc>
          <w:tcPr>
            <w:tcW w:w="426" w:type="dxa"/>
            <w:tcBorders>
              <w:top w:val="single" w:sz="2" w:space="0" w:color="auto"/>
              <w:left w:val="single" w:sz="2" w:space="0" w:color="auto"/>
              <w:bottom w:val="single" w:sz="2" w:space="0" w:color="auto"/>
              <w:right w:val="single" w:sz="2" w:space="0" w:color="auto"/>
            </w:tcBorders>
            <w:vAlign w:val="center"/>
          </w:tcPr>
          <w:p w14:paraId="7A0912A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91C883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708" w:type="dxa"/>
            <w:tcBorders>
              <w:top w:val="single" w:sz="2" w:space="0" w:color="auto"/>
              <w:left w:val="single" w:sz="2" w:space="0" w:color="auto"/>
              <w:bottom w:val="single" w:sz="2" w:space="0" w:color="auto"/>
              <w:right w:val="single" w:sz="2" w:space="0" w:color="auto"/>
            </w:tcBorders>
            <w:vAlign w:val="center"/>
          </w:tcPr>
          <w:p w14:paraId="66A2D58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34.69%</w:t>
            </w:r>
          </w:p>
        </w:tc>
        <w:tc>
          <w:tcPr>
            <w:tcW w:w="567" w:type="dxa"/>
            <w:tcBorders>
              <w:top w:val="single" w:sz="2" w:space="0" w:color="auto"/>
              <w:left w:val="single" w:sz="2" w:space="0" w:color="auto"/>
              <w:bottom w:val="single" w:sz="2" w:space="0" w:color="auto"/>
              <w:right w:val="single" w:sz="2" w:space="0" w:color="auto"/>
            </w:tcBorders>
            <w:vAlign w:val="center"/>
          </w:tcPr>
          <w:p w14:paraId="0FE6D90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p>
        </w:tc>
        <w:tc>
          <w:tcPr>
            <w:tcW w:w="851" w:type="dxa"/>
            <w:tcBorders>
              <w:top w:val="single" w:sz="2" w:space="0" w:color="auto"/>
              <w:left w:val="single" w:sz="2" w:space="0" w:color="auto"/>
              <w:bottom w:val="single" w:sz="2" w:space="0" w:color="auto"/>
              <w:right w:val="single" w:sz="2" w:space="0" w:color="auto"/>
            </w:tcBorders>
            <w:vAlign w:val="center"/>
          </w:tcPr>
          <w:p w14:paraId="262025A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3A5232A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7E6E954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73617F6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605AE918"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63C8F77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王宋预处理技改</w:t>
            </w:r>
          </w:p>
        </w:tc>
        <w:tc>
          <w:tcPr>
            <w:tcW w:w="1134" w:type="dxa"/>
            <w:tcBorders>
              <w:top w:val="single" w:sz="2" w:space="0" w:color="auto"/>
              <w:left w:val="single" w:sz="2" w:space="0" w:color="auto"/>
              <w:bottom w:val="single" w:sz="2" w:space="0" w:color="auto"/>
              <w:right w:val="single" w:sz="2" w:space="0" w:color="auto"/>
            </w:tcBorders>
            <w:vAlign w:val="center"/>
          </w:tcPr>
          <w:p w14:paraId="2FCAF3F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300,000.00</w:t>
            </w:r>
          </w:p>
        </w:tc>
        <w:tc>
          <w:tcPr>
            <w:tcW w:w="1134" w:type="dxa"/>
            <w:tcBorders>
              <w:top w:val="single" w:sz="2" w:space="0" w:color="auto"/>
              <w:left w:val="single" w:sz="2" w:space="0" w:color="auto"/>
              <w:bottom w:val="single" w:sz="2" w:space="0" w:color="auto"/>
              <w:right w:val="single" w:sz="2" w:space="0" w:color="auto"/>
            </w:tcBorders>
            <w:vAlign w:val="center"/>
          </w:tcPr>
          <w:p w14:paraId="17FD184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117,543.39</w:t>
            </w:r>
          </w:p>
        </w:tc>
        <w:tc>
          <w:tcPr>
            <w:tcW w:w="992" w:type="dxa"/>
            <w:tcBorders>
              <w:top w:val="single" w:sz="2" w:space="0" w:color="auto"/>
              <w:left w:val="single" w:sz="2" w:space="0" w:color="auto"/>
              <w:bottom w:val="single" w:sz="2" w:space="0" w:color="auto"/>
              <w:right w:val="single" w:sz="2" w:space="0" w:color="auto"/>
            </w:tcBorders>
            <w:vAlign w:val="center"/>
          </w:tcPr>
          <w:p w14:paraId="639835D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155D30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117,543.39</w:t>
            </w:r>
          </w:p>
        </w:tc>
        <w:tc>
          <w:tcPr>
            <w:tcW w:w="426" w:type="dxa"/>
            <w:tcBorders>
              <w:top w:val="single" w:sz="2" w:space="0" w:color="auto"/>
              <w:left w:val="single" w:sz="2" w:space="0" w:color="auto"/>
              <w:bottom w:val="single" w:sz="2" w:space="0" w:color="auto"/>
              <w:right w:val="single" w:sz="2" w:space="0" w:color="auto"/>
            </w:tcBorders>
            <w:vAlign w:val="center"/>
          </w:tcPr>
          <w:p w14:paraId="348E1C5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AE2438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708" w:type="dxa"/>
            <w:tcBorders>
              <w:top w:val="single" w:sz="2" w:space="0" w:color="auto"/>
              <w:left w:val="single" w:sz="2" w:space="0" w:color="auto"/>
              <w:bottom w:val="single" w:sz="2" w:space="0" w:color="auto"/>
              <w:right w:val="single" w:sz="2" w:space="0" w:color="auto"/>
            </w:tcBorders>
            <w:vAlign w:val="center"/>
          </w:tcPr>
          <w:p w14:paraId="6545203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39.18%</w:t>
            </w:r>
          </w:p>
        </w:tc>
        <w:tc>
          <w:tcPr>
            <w:tcW w:w="567" w:type="dxa"/>
            <w:tcBorders>
              <w:top w:val="single" w:sz="2" w:space="0" w:color="auto"/>
              <w:left w:val="single" w:sz="2" w:space="0" w:color="auto"/>
              <w:bottom w:val="single" w:sz="2" w:space="0" w:color="auto"/>
              <w:right w:val="single" w:sz="2" w:space="0" w:color="auto"/>
            </w:tcBorders>
            <w:vAlign w:val="center"/>
          </w:tcPr>
          <w:p w14:paraId="27F1516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p>
        </w:tc>
        <w:tc>
          <w:tcPr>
            <w:tcW w:w="851" w:type="dxa"/>
            <w:tcBorders>
              <w:top w:val="single" w:sz="2" w:space="0" w:color="auto"/>
              <w:left w:val="single" w:sz="2" w:space="0" w:color="auto"/>
              <w:bottom w:val="single" w:sz="2" w:space="0" w:color="auto"/>
              <w:right w:val="single" w:sz="2" w:space="0" w:color="auto"/>
            </w:tcBorders>
            <w:vAlign w:val="center"/>
          </w:tcPr>
          <w:p w14:paraId="6FCC55B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0D027A3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33179DA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2C08957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5DA01455"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1AAD290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光山技改工程（洗车棚）</w:t>
            </w:r>
          </w:p>
        </w:tc>
        <w:tc>
          <w:tcPr>
            <w:tcW w:w="1134" w:type="dxa"/>
            <w:tcBorders>
              <w:top w:val="single" w:sz="2" w:space="0" w:color="auto"/>
              <w:left w:val="single" w:sz="2" w:space="0" w:color="auto"/>
              <w:bottom w:val="single" w:sz="2" w:space="0" w:color="auto"/>
              <w:right w:val="single" w:sz="2" w:space="0" w:color="auto"/>
            </w:tcBorders>
            <w:vAlign w:val="center"/>
          </w:tcPr>
          <w:p w14:paraId="000B5C7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42,700.00</w:t>
            </w:r>
          </w:p>
        </w:tc>
        <w:tc>
          <w:tcPr>
            <w:tcW w:w="1134" w:type="dxa"/>
            <w:tcBorders>
              <w:top w:val="single" w:sz="2" w:space="0" w:color="auto"/>
              <w:left w:val="single" w:sz="2" w:space="0" w:color="auto"/>
              <w:bottom w:val="single" w:sz="2" w:space="0" w:color="auto"/>
              <w:right w:val="single" w:sz="2" w:space="0" w:color="auto"/>
            </w:tcBorders>
            <w:vAlign w:val="center"/>
          </w:tcPr>
          <w:p w14:paraId="4EE7FFA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42,000.00</w:t>
            </w:r>
          </w:p>
        </w:tc>
        <w:tc>
          <w:tcPr>
            <w:tcW w:w="992" w:type="dxa"/>
            <w:tcBorders>
              <w:top w:val="single" w:sz="2" w:space="0" w:color="auto"/>
              <w:left w:val="single" w:sz="2" w:space="0" w:color="auto"/>
              <w:bottom w:val="single" w:sz="2" w:space="0" w:color="auto"/>
              <w:right w:val="single" w:sz="2" w:space="0" w:color="auto"/>
            </w:tcBorders>
            <w:vAlign w:val="center"/>
          </w:tcPr>
          <w:p w14:paraId="354868A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84,757.25</w:t>
            </w:r>
          </w:p>
        </w:tc>
        <w:tc>
          <w:tcPr>
            <w:tcW w:w="992" w:type="dxa"/>
            <w:tcBorders>
              <w:top w:val="single" w:sz="2" w:space="0" w:color="auto"/>
              <w:left w:val="single" w:sz="2" w:space="0" w:color="auto"/>
              <w:bottom w:val="single" w:sz="2" w:space="0" w:color="auto"/>
              <w:right w:val="single" w:sz="2" w:space="0" w:color="auto"/>
            </w:tcBorders>
            <w:vAlign w:val="center"/>
          </w:tcPr>
          <w:p w14:paraId="35E3260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6637D60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071BB14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126,757.25</w:t>
            </w:r>
          </w:p>
        </w:tc>
        <w:tc>
          <w:tcPr>
            <w:tcW w:w="708" w:type="dxa"/>
            <w:tcBorders>
              <w:top w:val="single" w:sz="2" w:space="0" w:color="auto"/>
              <w:left w:val="single" w:sz="2" w:space="0" w:color="auto"/>
              <w:bottom w:val="single" w:sz="2" w:space="0" w:color="auto"/>
              <w:right w:val="single" w:sz="2" w:space="0" w:color="auto"/>
            </w:tcBorders>
            <w:vAlign w:val="center"/>
          </w:tcPr>
          <w:p w14:paraId="4C6DA51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296.86%</w:t>
            </w:r>
          </w:p>
        </w:tc>
        <w:tc>
          <w:tcPr>
            <w:tcW w:w="567" w:type="dxa"/>
            <w:tcBorders>
              <w:top w:val="single" w:sz="2" w:space="0" w:color="auto"/>
              <w:left w:val="single" w:sz="2" w:space="0" w:color="auto"/>
              <w:bottom w:val="single" w:sz="2" w:space="0" w:color="auto"/>
              <w:right w:val="single" w:sz="2" w:space="0" w:color="auto"/>
            </w:tcBorders>
            <w:vAlign w:val="center"/>
          </w:tcPr>
          <w:p w14:paraId="2564816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0.95</w:t>
            </w:r>
          </w:p>
        </w:tc>
        <w:tc>
          <w:tcPr>
            <w:tcW w:w="851" w:type="dxa"/>
            <w:tcBorders>
              <w:top w:val="single" w:sz="2" w:space="0" w:color="auto"/>
              <w:left w:val="single" w:sz="2" w:space="0" w:color="auto"/>
              <w:bottom w:val="single" w:sz="2" w:space="0" w:color="auto"/>
              <w:right w:val="single" w:sz="2" w:space="0" w:color="auto"/>
            </w:tcBorders>
            <w:vAlign w:val="center"/>
          </w:tcPr>
          <w:p w14:paraId="1BC5693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7F63500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0021AF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0BD0A03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14911BDF"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6138E85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崔格庄猪场大栏改造</w:t>
            </w:r>
          </w:p>
        </w:tc>
        <w:tc>
          <w:tcPr>
            <w:tcW w:w="1134" w:type="dxa"/>
            <w:tcBorders>
              <w:top w:val="single" w:sz="2" w:space="0" w:color="auto"/>
              <w:left w:val="single" w:sz="2" w:space="0" w:color="auto"/>
              <w:bottom w:val="single" w:sz="2" w:space="0" w:color="auto"/>
              <w:right w:val="single" w:sz="2" w:space="0" w:color="auto"/>
            </w:tcBorders>
            <w:vAlign w:val="center"/>
          </w:tcPr>
          <w:p w14:paraId="5F36BEF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1,210,000.00</w:t>
            </w:r>
          </w:p>
        </w:tc>
        <w:tc>
          <w:tcPr>
            <w:tcW w:w="1134" w:type="dxa"/>
            <w:tcBorders>
              <w:top w:val="single" w:sz="2" w:space="0" w:color="auto"/>
              <w:left w:val="single" w:sz="2" w:space="0" w:color="auto"/>
              <w:bottom w:val="single" w:sz="2" w:space="0" w:color="auto"/>
              <w:right w:val="single" w:sz="2" w:space="0" w:color="auto"/>
            </w:tcBorders>
            <w:vAlign w:val="center"/>
          </w:tcPr>
          <w:p w14:paraId="5249677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512461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1,005,738.40</w:t>
            </w:r>
          </w:p>
        </w:tc>
        <w:tc>
          <w:tcPr>
            <w:tcW w:w="992" w:type="dxa"/>
            <w:tcBorders>
              <w:top w:val="single" w:sz="2" w:space="0" w:color="auto"/>
              <w:left w:val="single" w:sz="2" w:space="0" w:color="auto"/>
              <w:bottom w:val="single" w:sz="2" w:space="0" w:color="auto"/>
              <w:right w:val="single" w:sz="2" w:space="0" w:color="auto"/>
            </w:tcBorders>
            <w:vAlign w:val="center"/>
          </w:tcPr>
          <w:p w14:paraId="0918041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7961225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E6E805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1,005,738.40</w:t>
            </w:r>
          </w:p>
        </w:tc>
        <w:tc>
          <w:tcPr>
            <w:tcW w:w="708" w:type="dxa"/>
            <w:tcBorders>
              <w:top w:val="single" w:sz="2" w:space="0" w:color="auto"/>
              <w:left w:val="single" w:sz="2" w:space="0" w:color="auto"/>
              <w:bottom w:val="single" w:sz="2" w:space="0" w:color="auto"/>
              <w:right w:val="single" w:sz="2" w:space="0" w:color="auto"/>
            </w:tcBorders>
            <w:vAlign w:val="center"/>
          </w:tcPr>
          <w:p w14:paraId="103DD69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83.12%</w:t>
            </w:r>
          </w:p>
        </w:tc>
        <w:tc>
          <w:tcPr>
            <w:tcW w:w="567" w:type="dxa"/>
            <w:tcBorders>
              <w:top w:val="single" w:sz="2" w:space="0" w:color="auto"/>
              <w:left w:val="single" w:sz="2" w:space="0" w:color="auto"/>
              <w:bottom w:val="single" w:sz="2" w:space="0" w:color="auto"/>
              <w:right w:val="single" w:sz="2" w:space="0" w:color="auto"/>
            </w:tcBorders>
            <w:vAlign w:val="center"/>
          </w:tcPr>
          <w:p w14:paraId="2F5DD13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0.85</w:t>
            </w:r>
          </w:p>
        </w:tc>
        <w:tc>
          <w:tcPr>
            <w:tcW w:w="851" w:type="dxa"/>
            <w:tcBorders>
              <w:top w:val="single" w:sz="2" w:space="0" w:color="auto"/>
              <w:left w:val="single" w:sz="2" w:space="0" w:color="auto"/>
              <w:bottom w:val="single" w:sz="2" w:space="0" w:color="auto"/>
              <w:right w:val="single" w:sz="2" w:space="0" w:color="auto"/>
            </w:tcBorders>
            <w:vAlign w:val="center"/>
          </w:tcPr>
          <w:p w14:paraId="3D3028E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7B9F3F9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758BF0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12A6658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2927E675"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1DE7063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光山猪场</w:t>
            </w: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期环控器技术改造项目</w:t>
            </w:r>
          </w:p>
        </w:tc>
        <w:tc>
          <w:tcPr>
            <w:tcW w:w="1134" w:type="dxa"/>
            <w:tcBorders>
              <w:top w:val="single" w:sz="2" w:space="0" w:color="auto"/>
              <w:left w:val="single" w:sz="2" w:space="0" w:color="auto"/>
              <w:bottom w:val="single" w:sz="2" w:space="0" w:color="auto"/>
              <w:right w:val="single" w:sz="2" w:space="0" w:color="auto"/>
            </w:tcBorders>
            <w:vAlign w:val="center"/>
          </w:tcPr>
          <w:p w14:paraId="42E63B6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87,000.00</w:t>
            </w:r>
          </w:p>
        </w:tc>
        <w:tc>
          <w:tcPr>
            <w:tcW w:w="1134" w:type="dxa"/>
            <w:tcBorders>
              <w:top w:val="single" w:sz="2" w:space="0" w:color="auto"/>
              <w:left w:val="single" w:sz="2" w:space="0" w:color="auto"/>
              <w:bottom w:val="single" w:sz="2" w:space="0" w:color="auto"/>
              <w:right w:val="single" w:sz="2" w:space="0" w:color="auto"/>
            </w:tcBorders>
            <w:vAlign w:val="center"/>
          </w:tcPr>
          <w:p w14:paraId="1581CCF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2F9FE9F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69,600.00</w:t>
            </w:r>
          </w:p>
        </w:tc>
        <w:tc>
          <w:tcPr>
            <w:tcW w:w="992" w:type="dxa"/>
            <w:tcBorders>
              <w:top w:val="single" w:sz="2" w:space="0" w:color="auto"/>
              <w:left w:val="single" w:sz="2" w:space="0" w:color="auto"/>
              <w:bottom w:val="single" w:sz="2" w:space="0" w:color="auto"/>
              <w:right w:val="single" w:sz="2" w:space="0" w:color="auto"/>
            </w:tcBorders>
            <w:vAlign w:val="center"/>
          </w:tcPr>
          <w:p w14:paraId="24DF1C8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1E55DCD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F067C6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69,600.00</w:t>
            </w:r>
          </w:p>
        </w:tc>
        <w:tc>
          <w:tcPr>
            <w:tcW w:w="708" w:type="dxa"/>
            <w:tcBorders>
              <w:top w:val="single" w:sz="2" w:space="0" w:color="auto"/>
              <w:left w:val="single" w:sz="2" w:space="0" w:color="auto"/>
              <w:bottom w:val="single" w:sz="2" w:space="0" w:color="auto"/>
              <w:right w:val="single" w:sz="2" w:space="0" w:color="auto"/>
            </w:tcBorders>
            <w:vAlign w:val="center"/>
          </w:tcPr>
          <w:p w14:paraId="16E0244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80.00%</w:t>
            </w:r>
          </w:p>
        </w:tc>
        <w:tc>
          <w:tcPr>
            <w:tcW w:w="567" w:type="dxa"/>
            <w:tcBorders>
              <w:top w:val="single" w:sz="2" w:space="0" w:color="auto"/>
              <w:left w:val="single" w:sz="2" w:space="0" w:color="auto"/>
              <w:bottom w:val="single" w:sz="2" w:space="0" w:color="auto"/>
              <w:right w:val="single" w:sz="2" w:space="0" w:color="auto"/>
            </w:tcBorders>
            <w:vAlign w:val="center"/>
          </w:tcPr>
          <w:p w14:paraId="2FDCD15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0.95</w:t>
            </w:r>
          </w:p>
        </w:tc>
        <w:tc>
          <w:tcPr>
            <w:tcW w:w="851" w:type="dxa"/>
            <w:tcBorders>
              <w:top w:val="single" w:sz="2" w:space="0" w:color="auto"/>
              <w:left w:val="single" w:sz="2" w:space="0" w:color="auto"/>
              <w:bottom w:val="single" w:sz="2" w:space="0" w:color="auto"/>
              <w:right w:val="single" w:sz="2" w:space="0" w:color="auto"/>
            </w:tcBorders>
            <w:vAlign w:val="center"/>
          </w:tcPr>
          <w:p w14:paraId="4557179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3931162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B2AF01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294A799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5C21E322"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7AC0E45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崔格庄猪场风机改造项目</w:t>
            </w:r>
          </w:p>
        </w:tc>
        <w:tc>
          <w:tcPr>
            <w:tcW w:w="1134" w:type="dxa"/>
            <w:tcBorders>
              <w:top w:val="single" w:sz="2" w:space="0" w:color="auto"/>
              <w:left w:val="single" w:sz="2" w:space="0" w:color="auto"/>
              <w:bottom w:val="single" w:sz="2" w:space="0" w:color="auto"/>
              <w:right w:val="single" w:sz="2" w:space="0" w:color="auto"/>
            </w:tcBorders>
            <w:vAlign w:val="center"/>
          </w:tcPr>
          <w:p w14:paraId="5505465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149,000.00</w:t>
            </w:r>
          </w:p>
        </w:tc>
        <w:tc>
          <w:tcPr>
            <w:tcW w:w="1134" w:type="dxa"/>
            <w:tcBorders>
              <w:top w:val="single" w:sz="2" w:space="0" w:color="auto"/>
              <w:left w:val="single" w:sz="2" w:space="0" w:color="auto"/>
              <w:bottom w:val="single" w:sz="2" w:space="0" w:color="auto"/>
              <w:right w:val="single" w:sz="2" w:space="0" w:color="auto"/>
            </w:tcBorders>
            <w:vAlign w:val="center"/>
          </w:tcPr>
          <w:p w14:paraId="46680B9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20924C9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119,200.00</w:t>
            </w:r>
          </w:p>
        </w:tc>
        <w:tc>
          <w:tcPr>
            <w:tcW w:w="992" w:type="dxa"/>
            <w:tcBorders>
              <w:top w:val="single" w:sz="2" w:space="0" w:color="auto"/>
              <w:left w:val="single" w:sz="2" w:space="0" w:color="auto"/>
              <w:bottom w:val="single" w:sz="2" w:space="0" w:color="auto"/>
              <w:right w:val="single" w:sz="2" w:space="0" w:color="auto"/>
            </w:tcBorders>
            <w:vAlign w:val="center"/>
          </w:tcPr>
          <w:p w14:paraId="2792274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2CF9E5D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9F396D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119,200.00</w:t>
            </w:r>
          </w:p>
        </w:tc>
        <w:tc>
          <w:tcPr>
            <w:tcW w:w="708" w:type="dxa"/>
            <w:tcBorders>
              <w:top w:val="single" w:sz="2" w:space="0" w:color="auto"/>
              <w:left w:val="single" w:sz="2" w:space="0" w:color="auto"/>
              <w:bottom w:val="single" w:sz="2" w:space="0" w:color="auto"/>
              <w:right w:val="single" w:sz="2" w:space="0" w:color="auto"/>
            </w:tcBorders>
            <w:vAlign w:val="center"/>
          </w:tcPr>
          <w:p w14:paraId="60EF7EB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80.00%</w:t>
            </w:r>
          </w:p>
        </w:tc>
        <w:tc>
          <w:tcPr>
            <w:tcW w:w="567" w:type="dxa"/>
            <w:tcBorders>
              <w:top w:val="single" w:sz="2" w:space="0" w:color="auto"/>
              <w:left w:val="single" w:sz="2" w:space="0" w:color="auto"/>
              <w:bottom w:val="single" w:sz="2" w:space="0" w:color="auto"/>
              <w:right w:val="single" w:sz="2" w:space="0" w:color="auto"/>
            </w:tcBorders>
            <w:vAlign w:val="center"/>
          </w:tcPr>
          <w:p w14:paraId="5EDE0C6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0.9</w:t>
            </w:r>
          </w:p>
        </w:tc>
        <w:tc>
          <w:tcPr>
            <w:tcW w:w="851" w:type="dxa"/>
            <w:tcBorders>
              <w:top w:val="single" w:sz="2" w:space="0" w:color="auto"/>
              <w:left w:val="single" w:sz="2" w:space="0" w:color="auto"/>
              <w:bottom w:val="single" w:sz="2" w:space="0" w:color="auto"/>
              <w:right w:val="single" w:sz="2" w:space="0" w:color="auto"/>
            </w:tcBorders>
            <w:vAlign w:val="center"/>
          </w:tcPr>
          <w:p w14:paraId="078F7D6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26CB918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6A9B5E4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657BDED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4DFDF970"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1B136C3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团旺饲料厂监控设备安装项目</w:t>
            </w:r>
          </w:p>
        </w:tc>
        <w:tc>
          <w:tcPr>
            <w:tcW w:w="1134" w:type="dxa"/>
            <w:tcBorders>
              <w:top w:val="single" w:sz="2" w:space="0" w:color="auto"/>
              <w:left w:val="single" w:sz="2" w:space="0" w:color="auto"/>
              <w:bottom w:val="single" w:sz="2" w:space="0" w:color="auto"/>
              <w:right w:val="single" w:sz="2" w:space="0" w:color="auto"/>
            </w:tcBorders>
            <w:vAlign w:val="center"/>
          </w:tcPr>
          <w:p w14:paraId="532A494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54,500.00</w:t>
            </w:r>
          </w:p>
        </w:tc>
        <w:tc>
          <w:tcPr>
            <w:tcW w:w="1134" w:type="dxa"/>
            <w:tcBorders>
              <w:top w:val="single" w:sz="2" w:space="0" w:color="auto"/>
              <w:left w:val="single" w:sz="2" w:space="0" w:color="auto"/>
              <w:bottom w:val="single" w:sz="2" w:space="0" w:color="auto"/>
              <w:right w:val="single" w:sz="2" w:space="0" w:color="auto"/>
            </w:tcBorders>
            <w:vAlign w:val="center"/>
          </w:tcPr>
          <w:p w14:paraId="184ADCF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0B0C19A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43,542.00</w:t>
            </w:r>
          </w:p>
        </w:tc>
        <w:tc>
          <w:tcPr>
            <w:tcW w:w="992" w:type="dxa"/>
            <w:tcBorders>
              <w:top w:val="single" w:sz="2" w:space="0" w:color="auto"/>
              <w:left w:val="single" w:sz="2" w:space="0" w:color="auto"/>
              <w:bottom w:val="single" w:sz="2" w:space="0" w:color="auto"/>
              <w:right w:val="single" w:sz="2" w:space="0" w:color="auto"/>
            </w:tcBorders>
            <w:vAlign w:val="center"/>
          </w:tcPr>
          <w:p w14:paraId="6A418D7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6FDCC79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3E3243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43,542.00</w:t>
            </w:r>
          </w:p>
        </w:tc>
        <w:tc>
          <w:tcPr>
            <w:tcW w:w="708" w:type="dxa"/>
            <w:tcBorders>
              <w:top w:val="single" w:sz="2" w:space="0" w:color="auto"/>
              <w:left w:val="single" w:sz="2" w:space="0" w:color="auto"/>
              <w:bottom w:val="single" w:sz="2" w:space="0" w:color="auto"/>
              <w:right w:val="single" w:sz="2" w:space="0" w:color="auto"/>
            </w:tcBorders>
            <w:vAlign w:val="center"/>
          </w:tcPr>
          <w:p w14:paraId="3BF0F26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79.89%</w:t>
            </w:r>
          </w:p>
        </w:tc>
        <w:tc>
          <w:tcPr>
            <w:tcW w:w="567" w:type="dxa"/>
            <w:tcBorders>
              <w:top w:val="single" w:sz="2" w:space="0" w:color="auto"/>
              <w:left w:val="single" w:sz="2" w:space="0" w:color="auto"/>
              <w:bottom w:val="single" w:sz="2" w:space="0" w:color="auto"/>
              <w:right w:val="single" w:sz="2" w:space="0" w:color="auto"/>
            </w:tcBorders>
            <w:vAlign w:val="center"/>
          </w:tcPr>
          <w:p w14:paraId="25910C0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0.95</w:t>
            </w:r>
          </w:p>
        </w:tc>
        <w:tc>
          <w:tcPr>
            <w:tcW w:w="851" w:type="dxa"/>
            <w:tcBorders>
              <w:top w:val="single" w:sz="2" w:space="0" w:color="auto"/>
              <w:left w:val="single" w:sz="2" w:space="0" w:color="auto"/>
              <w:bottom w:val="single" w:sz="2" w:space="0" w:color="auto"/>
              <w:right w:val="single" w:sz="2" w:space="0" w:color="auto"/>
            </w:tcBorders>
            <w:vAlign w:val="center"/>
          </w:tcPr>
          <w:p w14:paraId="4887268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03DD2B6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6D6267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708F8C1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4CAAFAB0"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2357289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西饲料厂膨化设备及安装项目</w:t>
            </w:r>
          </w:p>
        </w:tc>
        <w:tc>
          <w:tcPr>
            <w:tcW w:w="1134" w:type="dxa"/>
            <w:tcBorders>
              <w:top w:val="single" w:sz="2" w:space="0" w:color="auto"/>
              <w:left w:val="single" w:sz="2" w:space="0" w:color="auto"/>
              <w:bottom w:val="single" w:sz="2" w:space="0" w:color="auto"/>
              <w:right w:val="single" w:sz="2" w:space="0" w:color="auto"/>
            </w:tcBorders>
            <w:vAlign w:val="center"/>
          </w:tcPr>
          <w:p w14:paraId="61BDCA3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1,980,000.00</w:t>
            </w:r>
          </w:p>
        </w:tc>
        <w:tc>
          <w:tcPr>
            <w:tcW w:w="1134" w:type="dxa"/>
            <w:tcBorders>
              <w:top w:val="single" w:sz="2" w:space="0" w:color="auto"/>
              <w:left w:val="single" w:sz="2" w:space="0" w:color="auto"/>
              <w:bottom w:val="single" w:sz="2" w:space="0" w:color="auto"/>
              <w:right w:val="single" w:sz="2" w:space="0" w:color="auto"/>
            </w:tcBorders>
            <w:vAlign w:val="center"/>
          </w:tcPr>
          <w:p w14:paraId="4903FFF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397E977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396,000.00</w:t>
            </w:r>
          </w:p>
        </w:tc>
        <w:tc>
          <w:tcPr>
            <w:tcW w:w="992" w:type="dxa"/>
            <w:tcBorders>
              <w:top w:val="single" w:sz="2" w:space="0" w:color="auto"/>
              <w:left w:val="single" w:sz="2" w:space="0" w:color="auto"/>
              <w:bottom w:val="single" w:sz="2" w:space="0" w:color="auto"/>
              <w:right w:val="single" w:sz="2" w:space="0" w:color="auto"/>
            </w:tcBorders>
            <w:vAlign w:val="center"/>
          </w:tcPr>
          <w:p w14:paraId="4885A50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4A1977A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E1027A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396,000.00</w:t>
            </w:r>
          </w:p>
        </w:tc>
        <w:tc>
          <w:tcPr>
            <w:tcW w:w="708" w:type="dxa"/>
            <w:tcBorders>
              <w:top w:val="single" w:sz="2" w:space="0" w:color="auto"/>
              <w:left w:val="single" w:sz="2" w:space="0" w:color="auto"/>
              <w:bottom w:val="single" w:sz="2" w:space="0" w:color="auto"/>
              <w:right w:val="single" w:sz="2" w:space="0" w:color="auto"/>
            </w:tcBorders>
            <w:vAlign w:val="center"/>
          </w:tcPr>
          <w:p w14:paraId="5CCDC6F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20.00%</w:t>
            </w:r>
          </w:p>
        </w:tc>
        <w:tc>
          <w:tcPr>
            <w:tcW w:w="567" w:type="dxa"/>
            <w:tcBorders>
              <w:top w:val="single" w:sz="2" w:space="0" w:color="auto"/>
              <w:left w:val="single" w:sz="2" w:space="0" w:color="auto"/>
              <w:bottom w:val="single" w:sz="2" w:space="0" w:color="auto"/>
              <w:right w:val="single" w:sz="2" w:space="0" w:color="auto"/>
            </w:tcBorders>
            <w:vAlign w:val="center"/>
          </w:tcPr>
          <w:p w14:paraId="5D56223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0.6</w:t>
            </w:r>
          </w:p>
        </w:tc>
        <w:tc>
          <w:tcPr>
            <w:tcW w:w="851" w:type="dxa"/>
            <w:tcBorders>
              <w:top w:val="single" w:sz="2" w:space="0" w:color="auto"/>
              <w:left w:val="single" w:sz="2" w:space="0" w:color="auto"/>
              <w:bottom w:val="single" w:sz="2" w:space="0" w:color="auto"/>
              <w:right w:val="single" w:sz="2" w:space="0" w:color="auto"/>
            </w:tcBorders>
            <w:vAlign w:val="center"/>
          </w:tcPr>
          <w:p w14:paraId="4C6C15F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9945B9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7B8B3B3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276AF0F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61D0575B"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56600C4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烘干设备</w:t>
            </w:r>
          </w:p>
        </w:tc>
        <w:tc>
          <w:tcPr>
            <w:tcW w:w="1134" w:type="dxa"/>
            <w:tcBorders>
              <w:top w:val="single" w:sz="2" w:space="0" w:color="auto"/>
              <w:left w:val="single" w:sz="2" w:space="0" w:color="auto"/>
              <w:bottom w:val="single" w:sz="2" w:space="0" w:color="auto"/>
              <w:right w:val="single" w:sz="2" w:space="0" w:color="auto"/>
            </w:tcBorders>
            <w:vAlign w:val="center"/>
          </w:tcPr>
          <w:p w14:paraId="3DC4C20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69,500.00</w:t>
            </w:r>
          </w:p>
        </w:tc>
        <w:tc>
          <w:tcPr>
            <w:tcW w:w="1134" w:type="dxa"/>
            <w:tcBorders>
              <w:top w:val="single" w:sz="2" w:space="0" w:color="auto"/>
              <w:left w:val="single" w:sz="2" w:space="0" w:color="auto"/>
              <w:bottom w:val="single" w:sz="2" w:space="0" w:color="auto"/>
              <w:right w:val="single" w:sz="2" w:space="0" w:color="auto"/>
            </w:tcBorders>
            <w:vAlign w:val="center"/>
          </w:tcPr>
          <w:p w14:paraId="40559C5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66,025.00</w:t>
            </w:r>
          </w:p>
        </w:tc>
        <w:tc>
          <w:tcPr>
            <w:tcW w:w="992" w:type="dxa"/>
            <w:tcBorders>
              <w:top w:val="single" w:sz="2" w:space="0" w:color="auto"/>
              <w:left w:val="single" w:sz="2" w:space="0" w:color="auto"/>
              <w:bottom w:val="single" w:sz="2" w:space="0" w:color="auto"/>
              <w:right w:val="single" w:sz="2" w:space="0" w:color="auto"/>
            </w:tcBorders>
            <w:vAlign w:val="center"/>
          </w:tcPr>
          <w:p w14:paraId="2F5C1FE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7C40E0B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5FFAD49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4BA1FD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66,025.00</w:t>
            </w:r>
          </w:p>
        </w:tc>
        <w:tc>
          <w:tcPr>
            <w:tcW w:w="708" w:type="dxa"/>
            <w:tcBorders>
              <w:top w:val="single" w:sz="2" w:space="0" w:color="auto"/>
              <w:left w:val="single" w:sz="2" w:space="0" w:color="auto"/>
              <w:bottom w:val="single" w:sz="2" w:space="0" w:color="auto"/>
              <w:right w:val="single" w:sz="2" w:space="0" w:color="auto"/>
            </w:tcBorders>
            <w:vAlign w:val="center"/>
          </w:tcPr>
          <w:p w14:paraId="6364281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95.00%</w:t>
            </w:r>
          </w:p>
        </w:tc>
        <w:tc>
          <w:tcPr>
            <w:tcW w:w="567" w:type="dxa"/>
            <w:tcBorders>
              <w:top w:val="single" w:sz="2" w:space="0" w:color="auto"/>
              <w:left w:val="single" w:sz="2" w:space="0" w:color="auto"/>
              <w:bottom w:val="single" w:sz="2" w:space="0" w:color="auto"/>
              <w:right w:val="single" w:sz="2" w:space="0" w:color="auto"/>
            </w:tcBorders>
            <w:vAlign w:val="center"/>
          </w:tcPr>
          <w:p w14:paraId="1461C70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0.96</w:t>
            </w:r>
          </w:p>
        </w:tc>
        <w:tc>
          <w:tcPr>
            <w:tcW w:w="851" w:type="dxa"/>
            <w:tcBorders>
              <w:top w:val="single" w:sz="2" w:space="0" w:color="auto"/>
              <w:left w:val="single" w:sz="2" w:space="0" w:color="auto"/>
              <w:bottom w:val="single" w:sz="2" w:space="0" w:color="auto"/>
              <w:right w:val="single" w:sz="2" w:space="0" w:color="auto"/>
            </w:tcBorders>
            <w:vAlign w:val="center"/>
          </w:tcPr>
          <w:p w14:paraId="061E246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4D664AD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6853183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56D5C41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44527AC5"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10B4365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苟格庄猪场消纳水管道建设安装工程</w:t>
            </w:r>
          </w:p>
        </w:tc>
        <w:tc>
          <w:tcPr>
            <w:tcW w:w="1134" w:type="dxa"/>
            <w:tcBorders>
              <w:top w:val="single" w:sz="2" w:space="0" w:color="auto"/>
              <w:left w:val="single" w:sz="2" w:space="0" w:color="auto"/>
              <w:bottom w:val="single" w:sz="2" w:space="0" w:color="auto"/>
              <w:right w:val="single" w:sz="2" w:space="0" w:color="auto"/>
            </w:tcBorders>
            <w:vAlign w:val="center"/>
          </w:tcPr>
          <w:p w14:paraId="6C94AFB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960,000.00</w:t>
            </w:r>
          </w:p>
        </w:tc>
        <w:tc>
          <w:tcPr>
            <w:tcW w:w="1134" w:type="dxa"/>
            <w:tcBorders>
              <w:top w:val="single" w:sz="2" w:space="0" w:color="auto"/>
              <w:left w:val="single" w:sz="2" w:space="0" w:color="auto"/>
              <w:bottom w:val="single" w:sz="2" w:space="0" w:color="auto"/>
              <w:right w:val="single" w:sz="2" w:space="0" w:color="auto"/>
            </w:tcBorders>
            <w:vAlign w:val="center"/>
          </w:tcPr>
          <w:p w14:paraId="1F260E1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794,000.00</w:t>
            </w:r>
          </w:p>
        </w:tc>
        <w:tc>
          <w:tcPr>
            <w:tcW w:w="992" w:type="dxa"/>
            <w:tcBorders>
              <w:top w:val="single" w:sz="2" w:space="0" w:color="auto"/>
              <w:left w:val="single" w:sz="2" w:space="0" w:color="auto"/>
              <w:bottom w:val="single" w:sz="2" w:space="0" w:color="auto"/>
              <w:right w:val="single" w:sz="2" w:space="0" w:color="auto"/>
            </w:tcBorders>
            <w:vAlign w:val="center"/>
          </w:tcPr>
          <w:p w14:paraId="11F6957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213,555.99</w:t>
            </w:r>
          </w:p>
        </w:tc>
        <w:tc>
          <w:tcPr>
            <w:tcW w:w="992" w:type="dxa"/>
            <w:tcBorders>
              <w:top w:val="single" w:sz="2" w:space="0" w:color="auto"/>
              <w:left w:val="single" w:sz="2" w:space="0" w:color="auto"/>
              <w:bottom w:val="single" w:sz="2" w:space="0" w:color="auto"/>
              <w:right w:val="single" w:sz="2" w:space="0" w:color="auto"/>
            </w:tcBorders>
            <w:vAlign w:val="center"/>
          </w:tcPr>
          <w:p w14:paraId="3BD1CB2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1,007,555.99</w:t>
            </w:r>
          </w:p>
        </w:tc>
        <w:tc>
          <w:tcPr>
            <w:tcW w:w="426" w:type="dxa"/>
            <w:tcBorders>
              <w:top w:val="single" w:sz="2" w:space="0" w:color="auto"/>
              <w:left w:val="single" w:sz="2" w:space="0" w:color="auto"/>
              <w:bottom w:val="single" w:sz="2" w:space="0" w:color="auto"/>
              <w:right w:val="single" w:sz="2" w:space="0" w:color="auto"/>
            </w:tcBorders>
            <w:vAlign w:val="center"/>
          </w:tcPr>
          <w:p w14:paraId="7A6B82D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9874C9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708" w:type="dxa"/>
            <w:tcBorders>
              <w:top w:val="single" w:sz="2" w:space="0" w:color="auto"/>
              <w:left w:val="single" w:sz="2" w:space="0" w:color="auto"/>
              <w:bottom w:val="single" w:sz="2" w:space="0" w:color="auto"/>
              <w:right w:val="single" w:sz="2" w:space="0" w:color="auto"/>
            </w:tcBorders>
            <w:vAlign w:val="center"/>
          </w:tcPr>
          <w:p w14:paraId="2693336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104.95%</w:t>
            </w:r>
          </w:p>
        </w:tc>
        <w:tc>
          <w:tcPr>
            <w:tcW w:w="567" w:type="dxa"/>
            <w:tcBorders>
              <w:top w:val="single" w:sz="2" w:space="0" w:color="auto"/>
              <w:left w:val="single" w:sz="2" w:space="0" w:color="auto"/>
              <w:bottom w:val="single" w:sz="2" w:space="0" w:color="auto"/>
              <w:right w:val="single" w:sz="2" w:space="0" w:color="auto"/>
            </w:tcBorders>
            <w:vAlign w:val="center"/>
          </w:tcPr>
          <w:p w14:paraId="782890E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p>
        </w:tc>
        <w:tc>
          <w:tcPr>
            <w:tcW w:w="851" w:type="dxa"/>
            <w:tcBorders>
              <w:top w:val="single" w:sz="2" w:space="0" w:color="auto"/>
              <w:left w:val="single" w:sz="2" w:space="0" w:color="auto"/>
              <w:bottom w:val="single" w:sz="2" w:space="0" w:color="auto"/>
              <w:right w:val="single" w:sz="2" w:space="0" w:color="auto"/>
            </w:tcBorders>
            <w:vAlign w:val="center"/>
          </w:tcPr>
          <w:p w14:paraId="474B992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3A3F3FA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77A361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16793E2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募集资金</w:t>
            </w:r>
          </w:p>
        </w:tc>
      </w:tr>
      <w:tr w:rsidR="005E1317" w:rsidRPr="005A284F" w14:paraId="30C5ACCC"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2B3CA32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苟格庄分娩舍粪沟防水处理</w:t>
            </w:r>
          </w:p>
        </w:tc>
        <w:tc>
          <w:tcPr>
            <w:tcW w:w="1134" w:type="dxa"/>
            <w:tcBorders>
              <w:top w:val="single" w:sz="2" w:space="0" w:color="auto"/>
              <w:left w:val="single" w:sz="2" w:space="0" w:color="auto"/>
              <w:bottom w:val="single" w:sz="2" w:space="0" w:color="auto"/>
              <w:right w:val="single" w:sz="2" w:space="0" w:color="auto"/>
            </w:tcBorders>
            <w:vAlign w:val="center"/>
          </w:tcPr>
          <w:p w14:paraId="504C8D0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260,000.00</w:t>
            </w:r>
          </w:p>
        </w:tc>
        <w:tc>
          <w:tcPr>
            <w:tcW w:w="1134" w:type="dxa"/>
            <w:tcBorders>
              <w:top w:val="single" w:sz="2" w:space="0" w:color="auto"/>
              <w:left w:val="single" w:sz="2" w:space="0" w:color="auto"/>
              <w:bottom w:val="single" w:sz="2" w:space="0" w:color="auto"/>
              <w:right w:val="single" w:sz="2" w:space="0" w:color="auto"/>
            </w:tcBorders>
            <w:vAlign w:val="center"/>
          </w:tcPr>
          <w:p w14:paraId="23CB084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49,160.08</w:t>
            </w:r>
          </w:p>
        </w:tc>
        <w:tc>
          <w:tcPr>
            <w:tcW w:w="992" w:type="dxa"/>
            <w:tcBorders>
              <w:top w:val="single" w:sz="2" w:space="0" w:color="auto"/>
              <w:left w:val="single" w:sz="2" w:space="0" w:color="auto"/>
              <w:bottom w:val="single" w:sz="2" w:space="0" w:color="auto"/>
              <w:right w:val="single" w:sz="2" w:space="0" w:color="auto"/>
            </w:tcBorders>
            <w:vAlign w:val="center"/>
          </w:tcPr>
          <w:p w14:paraId="3F0A6C1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159,038.00</w:t>
            </w:r>
          </w:p>
        </w:tc>
        <w:tc>
          <w:tcPr>
            <w:tcW w:w="992" w:type="dxa"/>
            <w:tcBorders>
              <w:top w:val="single" w:sz="2" w:space="0" w:color="auto"/>
              <w:left w:val="single" w:sz="2" w:space="0" w:color="auto"/>
              <w:bottom w:val="single" w:sz="2" w:space="0" w:color="auto"/>
              <w:right w:val="single" w:sz="2" w:space="0" w:color="auto"/>
            </w:tcBorders>
            <w:vAlign w:val="center"/>
          </w:tcPr>
          <w:p w14:paraId="0DE2248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379EEA1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6863E0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208,198.08</w:t>
            </w:r>
          </w:p>
        </w:tc>
        <w:tc>
          <w:tcPr>
            <w:tcW w:w="708" w:type="dxa"/>
            <w:tcBorders>
              <w:top w:val="single" w:sz="2" w:space="0" w:color="auto"/>
              <w:left w:val="single" w:sz="2" w:space="0" w:color="auto"/>
              <w:bottom w:val="single" w:sz="2" w:space="0" w:color="auto"/>
              <w:right w:val="single" w:sz="2" w:space="0" w:color="auto"/>
            </w:tcBorders>
            <w:vAlign w:val="center"/>
          </w:tcPr>
          <w:p w14:paraId="47077B8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80.08%</w:t>
            </w:r>
          </w:p>
        </w:tc>
        <w:tc>
          <w:tcPr>
            <w:tcW w:w="567" w:type="dxa"/>
            <w:tcBorders>
              <w:top w:val="single" w:sz="2" w:space="0" w:color="auto"/>
              <w:left w:val="single" w:sz="2" w:space="0" w:color="auto"/>
              <w:bottom w:val="single" w:sz="2" w:space="0" w:color="auto"/>
              <w:right w:val="single" w:sz="2" w:space="0" w:color="auto"/>
            </w:tcBorders>
            <w:vAlign w:val="center"/>
          </w:tcPr>
          <w:p w14:paraId="051B893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0.8</w:t>
            </w:r>
          </w:p>
        </w:tc>
        <w:tc>
          <w:tcPr>
            <w:tcW w:w="851" w:type="dxa"/>
            <w:tcBorders>
              <w:top w:val="single" w:sz="2" w:space="0" w:color="auto"/>
              <w:left w:val="single" w:sz="2" w:space="0" w:color="auto"/>
              <w:bottom w:val="single" w:sz="2" w:space="0" w:color="auto"/>
              <w:right w:val="single" w:sz="2" w:space="0" w:color="auto"/>
            </w:tcBorders>
            <w:vAlign w:val="center"/>
          </w:tcPr>
          <w:p w14:paraId="0C6CF22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4A91B75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332D51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60261A2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募集资金</w:t>
            </w:r>
          </w:p>
        </w:tc>
      </w:tr>
      <w:tr w:rsidR="005E1317" w:rsidRPr="005A284F" w14:paraId="76576678"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2A82E02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苟格庄猪场污水站</w:t>
            </w:r>
          </w:p>
        </w:tc>
        <w:tc>
          <w:tcPr>
            <w:tcW w:w="1134" w:type="dxa"/>
            <w:tcBorders>
              <w:top w:val="single" w:sz="2" w:space="0" w:color="auto"/>
              <w:left w:val="single" w:sz="2" w:space="0" w:color="auto"/>
              <w:bottom w:val="single" w:sz="2" w:space="0" w:color="auto"/>
              <w:right w:val="single" w:sz="2" w:space="0" w:color="auto"/>
            </w:tcBorders>
            <w:vAlign w:val="center"/>
          </w:tcPr>
          <w:p w14:paraId="79DE346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11,230,000.00</w:t>
            </w:r>
          </w:p>
        </w:tc>
        <w:tc>
          <w:tcPr>
            <w:tcW w:w="1134" w:type="dxa"/>
            <w:tcBorders>
              <w:top w:val="single" w:sz="2" w:space="0" w:color="auto"/>
              <w:left w:val="single" w:sz="2" w:space="0" w:color="auto"/>
              <w:bottom w:val="single" w:sz="2" w:space="0" w:color="auto"/>
              <w:right w:val="single" w:sz="2" w:space="0" w:color="auto"/>
            </w:tcBorders>
            <w:vAlign w:val="center"/>
          </w:tcPr>
          <w:p w14:paraId="5C8D0D0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2A3A065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436,957.70</w:t>
            </w:r>
          </w:p>
        </w:tc>
        <w:tc>
          <w:tcPr>
            <w:tcW w:w="992" w:type="dxa"/>
            <w:tcBorders>
              <w:top w:val="single" w:sz="2" w:space="0" w:color="auto"/>
              <w:left w:val="single" w:sz="2" w:space="0" w:color="auto"/>
              <w:bottom w:val="single" w:sz="2" w:space="0" w:color="auto"/>
              <w:right w:val="single" w:sz="2" w:space="0" w:color="auto"/>
            </w:tcBorders>
            <w:vAlign w:val="center"/>
          </w:tcPr>
          <w:p w14:paraId="0F11D29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39C8609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72E5F1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436,957.70</w:t>
            </w:r>
          </w:p>
        </w:tc>
        <w:tc>
          <w:tcPr>
            <w:tcW w:w="708" w:type="dxa"/>
            <w:tcBorders>
              <w:top w:val="single" w:sz="2" w:space="0" w:color="auto"/>
              <w:left w:val="single" w:sz="2" w:space="0" w:color="auto"/>
              <w:bottom w:val="single" w:sz="2" w:space="0" w:color="auto"/>
              <w:right w:val="single" w:sz="2" w:space="0" w:color="auto"/>
            </w:tcBorders>
            <w:vAlign w:val="center"/>
          </w:tcPr>
          <w:p w14:paraId="2903C8B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94.75%</w:t>
            </w:r>
          </w:p>
        </w:tc>
        <w:tc>
          <w:tcPr>
            <w:tcW w:w="567" w:type="dxa"/>
            <w:tcBorders>
              <w:top w:val="single" w:sz="2" w:space="0" w:color="auto"/>
              <w:left w:val="single" w:sz="2" w:space="0" w:color="auto"/>
              <w:bottom w:val="single" w:sz="2" w:space="0" w:color="auto"/>
              <w:right w:val="single" w:sz="2" w:space="0" w:color="auto"/>
            </w:tcBorders>
            <w:vAlign w:val="center"/>
          </w:tcPr>
          <w:p w14:paraId="1137942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0.99</w:t>
            </w:r>
          </w:p>
        </w:tc>
        <w:tc>
          <w:tcPr>
            <w:tcW w:w="851" w:type="dxa"/>
            <w:tcBorders>
              <w:top w:val="single" w:sz="2" w:space="0" w:color="auto"/>
              <w:left w:val="single" w:sz="2" w:space="0" w:color="auto"/>
              <w:bottom w:val="single" w:sz="2" w:space="0" w:color="auto"/>
              <w:right w:val="single" w:sz="2" w:space="0" w:color="auto"/>
            </w:tcBorders>
            <w:vAlign w:val="center"/>
          </w:tcPr>
          <w:p w14:paraId="1C3C8D0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59FB9AC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46E0F4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2D4CCCB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募集资金</w:t>
            </w:r>
          </w:p>
        </w:tc>
      </w:tr>
      <w:tr w:rsidR="005E1317" w:rsidRPr="005A284F" w14:paraId="6D26E4EF"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1202F47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苟格庄空气过滤设备安装</w:t>
            </w:r>
          </w:p>
        </w:tc>
        <w:tc>
          <w:tcPr>
            <w:tcW w:w="1134" w:type="dxa"/>
            <w:tcBorders>
              <w:top w:val="single" w:sz="2" w:space="0" w:color="auto"/>
              <w:left w:val="single" w:sz="2" w:space="0" w:color="auto"/>
              <w:bottom w:val="single" w:sz="2" w:space="0" w:color="auto"/>
              <w:right w:val="single" w:sz="2" w:space="0" w:color="auto"/>
            </w:tcBorders>
            <w:vAlign w:val="center"/>
          </w:tcPr>
          <w:p w14:paraId="16686DC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2,190,000.00</w:t>
            </w:r>
          </w:p>
        </w:tc>
        <w:tc>
          <w:tcPr>
            <w:tcW w:w="1134" w:type="dxa"/>
            <w:tcBorders>
              <w:top w:val="single" w:sz="2" w:space="0" w:color="auto"/>
              <w:left w:val="single" w:sz="2" w:space="0" w:color="auto"/>
              <w:bottom w:val="single" w:sz="2" w:space="0" w:color="auto"/>
              <w:right w:val="single" w:sz="2" w:space="0" w:color="auto"/>
            </w:tcBorders>
            <w:vAlign w:val="center"/>
          </w:tcPr>
          <w:p w14:paraId="3F48B6F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1,752,000.01</w:t>
            </w:r>
          </w:p>
        </w:tc>
        <w:tc>
          <w:tcPr>
            <w:tcW w:w="992" w:type="dxa"/>
            <w:tcBorders>
              <w:top w:val="single" w:sz="2" w:space="0" w:color="auto"/>
              <w:left w:val="single" w:sz="2" w:space="0" w:color="auto"/>
              <w:bottom w:val="single" w:sz="2" w:space="0" w:color="auto"/>
              <w:right w:val="single" w:sz="2" w:space="0" w:color="auto"/>
            </w:tcBorders>
            <w:vAlign w:val="center"/>
          </w:tcPr>
          <w:p w14:paraId="639F569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72C93E7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2D6F094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7C3570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1,752,000.01</w:t>
            </w:r>
          </w:p>
        </w:tc>
        <w:tc>
          <w:tcPr>
            <w:tcW w:w="708" w:type="dxa"/>
            <w:tcBorders>
              <w:top w:val="single" w:sz="2" w:space="0" w:color="auto"/>
              <w:left w:val="single" w:sz="2" w:space="0" w:color="auto"/>
              <w:bottom w:val="single" w:sz="2" w:space="0" w:color="auto"/>
              <w:right w:val="single" w:sz="2" w:space="0" w:color="auto"/>
            </w:tcBorders>
            <w:vAlign w:val="center"/>
          </w:tcPr>
          <w:p w14:paraId="3BEECC3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80.00%</w:t>
            </w:r>
          </w:p>
        </w:tc>
        <w:tc>
          <w:tcPr>
            <w:tcW w:w="567" w:type="dxa"/>
            <w:tcBorders>
              <w:top w:val="single" w:sz="2" w:space="0" w:color="auto"/>
              <w:left w:val="single" w:sz="2" w:space="0" w:color="auto"/>
              <w:bottom w:val="single" w:sz="2" w:space="0" w:color="auto"/>
              <w:right w:val="single" w:sz="2" w:space="0" w:color="auto"/>
            </w:tcBorders>
            <w:vAlign w:val="center"/>
          </w:tcPr>
          <w:p w14:paraId="531DFD1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0.85</w:t>
            </w:r>
          </w:p>
        </w:tc>
        <w:tc>
          <w:tcPr>
            <w:tcW w:w="851" w:type="dxa"/>
            <w:tcBorders>
              <w:top w:val="single" w:sz="2" w:space="0" w:color="auto"/>
              <w:left w:val="single" w:sz="2" w:space="0" w:color="auto"/>
              <w:bottom w:val="single" w:sz="2" w:space="0" w:color="auto"/>
              <w:right w:val="single" w:sz="2" w:space="0" w:color="auto"/>
            </w:tcBorders>
            <w:vAlign w:val="center"/>
          </w:tcPr>
          <w:p w14:paraId="4082B59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717D4D1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6F02CF5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59D8CC6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募集资金</w:t>
            </w:r>
          </w:p>
        </w:tc>
      </w:tr>
      <w:tr w:rsidR="005E1317" w:rsidRPr="005A284F" w14:paraId="22D088A5"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08298A4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莱阳猪场</w:t>
            </w:r>
          </w:p>
        </w:tc>
        <w:tc>
          <w:tcPr>
            <w:tcW w:w="1134" w:type="dxa"/>
            <w:tcBorders>
              <w:top w:val="single" w:sz="2" w:space="0" w:color="auto"/>
              <w:left w:val="single" w:sz="2" w:space="0" w:color="auto"/>
              <w:bottom w:val="single" w:sz="2" w:space="0" w:color="auto"/>
              <w:right w:val="single" w:sz="2" w:space="0" w:color="auto"/>
            </w:tcBorders>
            <w:vAlign w:val="center"/>
          </w:tcPr>
          <w:p w14:paraId="3CAA9D8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30,000,000.00</w:t>
            </w:r>
          </w:p>
        </w:tc>
        <w:tc>
          <w:tcPr>
            <w:tcW w:w="1134" w:type="dxa"/>
            <w:tcBorders>
              <w:top w:val="single" w:sz="2" w:space="0" w:color="auto"/>
              <w:left w:val="single" w:sz="2" w:space="0" w:color="auto"/>
              <w:bottom w:val="single" w:sz="2" w:space="0" w:color="auto"/>
              <w:right w:val="single" w:sz="2" w:space="0" w:color="auto"/>
            </w:tcBorders>
            <w:vAlign w:val="center"/>
          </w:tcPr>
          <w:p w14:paraId="786A5F2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1,959,135.87</w:t>
            </w:r>
          </w:p>
        </w:tc>
        <w:tc>
          <w:tcPr>
            <w:tcW w:w="992" w:type="dxa"/>
            <w:tcBorders>
              <w:top w:val="single" w:sz="2" w:space="0" w:color="auto"/>
              <w:left w:val="single" w:sz="2" w:space="0" w:color="auto"/>
              <w:bottom w:val="single" w:sz="2" w:space="0" w:color="auto"/>
              <w:right w:val="single" w:sz="2" w:space="0" w:color="auto"/>
            </w:tcBorders>
            <w:vAlign w:val="center"/>
          </w:tcPr>
          <w:p w14:paraId="23D0E82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2066242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0986218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9BFCE7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1,959,135.87</w:t>
            </w:r>
          </w:p>
        </w:tc>
        <w:tc>
          <w:tcPr>
            <w:tcW w:w="708" w:type="dxa"/>
            <w:tcBorders>
              <w:top w:val="single" w:sz="2" w:space="0" w:color="auto"/>
              <w:left w:val="single" w:sz="2" w:space="0" w:color="auto"/>
              <w:bottom w:val="single" w:sz="2" w:space="0" w:color="auto"/>
              <w:right w:val="single" w:sz="2" w:space="0" w:color="auto"/>
            </w:tcBorders>
            <w:vAlign w:val="center"/>
          </w:tcPr>
          <w:p w14:paraId="4E618AF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6.53%</w:t>
            </w:r>
          </w:p>
        </w:tc>
        <w:tc>
          <w:tcPr>
            <w:tcW w:w="567" w:type="dxa"/>
            <w:tcBorders>
              <w:top w:val="single" w:sz="2" w:space="0" w:color="auto"/>
              <w:left w:val="single" w:sz="2" w:space="0" w:color="auto"/>
              <w:bottom w:val="single" w:sz="2" w:space="0" w:color="auto"/>
              <w:right w:val="single" w:sz="2" w:space="0" w:color="auto"/>
            </w:tcBorders>
            <w:vAlign w:val="center"/>
          </w:tcPr>
          <w:p w14:paraId="0F1C315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0.33</w:t>
            </w:r>
          </w:p>
        </w:tc>
        <w:tc>
          <w:tcPr>
            <w:tcW w:w="851" w:type="dxa"/>
            <w:tcBorders>
              <w:top w:val="single" w:sz="2" w:space="0" w:color="auto"/>
              <w:left w:val="single" w:sz="2" w:space="0" w:color="auto"/>
              <w:bottom w:val="single" w:sz="2" w:space="0" w:color="auto"/>
              <w:right w:val="single" w:sz="2" w:space="0" w:color="auto"/>
            </w:tcBorders>
            <w:vAlign w:val="center"/>
          </w:tcPr>
          <w:p w14:paraId="479EB99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2F43AD6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2601B7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4C097B6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42D52AB8"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3516F47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马台石室外排水工程</w:t>
            </w:r>
          </w:p>
        </w:tc>
        <w:tc>
          <w:tcPr>
            <w:tcW w:w="1134" w:type="dxa"/>
            <w:tcBorders>
              <w:top w:val="single" w:sz="2" w:space="0" w:color="auto"/>
              <w:left w:val="single" w:sz="2" w:space="0" w:color="auto"/>
              <w:bottom w:val="single" w:sz="2" w:space="0" w:color="auto"/>
              <w:right w:val="single" w:sz="2" w:space="0" w:color="auto"/>
            </w:tcBorders>
            <w:vAlign w:val="center"/>
          </w:tcPr>
          <w:p w14:paraId="4CAC460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27,871.00</w:t>
            </w:r>
          </w:p>
        </w:tc>
        <w:tc>
          <w:tcPr>
            <w:tcW w:w="1134" w:type="dxa"/>
            <w:tcBorders>
              <w:top w:val="single" w:sz="2" w:space="0" w:color="auto"/>
              <w:left w:val="single" w:sz="2" w:space="0" w:color="auto"/>
              <w:bottom w:val="single" w:sz="2" w:space="0" w:color="auto"/>
              <w:right w:val="single" w:sz="2" w:space="0" w:color="auto"/>
            </w:tcBorders>
            <w:vAlign w:val="center"/>
          </w:tcPr>
          <w:p w14:paraId="08065BA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76F5B2A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31,335.80</w:t>
            </w:r>
          </w:p>
        </w:tc>
        <w:tc>
          <w:tcPr>
            <w:tcW w:w="992" w:type="dxa"/>
            <w:tcBorders>
              <w:top w:val="single" w:sz="2" w:space="0" w:color="auto"/>
              <w:left w:val="single" w:sz="2" w:space="0" w:color="auto"/>
              <w:bottom w:val="single" w:sz="2" w:space="0" w:color="auto"/>
              <w:right w:val="single" w:sz="2" w:space="0" w:color="auto"/>
            </w:tcBorders>
            <w:vAlign w:val="center"/>
          </w:tcPr>
          <w:p w14:paraId="4AD2E2D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1754506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89D6F8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31,335.80</w:t>
            </w:r>
          </w:p>
        </w:tc>
        <w:tc>
          <w:tcPr>
            <w:tcW w:w="708" w:type="dxa"/>
            <w:tcBorders>
              <w:top w:val="single" w:sz="2" w:space="0" w:color="auto"/>
              <w:left w:val="single" w:sz="2" w:space="0" w:color="auto"/>
              <w:bottom w:val="single" w:sz="2" w:space="0" w:color="auto"/>
              <w:right w:val="single" w:sz="2" w:space="0" w:color="auto"/>
            </w:tcBorders>
            <w:vAlign w:val="center"/>
          </w:tcPr>
          <w:p w14:paraId="6ACBC43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112.43%</w:t>
            </w:r>
          </w:p>
        </w:tc>
        <w:tc>
          <w:tcPr>
            <w:tcW w:w="567" w:type="dxa"/>
            <w:tcBorders>
              <w:top w:val="single" w:sz="2" w:space="0" w:color="auto"/>
              <w:left w:val="single" w:sz="2" w:space="0" w:color="auto"/>
              <w:bottom w:val="single" w:sz="2" w:space="0" w:color="auto"/>
              <w:right w:val="single" w:sz="2" w:space="0" w:color="auto"/>
            </w:tcBorders>
            <w:vAlign w:val="center"/>
          </w:tcPr>
          <w:p w14:paraId="2634353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0.95</w:t>
            </w:r>
          </w:p>
        </w:tc>
        <w:tc>
          <w:tcPr>
            <w:tcW w:w="851" w:type="dxa"/>
            <w:tcBorders>
              <w:top w:val="single" w:sz="2" w:space="0" w:color="auto"/>
              <w:left w:val="single" w:sz="2" w:space="0" w:color="auto"/>
              <w:bottom w:val="single" w:sz="2" w:space="0" w:color="auto"/>
              <w:right w:val="single" w:sz="2" w:space="0" w:color="auto"/>
            </w:tcBorders>
            <w:vAlign w:val="center"/>
          </w:tcPr>
          <w:p w14:paraId="3BEA964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319357E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7CA0821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34ABEDF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募集资金</w:t>
            </w:r>
          </w:p>
        </w:tc>
      </w:tr>
      <w:tr w:rsidR="005E1317" w:rsidRPr="005A284F" w14:paraId="563092C0"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06D4B6B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加工间制冷机组安装工程</w:t>
            </w:r>
          </w:p>
        </w:tc>
        <w:tc>
          <w:tcPr>
            <w:tcW w:w="1134" w:type="dxa"/>
            <w:tcBorders>
              <w:top w:val="single" w:sz="2" w:space="0" w:color="auto"/>
              <w:left w:val="single" w:sz="2" w:space="0" w:color="auto"/>
              <w:bottom w:val="single" w:sz="2" w:space="0" w:color="auto"/>
              <w:right w:val="single" w:sz="2" w:space="0" w:color="auto"/>
            </w:tcBorders>
            <w:vAlign w:val="center"/>
          </w:tcPr>
          <w:p w14:paraId="2971D36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235,000.00</w:t>
            </w:r>
          </w:p>
        </w:tc>
        <w:tc>
          <w:tcPr>
            <w:tcW w:w="1134" w:type="dxa"/>
            <w:tcBorders>
              <w:top w:val="single" w:sz="2" w:space="0" w:color="auto"/>
              <w:left w:val="single" w:sz="2" w:space="0" w:color="auto"/>
              <w:bottom w:val="single" w:sz="2" w:space="0" w:color="auto"/>
              <w:right w:val="single" w:sz="2" w:space="0" w:color="auto"/>
            </w:tcBorders>
            <w:vAlign w:val="center"/>
          </w:tcPr>
          <w:p w14:paraId="0EC8299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201,273.56</w:t>
            </w:r>
          </w:p>
        </w:tc>
        <w:tc>
          <w:tcPr>
            <w:tcW w:w="992" w:type="dxa"/>
            <w:tcBorders>
              <w:top w:val="single" w:sz="2" w:space="0" w:color="auto"/>
              <w:left w:val="single" w:sz="2" w:space="0" w:color="auto"/>
              <w:bottom w:val="single" w:sz="2" w:space="0" w:color="auto"/>
              <w:right w:val="single" w:sz="2" w:space="0" w:color="auto"/>
            </w:tcBorders>
            <w:vAlign w:val="center"/>
          </w:tcPr>
          <w:p w14:paraId="2FEFE2B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20D9590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4D3A280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B1D97D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201,273.56</w:t>
            </w:r>
          </w:p>
        </w:tc>
        <w:tc>
          <w:tcPr>
            <w:tcW w:w="708" w:type="dxa"/>
            <w:tcBorders>
              <w:top w:val="single" w:sz="2" w:space="0" w:color="auto"/>
              <w:left w:val="single" w:sz="2" w:space="0" w:color="auto"/>
              <w:bottom w:val="single" w:sz="2" w:space="0" w:color="auto"/>
              <w:right w:val="single" w:sz="2" w:space="0" w:color="auto"/>
            </w:tcBorders>
            <w:vAlign w:val="center"/>
          </w:tcPr>
          <w:p w14:paraId="4957C98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85.65%</w:t>
            </w:r>
          </w:p>
        </w:tc>
        <w:tc>
          <w:tcPr>
            <w:tcW w:w="567" w:type="dxa"/>
            <w:tcBorders>
              <w:top w:val="single" w:sz="2" w:space="0" w:color="auto"/>
              <w:left w:val="single" w:sz="2" w:space="0" w:color="auto"/>
              <w:bottom w:val="single" w:sz="2" w:space="0" w:color="auto"/>
              <w:right w:val="single" w:sz="2" w:space="0" w:color="auto"/>
            </w:tcBorders>
            <w:vAlign w:val="center"/>
          </w:tcPr>
          <w:p w14:paraId="47DB54D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0.9</w:t>
            </w:r>
          </w:p>
        </w:tc>
        <w:tc>
          <w:tcPr>
            <w:tcW w:w="851" w:type="dxa"/>
            <w:tcBorders>
              <w:top w:val="single" w:sz="2" w:space="0" w:color="auto"/>
              <w:left w:val="single" w:sz="2" w:space="0" w:color="auto"/>
              <w:bottom w:val="single" w:sz="2" w:space="0" w:color="auto"/>
              <w:right w:val="single" w:sz="2" w:space="0" w:color="auto"/>
            </w:tcBorders>
            <w:vAlign w:val="center"/>
          </w:tcPr>
          <w:p w14:paraId="4452FEF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3F0D414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7A8DDC9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2F54759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34ABFE3B"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207AA89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制冷风机移位项目</w:t>
            </w:r>
          </w:p>
        </w:tc>
        <w:tc>
          <w:tcPr>
            <w:tcW w:w="1134" w:type="dxa"/>
            <w:tcBorders>
              <w:top w:val="single" w:sz="2" w:space="0" w:color="auto"/>
              <w:left w:val="single" w:sz="2" w:space="0" w:color="auto"/>
              <w:bottom w:val="single" w:sz="2" w:space="0" w:color="auto"/>
              <w:right w:val="single" w:sz="2" w:space="0" w:color="auto"/>
            </w:tcBorders>
            <w:vAlign w:val="center"/>
          </w:tcPr>
          <w:p w14:paraId="1CA3793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220,000.00</w:t>
            </w:r>
          </w:p>
        </w:tc>
        <w:tc>
          <w:tcPr>
            <w:tcW w:w="1134" w:type="dxa"/>
            <w:tcBorders>
              <w:top w:val="single" w:sz="2" w:space="0" w:color="auto"/>
              <w:left w:val="single" w:sz="2" w:space="0" w:color="auto"/>
              <w:bottom w:val="single" w:sz="2" w:space="0" w:color="auto"/>
              <w:right w:val="single" w:sz="2" w:space="0" w:color="auto"/>
            </w:tcBorders>
            <w:vAlign w:val="center"/>
          </w:tcPr>
          <w:p w14:paraId="466DCED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194,690.26</w:t>
            </w:r>
          </w:p>
        </w:tc>
        <w:tc>
          <w:tcPr>
            <w:tcW w:w="992" w:type="dxa"/>
            <w:tcBorders>
              <w:top w:val="single" w:sz="2" w:space="0" w:color="auto"/>
              <w:left w:val="single" w:sz="2" w:space="0" w:color="auto"/>
              <w:bottom w:val="single" w:sz="2" w:space="0" w:color="auto"/>
              <w:right w:val="single" w:sz="2" w:space="0" w:color="auto"/>
            </w:tcBorders>
            <w:vAlign w:val="center"/>
          </w:tcPr>
          <w:p w14:paraId="7DA570E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4EE9942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71E6742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10345B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194,690.26</w:t>
            </w:r>
          </w:p>
        </w:tc>
        <w:tc>
          <w:tcPr>
            <w:tcW w:w="708" w:type="dxa"/>
            <w:tcBorders>
              <w:top w:val="single" w:sz="2" w:space="0" w:color="auto"/>
              <w:left w:val="single" w:sz="2" w:space="0" w:color="auto"/>
              <w:bottom w:val="single" w:sz="2" w:space="0" w:color="auto"/>
              <w:right w:val="single" w:sz="2" w:space="0" w:color="auto"/>
            </w:tcBorders>
            <w:vAlign w:val="center"/>
          </w:tcPr>
          <w:p w14:paraId="6596BBB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88.50%</w:t>
            </w:r>
          </w:p>
        </w:tc>
        <w:tc>
          <w:tcPr>
            <w:tcW w:w="567" w:type="dxa"/>
            <w:tcBorders>
              <w:top w:val="single" w:sz="2" w:space="0" w:color="auto"/>
              <w:left w:val="single" w:sz="2" w:space="0" w:color="auto"/>
              <w:bottom w:val="single" w:sz="2" w:space="0" w:color="auto"/>
              <w:right w:val="single" w:sz="2" w:space="0" w:color="auto"/>
            </w:tcBorders>
            <w:vAlign w:val="center"/>
          </w:tcPr>
          <w:p w14:paraId="62AC892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0.9</w:t>
            </w:r>
          </w:p>
        </w:tc>
        <w:tc>
          <w:tcPr>
            <w:tcW w:w="851" w:type="dxa"/>
            <w:tcBorders>
              <w:top w:val="single" w:sz="2" w:space="0" w:color="auto"/>
              <w:left w:val="single" w:sz="2" w:space="0" w:color="auto"/>
              <w:bottom w:val="single" w:sz="2" w:space="0" w:color="auto"/>
              <w:right w:val="single" w:sz="2" w:space="0" w:color="auto"/>
            </w:tcBorders>
            <w:vAlign w:val="center"/>
          </w:tcPr>
          <w:p w14:paraId="1016EBC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5A5ECFE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25AE91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74AD3A8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70F65227"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4544E11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猪肝切片机</w:t>
            </w:r>
          </w:p>
        </w:tc>
        <w:tc>
          <w:tcPr>
            <w:tcW w:w="1134" w:type="dxa"/>
            <w:tcBorders>
              <w:top w:val="single" w:sz="2" w:space="0" w:color="auto"/>
              <w:left w:val="single" w:sz="2" w:space="0" w:color="auto"/>
              <w:bottom w:val="single" w:sz="2" w:space="0" w:color="auto"/>
              <w:right w:val="single" w:sz="2" w:space="0" w:color="auto"/>
            </w:tcBorders>
            <w:vAlign w:val="center"/>
          </w:tcPr>
          <w:p w14:paraId="7E7C306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14,250.00</w:t>
            </w:r>
          </w:p>
        </w:tc>
        <w:tc>
          <w:tcPr>
            <w:tcW w:w="1134" w:type="dxa"/>
            <w:tcBorders>
              <w:top w:val="single" w:sz="2" w:space="0" w:color="auto"/>
              <w:left w:val="single" w:sz="2" w:space="0" w:color="auto"/>
              <w:bottom w:val="single" w:sz="2" w:space="0" w:color="auto"/>
              <w:right w:val="single" w:sz="2" w:space="0" w:color="auto"/>
            </w:tcBorders>
            <w:vAlign w:val="center"/>
          </w:tcPr>
          <w:p w14:paraId="7D58F13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582A040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12,610.62</w:t>
            </w:r>
          </w:p>
        </w:tc>
        <w:tc>
          <w:tcPr>
            <w:tcW w:w="992" w:type="dxa"/>
            <w:tcBorders>
              <w:top w:val="single" w:sz="2" w:space="0" w:color="auto"/>
              <w:left w:val="single" w:sz="2" w:space="0" w:color="auto"/>
              <w:bottom w:val="single" w:sz="2" w:space="0" w:color="auto"/>
              <w:right w:val="single" w:sz="2" w:space="0" w:color="auto"/>
            </w:tcBorders>
            <w:vAlign w:val="center"/>
          </w:tcPr>
          <w:p w14:paraId="5EE9339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336C364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96A9A7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12,610.62</w:t>
            </w:r>
          </w:p>
        </w:tc>
        <w:tc>
          <w:tcPr>
            <w:tcW w:w="708" w:type="dxa"/>
            <w:tcBorders>
              <w:top w:val="single" w:sz="2" w:space="0" w:color="auto"/>
              <w:left w:val="single" w:sz="2" w:space="0" w:color="auto"/>
              <w:bottom w:val="single" w:sz="2" w:space="0" w:color="auto"/>
              <w:right w:val="single" w:sz="2" w:space="0" w:color="auto"/>
            </w:tcBorders>
            <w:vAlign w:val="center"/>
          </w:tcPr>
          <w:p w14:paraId="69B4467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88.50%</w:t>
            </w:r>
          </w:p>
        </w:tc>
        <w:tc>
          <w:tcPr>
            <w:tcW w:w="567" w:type="dxa"/>
            <w:tcBorders>
              <w:top w:val="single" w:sz="2" w:space="0" w:color="auto"/>
              <w:left w:val="single" w:sz="2" w:space="0" w:color="auto"/>
              <w:bottom w:val="single" w:sz="2" w:space="0" w:color="auto"/>
              <w:right w:val="single" w:sz="2" w:space="0" w:color="auto"/>
            </w:tcBorders>
            <w:vAlign w:val="center"/>
          </w:tcPr>
          <w:p w14:paraId="4400BD9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0.9</w:t>
            </w:r>
          </w:p>
        </w:tc>
        <w:tc>
          <w:tcPr>
            <w:tcW w:w="851" w:type="dxa"/>
            <w:tcBorders>
              <w:top w:val="single" w:sz="2" w:space="0" w:color="auto"/>
              <w:left w:val="single" w:sz="2" w:space="0" w:color="auto"/>
              <w:bottom w:val="single" w:sz="2" w:space="0" w:color="auto"/>
              <w:right w:val="single" w:sz="2" w:space="0" w:color="auto"/>
            </w:tcBorders>
            <w:vAlign w:val="center"/>
          </w:tcPr>
          <w:p w14:paraId="6B75383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0AF9ABD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740EF5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012B30A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r>
      <w:tr w:rsidR="005E1317" w:rsidRPr="005A284F" w14:paraId="57E1C988" w14:textId="77777777" w:rsidTr="005E1317">
        <w:trPr>
          <w:trHeight w:val="240"/>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34BA9A0E"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1134" w:type="dxa"/>
            <w:tcBorders>
              <w:top w:val="single" w:sz="2" w:space="0" w:color="auto"/>
              <w:left w:val="single" w:sz="2" w:space="0" w:color="auto"/>
              <w:bottom w:val="single" w:sz="2" w:space="0" w:color="auto"/>
              <w:right w:val="single" w:sz="2" w:space="0" w:color="auto"/>
            </w:tcBorders>
            <w:vAlign w:val="center"/>
          </w:tcPr>
          <w:p w14:paraId="75B4E21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1,173,015,781.31</w:t>
            </w:r>
          </w:p>
        </w:tc>
        <w:tc>
          <w:tcPr>
            <w:tcW w:w="1134" w:type="dxa"/>
            <w:tcBorders>
              <w:top w:val="single" w:sz="2" w:space="0" w:color="auto"/>
              <w:left w:val="single" w:sz="2" w:space="0" w:color="auto"/>
              <w:bottom w:val="single" w:sz="2" w:space="0" w:color="auto"/>
              <w:right w:val="single" w:sz="2" w:space="0" w:color="auto"/>
            </w:tcBorders>
            <w:vAlign w:val="center"/>
          </w:tcPr>
          <w:p w14:paraId="3751EEA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254,397,411.06</w:t>
            </w:r>
          </w:p>
        </w:tc>
        <w:tc>
          <w:tcPr>
            <w:tcW w:w="992" w:type="dxa"/>
            <w:tcBorders>
              <w:top w:val="single" w:sz="2" w:space="0" w:color="auto"/>
              <w:left w:val="single" w:sz="2" w:space="0" w:color="auto"/>
              <w:bottom w:val="single" w:sz="2" w:space="0" w:color="auto"/>
              <w:right w:val="single" w:sz="2" w:space="0" w:color="auto"/>
            </w:tcBorders>
            <w:vAlign w:val="center"/>
          </w:tcPr>
          <w:p w14:paraId="5D3E8C1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24,699,207.72</w:t>
            </w:r>
          </w:p>
        </w:tc>
        <w:tc>
          <w:tcPr>
            <w:tcW w:w="992" w:type="dxa"/>
            <w:tcBorders>
              <w:top w:val="single" w:sz="2" w:space="0" w:color="auto"/>
              <w:left w:val="single" w:sz="2" w:space="0" w:color="auto"/>
              <w:bottom w:val="single" w:sz="2" w:space="0" w:color="auto"/>
              <w:right w:val="single" w:sz="2" w:space="0" w:color="auto"/>
            </w:tcBorders>
            <w:vAlign w:val="center"/>
          </w:tcPr>
          <w:p w14:paraId="4391F48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17,807,995.70</w:t>
            </w:r>
          </w:p>
        </w:tc>
        <w:tc>
          <w:tcPr>
            <w:tcW w:w="426" w:type="dxa"/>
            <w:tcBorders>
              <w:top w:val="single" w:sz="2" w:space="0" w:color="auto"/>
              <w:left w:val="single" w:sz="2" w:space="0" w:color="auto"/>
              <w:bottom w:val="single" w:sz="2" w:space="0" w:color="auto"/>
              <w:right w:val="single" w:sz="2" w:space="0" w:color="auto"/>
            </w:tcBorders>
            <w:vAlign w:val="center"/>
          </w:tcPr>
          <w:p w14:paraId="515E972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34DA01F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261,288,623.08</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14:paraId="2A8A6D86" w14:textId="77777777" w:rsidR="006C011D" w:rsidRPr="005A284F" w:rsidRDefault="006C011D">
            <w:pPr>
              <w:rPr>
                <w:rFonts w:ascii="Times New Roman" w:eastAsia="宋体" w:hAnsi="Times New Roman" w:cs="Times New Roman"/>
              </w:rPr>
            </w:pP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1B986CC6" w14:textId="77777777" w:rsidR="006C011D" w:rsidRPr="005A284F" w:rsidRDefault="006C011D">
            <w:pPr>
              <w:rPr>
                <w:rFonts w:ascii="Times New Roman" w:eastAsia="宋体" w:hAnsi="Times New Roman" w:cs="Times New Roman"/>
              </w:rPr>
            </w:pPr>
          </w:p>
        </w:tc>
        <w:tc>
          <w:tcPr>
            <w:tcW w:w="851" w:type="dxa"/>
            <w:tcBorders>
              <w:top w:val="single" w:sz="2" w:space="0" w:color="auto"/>
              <w:left w:val="single" w:sz="2" w:space="0" w:color="auto"/>
              <w:bottom w:val="single" w:sz="2" w:space="0" w:color="auto"/>
              <w:right w:val="single" w:sz="2" w:space="0" w:color="auto"/>
            </w:tcBorders>
            <w:vAlign w:val="center"/>
          </w:tcPr>
          <w:p w14:paraId="4191992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8,400,392.77</w:t>
            </w:r>
          </w:p>
        </w:tc>
        <w:tc>
          <w:tcPr>
            <w:tcW w:w="850" w:type="dxa"/>
            <w:tcBorders>
              <w:top w:val="single" w:sz="2" w:space="0" w:color="auto"/>
              <w:left w:val="single" w:sz="2" w:space="0" w:color="auto"/>
              <w:bottom w:val="single" w:sz="2" w:space="0" w:color="auto"/>
              <w:right w:val="single" w:sz="2" w:space="0" w:color="auto"/>
            </w:tcBorders>
            <w:vAlign w:val="center"/>
          </w:tcPr>
          <w:p w14:paraId="09AD7A5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1,964,909.26</w:t>
            </w:r>
          </w:p>
        </w:tc>
        <w:tc>
          <w:tcPr>
            <w:tcW w:w="567" w:type="dxa"/>
            <w:tcBorders>
              <w:top w:val="single" w:sz="2" w:space="0" w:color="auto"/>
              <w:left w:val="single" w:sz="2" w:space="0" w:color="auto"/>
              <w:bottom w:val="single" w:sz="2" w:space="0" w:color="auto"/>
              <w:right w:val="single" w:sz="2" w:space="0" w:color="auto"/>
            </w:tcBorders>
            <w:vAlign w:val="center"/>
          </w:tcPr>
          <w:p w14:paraId="5F3AF0C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426" w:type="dxa"/>
            <w:tcBorders>
              <w:top w:val="single" w:sz="2" w:space="0" w:color="auto"/>
              <w:left w:val="single" w:sz="2" w:space="0" w:color="auto"/>
              <w:bottom w:val="single" w:sz="2" w:space="0" w:color="auto"/>
              <w:right w:val="single" w:sz="2" w:space="0" w:color="auto"/>
            </w:tcBorders>
            <w:shd w:val="clear" w:color="auto" w:fill="D3D3D3"/>
            <w:vAlign w:val="center"/>
          </w:tcPr>
          <w:p w14:paraId="73351E8C" w14:textId="77777777" w:rsidR="006C011D" w:rsidRPr="005A284F" w:rsidRDefault="006C011D">
            <w:pPr>
              <w:rPr>
                <w:rFonts w:ascii="Times New Roman" w:eastAsia="宋体" w:hAnsi="Times New Roman" w:cs="Times New Roman"/>
              </w:rPr>
            </w:pPr>
          </w:p>
        </w:tc>
      </w:tr>
    </w:tbl>
    <w:p w14:paraId="0BFD5D2C" w14:textId="2B5EFFFF"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37" w:name="_Toc989165"/>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3</w:t>
      </w:r>
      <w:r w:rsidRPr="005A284F">
        <w:rPr>
          <w:rFonts w:ascii="Times New Roman" w:eastAsia="宋体" w:hAnsi="Times New Roman" w:cs="Times New Roman"/>
          <w:b/>
          <w:bCs/>
          <w:sz w:val="21"/>
          <w:szCs w:val="21"/>
        </w:rPr>
        <w:t>）本期计提在建工程减值准备情况</w:t>
      </w:r>
      <w:bookmarkEnd w:id="237"/>
    </w:p>
    <w:p w14:paraId="7552A60B" w14:textId="77777777" w:rsidR="000309B5" w:rsidRPr="005A284F" w:rsidRDefault="00000000">
      <w:pPr>
        <w:pStyle w:val="a3"/>
        <w:divId w:val="1707175380"/>
        <w:rPr>
          <w:rFonts w:ascii="Times New Roman" w:hAnsi="Times New Roman" w:cs="Times New Roman"/>
          <w:sz w:val="18"/>
          <w:szCs w:val="18"/>
        </w:rPr>
      </w:pPr>
      <w:r w:rsidRPr="005A284F">
        <w:rPr>
          <w:rFonts w:ascii="Times New Roman" w:hAnsi="Times New Roman" w:cs="Times New Roman"/>
          <w:sz w:val="18"/>
          <w:szCs w:val="18"/>
        </w:rPr>
        <w:t>无</w:t>
      </w:r>
    </w:p>
    <w:p w14:paraId="7EB8F5FE" w14:textId="768FA22A"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38" w:name="_Toc989166"/>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4</w:t>
      </w:r>
      <w:r w:rsidRPr="005A284F">
        <w:rPr>
          <w:rFonts w:ascii="Times New Roman" w:eastAsia="宋体" w:hAnsi="Times New Roman" w:cs="Times New Roman"/>
          <w:b/>
          <w:bCs/>
          <w:sz w:val="21"/>
          <w:szCs w:val="21"/>
        </w:rPr>
        <w:t>）在建工程的减值测试情况</w:t>
      </w:r>
      <w:bookmarkEnd w:id="238"/>
    </w:p>
    <w:p w14:paraId="18C2172C" w14:textId="77777777" w:rsidR="006C011D" w:rsidRPr="005E1317" w:rsidRDefault="00000000">
      <w:pPr>
        <w:spacing w:before="100" w:after="100" w:line="240" w:lineRule="exact"/>
        <w:rPr>
          <w:rFonts w:ascii="宋体" w:eastAsia="宋体" w:hAnsi="宋体" w:cs="Times New Roman" w:hint="eastAsia"/>
          <w:sz w:val="18"/>
          <w:szCs w:val="18"/>
        </w:rPr>
      </w:pPr>
      <w:r w:rsidRPr="005E1317">
        <w:rPr>
          <w:rFonts w:ascii="宋体" w:eastAsia="宋体" w:hAnsi="宋体" w:cs="Times New Roman"/>
          <w:sz w:val="18"/>
          <w:szCs w:val="18"/>
        </w:rPr>
        <w:t xml:space="preserve">□适用 </w:t>
      </w:r>
      <w:r w:rsidRPr="005E1317">
        <w:rPr>
          <w:rFonts w:ascii="宋体" w:eastAsia="宋体" w:hAnsi="宋体" w:cs="Times New Roman"/>
          <w:sz w:val="18"/>
          <w:szCs w:val="18"/>
        </w:rPr>
        <w:sym w:font="Wingdings 2" w:char="F052"/>
      </w:r>
      <w:r w:rsidRPr="005E1317">
        <w:rPr>
          <w:rFonts w:ascii="宋体" w:eastAsia="宋体" w:hAnsi="宋体" w:cs="Times New Roman"/>
          <w:sz w:val="18"/>
          <w:szCs w:val="18"/>
        </w:rPr>
        <w:t>不适用</w:t>
      </w:r>
    </w:p>
    <w:p w14:paraId="68FFBD3C" w14:textId="1B7DC89B"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39" w:name="_Toc989167"/>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5</w:t>
      </w:r>
      <w:r w:rsidRPr="005A284F">
        <w:rPr>
          <w:rFonts w:ascii="Times New Roman" w:eastAsia="宋体" w:hAnsi="Times New Roman" w:cs="Times New Roman"/>
          <w:b/>
          <w:bCs/>
          <w:sz w:val="21"/>
          <w:szCs w:val="21"/>
        </w:rPr>
        <w:t>）工程物资</w:t>
      </w:r>
      <w:bookmarkEnd w:id="239"/>
    </w:p>
    <w:p w14:paraId="11980AE2" w14:textId="77777777" w:rsidR="000309B5" w:rsidRPr="005A284F" w:rsidRDefault="00000000">
      <w:pPr>
        <w:pStyle w:val="a3"/>
        <w:divId w:val="1766879948"/>
        <w:rPr>
          <w:rFonts w:ascii="Times New Roman" w:hAnsi="Times New Roman" w:cs="Times New Roman"/>
          <w:sz w:val="18"/>
          <w:szCs w:val="18"/>
        </w:rPr>
      </w:pPr>
      <w:r w:rsidRPr="005A284F">
        <w:rPr>
          <w:rFonts w:ascii="Times New Roman" w:hAnsi="Times New Roman" w:cs="Times New Roman"/>
          <w:sz w:val="18"/>
          <w:szCs w:val="18"/>
        </w:rPr>
        <w:t>无</w:t>
      </w:r>
    </w:p>
    <w:p w14:paraId="10E635C1" w14:textId="77777777" w:rsidR="006C011D" w:rsidRPr="005A284F" w:rsidRDefault="00000000">
      <w:pPr>
        <w:pStyle w:val="3"/>
        <w:spacing w:line="280" w:lineRule="exact"/>
        <w:jc w:val="left"/>
        <w:rPr>
          <w:rFonts w:ascii="Times New Roman" w:hAnsi="Times New Roman" w:cs="Times New Roman"/>
          <w:b/>
          <w:bCs/>
        </w:rPr>
      </w:pPr>
      <w:bookmarkStart w:id="240" w:name="_Toc989168"/>
      <w:r w:rsidRPr="005A284F">
        <w:rPr>
          <w:rFonts w:ascii="Times New Roman" w:hAnsi="Times New Roman" w:cs="Times New Roman"/>
          <w:b/>
          <w:bCs/>
        </w:rPr>
        <w:lastRenderedPageBreak/>
        <w:t>23</w:t>
      </w:r>
      <w:r w:rsidRPr="005A284F">
        <w:rPr>
          <w:rFonts w:ascii="Times New Roman" w:hAnsi="Times New Roman" w:cs="Times New Roman"/>
          <w:b/>
          <w:bCs/>
        </w:rPr>
        <w:t>、生产性生物资产</w:t>
      </w:r>
      <w:bookmarkEnd w:id="240"/>
    </w:p>
    <w:p w14:paraId="6AA8E2AF" w14:textId="4385A239"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41" w:name="_Toc989169"/>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1</w:t>
      </w:r>
      <w:r w:rsidRPr="005A284F">
        <w:rPr>
          <w:rFonts w:ascii="Times New Roman" w:eastAsia="宋体" w:hAnsi="Times New Roman" w:cs="Times New Roman"/>
          <w:b/>
          <w:bCs/>
          <w:sz w:val="21"/>
          <w:szCs w:val="21"/>
        </w:rPr>
        <w:t>）采用成本计量模式的生产性生物资产</w:t>
      </w:r>
      <w:bookmarkEnd w:id="241"/>
    </w:p>
    <w:p w14:paraId="6C0D4EE7" w14:textId="77777777" w:rsidR="006C011D" w:rsidRPr="005E1317" w:rsidRDefault="00000000">
      <w:pPr>
        <w:spacing w:before="40" w:after="40" w:line="240" w:lineRule="exact"/>
        <w:rPr>
          <w:rFonts w:ascii="宋体" w:eastAsia="宋体" w:hAnsi="宋体" w:cs="Times New Roman" w:hint="eastAsia"/>
          <w:sz w:val="18"/>
          <w:szCs w:val="18"/>
        </w:rPr>
      </w:pPr>
      <w:r w:rsidRPr="005E1317">
        <w:rPr>
          <w:rFonts w:ascii="宋体" w:eastAsia="宋体" w:hAnsi="宋体" w:cs="Times New Roman"/>
          <w:sz w:val="18"/>
          <w:szCs w:val="18"/>
        </w:rPr>
        <w:sym w:font="Wingdings 2" w:char="F052"/>
      </w:r>
      <w:r w:rsidRPr="005E1317">
        <w:rPr>
          <w:rFonts w:ascii="宋体" w:eastAsia="宋体" w:hAnsi="宋体" w:cs="Times New Roman"/>
          <w:sz w:val="18"/>
          <w:szCs w:val="18"/>
        </w:rPr>
        <w:t>适用 □不适用</w:t>
      </w:r>
    </w:p>
    <w:p w14:paraId="5598F35F" w14:textId="77777777" w:rsidR="006C011D" w:rsidRPr="005A284F" w:rsidRDefault="00000000">
      <w:pPr>
        <w:spacing w:before="120" w:after="12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6C011D" w:rsidRPr="005A284F" w14:paraId="025697CF"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7BD5C4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68AD92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种植业</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7BA801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畜牧养殖业</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8CFFB8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林业</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DF0F42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水产业</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FD3906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r>
      <w:tr w:rsidR="006C011D" w:rsidRPr="005A284F" w14:paraId="70C26246"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F0A8703" w14:textId="77777777" w:rsidR="006C011D" w:rsidRPr="005A284F" w:rsidRDefault="006C011D">
            <w:pPr>
              <w:rPr>
                <w:rFonts w:ascii="Times New Roman" w:eastAsia="宋体" w:hAnsi="Times New Roman" w:cs="Times New Roman"/>
              </w:rPr>
            </w:pPr>
          </w:p>
        </w:tc>
        <w:tc>
          <w:tcPr>
            <w:tcW w:w="1377" w:type="dxa"/>
            <w:tcBorders>
              <w:top w:val="single" w:sz="2" w:space="0" w:color="auto"/>
              <w:left w:val="single" w:sz="2" w:space="0" w:color="auto"/>
              <w:bottom w:val="single" w:sz="2" w:space="0" w:color="auto"/>
              <w:right w:val="single" w:sz="2" w:space="0" w:color="auto"/>
            </w:tcBorders>
            <w:vAlign w:val="center"/>
          </w:tcPr>
          <w:p w14:paraId="61EA5B60" w14:textId="77777777" w:rsidR="006C011D" w:rsidRPr="005A284F" w:rsidRDefault="006C011D">
            <w:pPr>
              <w:spacing w:after="0" w:line="240" w:lineRule="exact"/>
              <w:jc w:val="center"/>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6C0682F" w14:textId="77777777" w:rsidR="006C011D" w:rsidRPr="005A284F" w:rsidRDefault="00000000">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成熟</w:t>
            </w:r>
          </w:p>
        </w:tc>
        <w:tc>
          <w:tcPr>
            <w:tcW w:w="1377" w:type="dxa"/>
            <w:tcBorders>
              <w:top w:val="single" w:sz="2" w:space="0" w:color="auto"/>
              <w:left w:val="single" w:sz="2" w:space="0" w:color="auto"/>
              <w:bottom w:val="single" w:sz="2" w:space="0" w:color="auto"/>
              <w:right w:val="single" w:sz="2" w:space="0" w:color="auto"/>
            </w:tcBorders>
            <w:vAlign w:val="center"/>
          </w:tcPr>
          <w:p w14:paraId="4E69CC02" w14:textId="77777777" w:rsidR="006C011D" w:rsidRPr="005A284F" w:rsidRDefault="00000000">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未成熟</w:t>
            </w:r>
          </w:p>
        </w:tc>
        <w:tc>
          <w:tcPr>
            <w:tcW w:w="1377" w:type="dxa"/>
            <w:tcBorders>
              <w:top w:val="single" w:sz="2" w:space="0" w:color="auto"/>
              <w:left w:val="single" w:sz="2" w:space="0" w:color="auto"/>
              <w:bottom w:val="single" w:sz="2" w:space="0" w:color="auto"/>
              <w:right w:val="single" w:sz="2" w:space="0" w:color="auto"/>
            </w:tcBorders>
            <w:vAlign w:val="center"/>
          </w:tcPr>
          <w:p w14:paraId="4BC44929" w14:textId="77777777" w:rsidR="006C011D" w:rsidRPr="005A284F" w:rsidRDefault="006C011D">
            <w:pPr>
              <w:spacing w:after="0" w:line="240" w:lineRule="exact"/>
              <w:jc w:val="center"/>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4377AF8" w14:textId="77777777" w:rsidR="006C011D" w:rsidRPr="005A284F" w:rsidRDefault="006C011D">
            <w:pPr>
              <w:spacing w:after="0" w:line="240" w:lineRule="exact"/>
              <w:jc w:val="center"/>
              <w:rPr>
                <w:rFonts w:ascii="Times New Roman" w:eastAsia="宋体" w:hAnsi="Times New Roman" w:cs="Times New Roman"/>
                <w:sz w:val="18"/>
                <w:szCs w:val="18"/>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F75441A" w14:textId="77777777" w:rsidR="006C011D" w:rsidRPr="005A284F" w:rsidRDefault="006C011D">
            <w:pPr>
              <w:rPr>
                <w:rFonts w:ascii="Times New Roman" w:eastAsia="宋体" w:hAnsi="Times New Roman" w:cs="Times New Roman"/>
              </w:rPr>
            </w:pPr>
          </w:p>
        </w:tc>
      </w:tr>
      <w:tr w:rsidR="006C011D" w:rsidRPr="005A284F" w14:paraId="04AFBCB3"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C41068C"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一、账面原值</w:t>
            </w:r>
          </w:p>
        </w:tc>
        <w:tc>
          <w:tcPr>
            <w:tcW w:w="1377" w:type="dxa"/>
            <w:tcBorders>
              <w:top w:val="single" w:sz="2" w:space="0" w:color="auto"/>
              <w:left w:val="single" w:sz="2" w:space="0" w:color="auto"/>
              <w:bottom w:val="single" w:sz="2" w:space="0" w:color="auto"/>
              <w:right w:val="single" w:sz="2" w:space="0" w:color="auto"/>
            </w:tcBorders>
            <w:vAlign w:val="center"/>
          </w:tcPr>
          <w:p w14:paraId="15A5111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88D45F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EC11D4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18DB21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3F51EA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DA4C1E9"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74D774BF"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4E6C337"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期初余额</w:t>
            </w:r>
          </w:p>
        </w:tc>
        <w:tc>
          <w:tcPr>
            <w:tcW w:w="1377" w:type="dxa"/>
            <w:tcBorders>
              <w:top w:val="single" w:sz="2" w:space="0" w:color="auto"/>
              <w:left w:val="single" w:sz="2" w:space="0" w:color="auto"/>
              <w:bottom w:val="single" w:sz="2" w:space="0" w:color="auto"/>
              <w:right w:val="single" w:sz="2" w:space="0" w:color="auto"/>
            </w:tcBorders>
            <w:vAlign w:val="center"/>
          </w:tcPr>
          <w:p w14:paraId="03DC0AE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B9BAF7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33,483,849.65</w:t>
            </w:r>
          </w:p>
        </w:tc>
        <w:tc>
          <w:tcPr>
            <w:tcW w:w="1377" w:type="dxa"/>
            <w:tcBorders>
              <w:top w:val="single" w:sz="2" w:space="0" w:color="auto"/>
              <w:left w:val="single" w:sz="2" w:space="0" w:color="auto"/>
              <w:bottom w:val="single" w:sz="2" w:space="0" w:color="auto"/>
              <w:right w:val="single" w:sz="2" w:space="0" w:color="auto"/>
            </w:tcBorders>
            <w:vAlign w:val="center"/>
          </w:tcPr>
          <w:p w14:paraId="0EA736C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13,090,644.56</w:t>
            </w:r>
          </w:p>
        </w:tc>
        <w:tc>
          <w:tcPr>
            <w:tcW w:w="1377" w:type="dxa"/>
            <w:tcBorders>
              <w:top w:val="single" w:sz="2" w:space="0" w:color="auto"/>
              <w:left w:val="single" w:sz="2" w:space="0" w:color="auto"/>
              <w:bottom w:val="single" w:sz="2" w:space="0" w:color="auto"/>
              <w:right w:val="single" w:sz="2" w:space="0" w:color="auto"/>
            </w:tcBorders>
            <w:vAlign w:val="center"/>
          </w:tcPr>
          <w:p w14:paraId="3FEC71B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CD4418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5E2475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46,574,494.21</w:t>
            </w:r>
          </w:p>
        </w:tc>
      </w:tr>
      <w:tr w:rsidR="006C011D" w:rsidRPr="005A284F" w14:paraId="0A52A0BA"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8A6C0AC"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本期增加金额</w:t>
            </w:r>
          </w:p>
        </w:tc>
        <w:tc>
          <w:tcPr>
            <w:tcW w:w="1377" w:type="dxa"/>
            <w:tcBorders>
              <w:top w:val="single" w:sz="2" w:space="0" w:color="auto"/>
              <w:left w:val="single" w:sz="2" w:space="0" w:color="auto"/>
              <w:bottom w:val="single" w:sz="2" w:space="0" w:color="auto"/>
              <w:right w:val="single" w:sz="2" w:space="0" w:color="auto"/>
            </w:tcBorders>
            <w:vAlign w:val="center"/>
          </w:tcPr>
          <w:p w14:paraId="003A2E9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31977B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39,153,638.19</w:t>
            </w:r>
          </w:p>
        </w:tc>
        <w:tc>
          <w:tcPr>
            <w:tcW w:w="1377" w:type="dxa"/>
            <w:tcBorders>
              <w:top w:val="single" w:sz="2" w:space="0" w:color="auto"/>
              <w:left w:val="single" w:sz="2" w:space="0" w:color="auto"/>
              <w:bottom w:val="single" w:sz="2" w:space="0" w:color="auto"/>
              <w:right w:val="single" w:sz="2" w:space="0" w:color="auto"/>
            </w:tcBorders>
            <w:vAlign w:val="center"/>
          </w:tcPr>
          <w:p w14:paraId="1311CDA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62,817,234.74</w:t>
            </w:r>
          </w:p>
        </w:tc>
        <w:tc>
          <w:tcPr>
            <w:tcW w:w="1377" w:type="dxa"/>
            <w:tcBorders>
              <w:top w:val="single" w:sz="2" w:space="0" w:color="auto"/>
              <w:left w:val="single" w:sz="2" w:space="0" w:color="auto"/>
              <w:bottom w:val="single" w:sz="2" w:space="0" w:color="auto"/>
              <w:right w:val="single" w:sz="2" w:space="0" w:color="auto"/>
            </w:tcBorders>
            <w:vAlign w:val="center"/>
          </w:tcPr>
          <w:p w14:paraId="2D0AFCF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997A19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91FF6F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101,970,872.93</w:t>
            </w:r>
          </w:p>
        </w:tc>
      </w:tr>
      <w:tr w:rsidR="006C011D" w:rsidRPr="005A284F" w14:paraId="3C5F6559"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EECB320"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外购</w:t>
            </w:r>
          </w:p>
        </w:tc>
        <w:tc>
          <w:tcPr>
            <w:tcW w:w="1377" w:type="dxa"/>
            <w:tcBorders>
              <w:top w:val="single" w:sz="2" w:space="0" w:color="auto"/>
              <w:left w:val="single" w:sz="2" w:space="0" w:color="auto"/>
              <w:bottom w:val="single" w:sz="2" w:space="0" w:color="auto"/>
              <w:right w:val="single" w:sz="2" w:space="0" w:color="auto"/>
            </w:tcBorders>
            <w:vAlign w:val="center"/>
          </w:tcPr>
          <w:p w14:paraId="79A084E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E17673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809,810.40</w:t>
            </w:r>
          </w:p>
        </w:tc>
        <w:tc>
          <w:tcPr>
            <w:tcW w:w="1377" w:type="dxa"/>
            <w:tcBorders>
              <w:top w:val="single" w:sz="2" w:space="0" w:color="auto"/>
              <w:left w:val="single" w:sz="2" w:space="0" w:color="auto"/>
              <w:bottom w:val="single" w:sz="2" w:space="0" w:color="auto"/>
              <w:right w:val="single" w:sz="2" w:space="0" w:color="auto"/>
            </w:tcBorders>
            <w:vAlign w:val="center"/>
          </w:tcPr>
          <w:p w14:paraId="02DE6B3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18,348,763.91</w:t>
            </w:r>
          </w:p>
        </w:tc>
        <w:tc>
          <w:tcPr>
            <w:tcW w:w="1377" w:type="dxa"/>
            <w:tcBorders>
              <w:top w:val="single" w:sz="2" w:space="0" w:color="auto"/>
              <w:left w:val="single" w:sz="2" w:space="0" w:color="auto"/>
              <w:bottom w:val="single" w:sz="2" w:space="0" w:color="auto"/>
              <w:right w:val="single" w:sz="2" w:space="0" w:color="auto"/>
            </w:tcBorders>
            <w:vAlign w:val="center"/>
          </w:tcPr>
          <w:p w14:paraId="29C2E69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5159DC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953BBF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19,158,574.31</w:t>
            </w:r>
          </w:p>
        </w:tc>
      </w:tr>
      <w:tr w:rsidR="006C011D" w:rsidRPr="005A284F" w14:paraId="3AF0EA05"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2BFE704"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自行培育</w:t>
            </w:r>
          </w:p>
        </w:tc>
        <w:tc>
          <w:tcPr>
            <w:tcW w:w="1377" w:type="dxa"/>
            <w:tcBorders>
              <w:top w:val="single" w:sz="2" w:space="0" w:color="auto"/>
              <w:left w:val="single" w:sz="2" w:space="0" w:color="auto"/>
              <w:bottom w:val="single" w:sz="2" w:space="0" w:color="auto"/>
              <w:right w:val="single" w:sz="2" w:space="0" w:color="auto"/>
            </w:tcBorders>
            <w:vAlign w:val="center"/>
          </w:tcPr>
          <w:p w14:paraId="070E5C9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D0217E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38,343,827.79</w:t>
            </w:r>
          </w:p>
        </w:tc>
        <w:tc>
          <w:tcPr>
            <w:tcW w:w="1377" w:type="dxa"/>
            <w:tcBorders>
              <w:top w:val="single" w:sz="2" w:space="0" w:color="auto"/>
              <w:left w:val="single" w:sz="2" w:space="0" w:color="auto"/>
              <w:bottom w:val="single" w:sz="2" w:space="0" w:color="auto"/>
              <w:right w:val="single" w:sz="2" w:space="0" w:color="auto"/>
            </w:tcBorders>
            <w:vAlign w:val="center"/>
          </w:tcPr>
          <w:p w14:paraId="645B714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44,468,470.83</w:t>
            </w:r>
          </w:p>
        </w:tc>
        <w:tc>
          <w:tcPr>
            <w:tcW w:w="1377" w:type="dxa"/>
            <w:tcBorders>
              <w:top w:val="single" w:sz="2" w:space="0" w:color="auto"/>
              <w:left w:val="single" w:sz="2" w:space="0" w:color="auto"/>
              <w:bottom w:val="single" w:sz="2" w:space="0" w:color="auto"/>
              <w:right w:val="single" w:sz="2" w:space="0" w:color="auto"/>
            </w:tcBorders>
            <w:vAlign w:val="center"/>
          </w:tcPr>
          <w:p w14:paraId="2315766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96C1D7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3B2519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82,812,298.62</w:t>
            </w:r>
          </w:p>
        </w:tc>
      </w:tr>
      <w:tr w:rsidR="006C011D" w:rsidRPr="005A284F" w14:paraId="3F72E8FE"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474E8554" w14:textId="77777777" w:rsidR="006C011D" w:rsidRPr="005A284F" w:rsidRDefault="006C011D">
            <w:pPr>
              <w:spacing w:after="0" w:line="240" w:lineRule="exac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A5DB43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7D8885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8F4297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9E746E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8978D7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91BED7E"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53FFC918"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661399B"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本期减少金额</w:t>
            </w:r>
          </w:p>
        </w:tc>
        <w:tc>
          <w:tcPr>
            <w:tcW w:w="1377" w:type="dxa"/>
            <w:tcBorders>
              <w:top w:val="single" w:sz="2" w:space="0" w:color="auto"/>
              <w:left w:val="single" w:sz="2" w:space="0" w:color="auto"/>
              <w:bottom w:val="single" w:sz="2" w:space="0" w:color="auto"/>
              <w:right w:val="single" w:sz="2" w:space="0" w:color="auto"/>
            </w:tcBorders>
            <w:vAlign w:val="center"/>
          </w:tcPr>
          <w:p w14:paraId="4AEBC74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248ABB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21,452,984.45</w:t>
            </w:r>
          </w:p>
        </w:tc>
        <w:tc>
          <w:tcPr>
            <w:tcW w:w="1377" w:type="dxa"/>
            <w:tcBorders>
              <w:top w:val="single" w:sz="2" w:space="0" w:color="auto"/>
              <w:left w:val="single" w:sz="2" w:space="0" w:color="auto"/>
              <w:bottom w:val="single" w:sz="2" w:space="0" w:color="auto"/>
              <w:right w:val="single" w:sz="2" w:space="0" w:color="auto"/>
            </w:tcBorders>
            <w:vAlign w:val="center"/>
          </w:tcPr>
          <w:p w14:paraId="48F0327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51,485,683.81</w:t>
            </w:r>
          </w:p>
        </w:tc>
        <w:tc>
          <w:tcPr>
            <w:tcW w:w="1377" w:type="dxa"/>
            <w:tcBorders>
              <w:top w:val="single" w:sz="2" w:space="0" w:color="auto"/>
              <w:left w:val="single" w:sz="2" w:space="0" w:color="auto"/>
              <w:bottom w:val="single" w:sz="2" w:space="0" w:color="auto"/>
              <w:right w:val="single" w:sz="2" w:space="0" w:color="auto"/>
            </w:tcBorders>
            <w:vAlign w:val="center"/>
          </w:tcPr>
          <w:p w14:paraId="41CC044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ACCC87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D348C8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72,938,668.26</w:t>
            </w:r>
          </w:p>
        </w:tc>
      </w:tr>
      <w:tr w:rsidR="006C011D" w:rsidRPr="005A284F" w14:paraId="49214BE9"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6D28473"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处置</w:t>
            </w:r>
          </w:p>
        </w:tc>
        <w:tc>
          <w:tcPr>
            <w:tcW w:w="1377" w:type="dxa"/>
            <w:tcBorders>
              <w:top w:val="single" w:sz="2" w:space="0" w:color="auto"/>
              <w:left w:val="single" w:sz="2" w:space="0" w:color="auto"/>
              <w:bottom w:val="single" w:sz="2" w:space="0" w:color="auto"/>
              <w:right w:val="single" w:sz="2" w:space="0" w:color="auto"/>
            </w:tcBorders>
            <w:vAlign w:val="center"/>
          </w:tcPr>
          <w:p w14:paraId="252FE46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959245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21,452,984.45</w:t>
            </w:r>
          </w:p>
        </w:tc>
        <w:tc>
          <w:tcPr>
            <w:tcW w:w="1377" w:type="dxa"/>
            <w:tcBorders>
              <w:top w:val="single" w:sz="2" w:space="0" w:color="auto"/>
              <w:left w:val="single" w:sz="2" w:space="0" w:color="auto"/>
              <w:bottom w:val="single" w:sz="2" w:space="0" w:color="auto"/>
              <w:right w:val="single" w:sz="2" w:space="0" w:color="auto"/>
            </w:tcBorders>
            <w:vAlign w:val="center"/>
          </w:tcPr>
          <w:p w14:paraId="2BD42C4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13,141,856.02</w:t>
            </w:r>
          </w:p>
        </w:tc>
        <w:tc>
          <w:tcPr>
            <w:tcW w:w="1377" w:type="dxa"/>
            <w:tcBorders>
              <w:top w:val="single" w:sz="2" w:space="0" w:color="auto"/>
              <w:left w:val="single" w:sz="2" w:space="0" w:color="auto"/>
              <w:bottom w:val="single" w:sz="2" w:space="0" w:color="auto"/>
              <w:right w:val="single" w:sz="2" w:space="0" w:color="auto"/>
            </w:tcBorders>
            <w:vAlign w:val="center"/>
          </w:tcPr>
          <w:p w14:paraId="05B326E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4E89C4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AC0FFC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34,594,840.47</w:t>
            </w:r>
          </w:p>
        </w:tc>
      </w:tr>
      <w:tr w:rsidR="006C011D" w:rsidRPr="005A284F" w14:paraId="0FF99F81"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D6A0296"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14:paraId="06F1FF4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CDADE8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14:paraId="43986A9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38,343,827.79</w:t>
            </w:r>
          </w:p>
        </w:tc>
        <w:tc>
          <w:tcPr>
            <w:tcW w:w="1377" w:type="dxa"/>
            <w:tcBorders>
              <w:top w:val="single" w:sz="2" w:space="0" w:color="auto"/>
              <w:left w:val="single" w:sz="2" w:space="0" w:color="auto"/>
              <w:bottom w:val="single" w:sz="2" w:space="0" w:color="auto"/>
              <w:right w:val="single" w:sz="2" w:space="0" w:color="auto"/>
            </w:tcBorders>
            <w:vAlign w:val="center"/>
          </w:tcPr>
          <w:p w14:paraId="493DF28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88D1BE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8751D8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38,343,827.79</w:t>
            </w:r>
          </w:p>
        </w:tc>
      </w:tr>
      <w:tr w:rsidR="006C011D" w:rsidRPr="005A284F" w14:paraId="1F20CC0A"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7668CFD5" w14:textId="77777777" w:rsidR="006C011D" w:rsidRPr="005A284F" w:rsidRDefault="006C011D">
            <w:pPr>
              <w:spacing w:after="0" w:line="240" w:lineRule="exac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DFA128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DA540C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7B2B83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E519FC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C6C272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C26FF67"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3728C46"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8406942"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期末余额</w:t>
            </w:r>
          </w:p>
        </w:tc>
        <w:tc>
          <w:tcPr>
            <w:tcW w:w="1377" w:type="dxa"/>
            <w:tcBorders>
              <w:top w:val="single" w:sz="2" w:space="0" w:color="auto"/>
              <w:left w:val="single" w:sz="2" w:space="0" w:color="auto"/>
              <w:bottom w:val="single" w:sz="2" w:space="0" w:color="auto"/>
              <w:right w:val="single" w:sz="2" w:space="0" w:color="auto"/>
            </w:tcBorders>
            <w:vAlign w:val="center"/>
          </w:tcPr>
          <w:p w14:paraId="6A12E9B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29CB1B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51,184,503.39</w:t>
            </w:r>
          </w:p>
        </w:tc>
        <w:tc>
          <w:tcPr>
            <w:tcW w:w="1377" w:type="dxa"/>
            <w:tcBorders>
              <w:top w:val="single" w:sz="2" w:space="0" w:color="auto"/>
              <w:left w:val="single" w:sz="2" w:space="0" w:color="auto"/>
              <w:bottom w:val="single" w:sz="2" w:space="0" w:color="auto"/>
              <w:right w:val="single" w:sz="2" w:space="0" w:color="auto"/>
            </w:tcBorders>
            <w:vAlign w:val="center"/>
          </w:tcPr>
          <w:p w14:paraId="0059FDE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24,422,195.49</w:t>
            </w:r>
          </w:p>
        </w:tc>
        <w:tc>
          <w:tcPr>
            <w:tcW w:w="1377" w:type="dxa"/>
            <w:tcBorders>
              <w:top w:val="single" w:sz="2" w:space="0" w:color="auto"/>
              <w:left w:val="single" w:sz="2" w:space="0" w:color="auto"/>
              <w:bottom w:val="single" w:sz="2" w:space="0" w:color="auto"/>
              <w:right w:val="single" w:sz="2" w:space="0" w:color="auto"/>
            </w:tcBorders>
            <w:vAlign w:val="center"/>
          </w:tcPr>
          <w:p w14:paraId="176EC46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F71D82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D7DF02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75,606,698.88</w:t>
            </w:r>
          </w:p>
        </w:tc>
      </w:tr>
      <w:tr w:rsidR="006C011D" w:rsidRPr="005A284F" w14:paraId="263E207E"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C7C1466"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二、累计折旧</w:t>
            </w:r>
          </w:p>
        </w:tc>
        <w:tc>
          <w:tcPr>
            <w:tcW w:w="1377" w:type="dxa"/>
            <w:tcBorders>
              <w:top w:val="single" w:sz="2" w:space="0" w:color="auto"/>
              <w:left w:val="single" w:sz="2" w:space="0" w:color="auto"/>
              <w:bottom w:val="single" w:sz="2" w:space="0" w:color="auto"/>
              <w:right w:val="single" w:sz="2" w:space="0" w:color="auto"/>
            </w:tcBorders>
            <w:vAlign w:val="center"/>
          </w:tcPr>
          <w:p w14:paraId="1F27650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55B541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BB6106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2A0510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B506A6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70FDA80"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2615477"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87139E5"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期初余额</w:t>
            </w:r>
          </w:p>
        </w:tc>
        <w:tc>
          <w:tcPr>
            <w:tcW w:w="1377" w:type="dxa"/>
            <w:tcBorders>
              <w:top w:val="single" w:sz="2" w:space="0" w:color="auto"/>
              <w:left w:val="single" w:sz="2" w:space="0" w:color="auto"/>
              <w:bottom w:val="single" w:sz="2" w:space="0" w:color="auto"/>
              <w:right w:val="single" w:sz="2" w:space="0" w:color="auto"/>
            </w:tcBorders>
            <w:vAlign w:val="center"/>
          </w:tcPr>
          <w:p w14:paraId="6AC6E1E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AD5415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9,374,694.75</w:t>
            </w:r>
          </w:p>
        </w:tc>
        <w:tc>
          <w:tcPr>
            <w:tcW w:w="1377" w:type="dxa"/>
            <w:tcBorders>
              <w:top w:val="single" w:sz="2" w:space="0" w:color="auto"/>
              <w:left w:val="single" w:sz="2" w:space="0" w:color="auto"/>
              <w:bottom w:val="single" w:sz="2" w:space="0" w:color="auto"/>
              <w:right w:val="single" w:sz="2" w:space="0" w:color="auto"/>
            </w:tcBorders>
            <w:vAlign w:val="center"/>
          </w:tcPr>
          <w:p w14:paraId="1238B28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14:paraId="242490C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9D2BF3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4FE7F2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9,374,694.75</w:t>
            </w:r>
          </w:p>
        </w:tc>
      </w:tr>
      <w:tr w:rsidR="006C011D" w:rsidRPr="005A284F" w14:paraId="68A7CFF8"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AF2036A"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本期增加金额</w:t>
            </w:r>
          </w:p>
        </w:tc>
        <w:tc>
          <w:tcPr>
            <w:tcW w:w="1377" w:type="dxa"/>
            <w:tcBorders>
              <w:top w:val="single" w:sz="2" w:space="0" w:color="auto"/>
              <w:left w:val="single" w:sz="2" w:space="0" w:color="auto"/>
              <w:bottom w:val="single" w:sz="2" w:space="0" w:color="auto"/>
              <w:right w:val="single" w:sz="2" w:space="0" w:color="auto"/>
            </w:tcBorders>
            <w:vAlign w:val="center"/>
          </w:tcPr>
          <w:p w14:paraId="6179DD7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B31F4A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5,464,412.14</w:t>
            </w:r>
          </w:p>
        </w:tc>
        <w:tc>
          <w:tcPr>
            <w:tcW w:w="1377" w:type="dxa"/>
            <w:tcBorders>
              <w:top w:val="single" w:sz="2" w:space="0" w:color="auto"/>
              <w:left w:val="single" w:sz="2" w:space="0" w:color="auto"/>
              <w:bottom w:val="single" w:sz="2" w:space="0" w:color="auto"/>
              <w:right w:val="single" w:sz="2" w:space="0" w:color="auto"/>
            </w:tcBorders>
            <w:vAlign w:val="center"/>
          </w:tcPr>
          <w:p w14:paraId="6682622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14:paraId="32FC960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F14BAA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948606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5,464,412.14</w:t>
            </w:r>
          </w:p>
        </w:tc>
      </w:tr>
      <w:tr w:rsidR="006C011D" w:rsidRPr="005A284F" w14:paraId="65F78278"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8E25AE7"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计提</w:t>
            </w:r>
          </w:p>
        </w:tc>
        <w:tc>
          <w:tcPr>
            <w:tcW w:w="1377" w:type="dxa"/>
            <w:tcBorders>
              <w:top w:val="single" w:sz="2" w:space="0" w:color="auto"/>
              <w:left w:val="single" w:sz="2" w:space="0" w:color="auto"/>
              <w:bottom w:val="single" w:sz="2" w:space="0" w:color="auto"/>
              <w:right w:val="single" w:sz="2" w:space="0" w:color="auto"/>
            </w:tcBorders>
            <w:vAlign w:val="center"/>
          </w:tcPr>
          <w:p w14:paraId="6EC6026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D57AD0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5,464,412.14</w:t>
            </w:r>
          </w:p>
        </w:tc>
        <w:tc>
          <w:tcPr>
            <w:tcW w:w="1377" w:type="dxa"/>
            <w:tcBorders>
              <w:top w:val="single" w:sz="2" w:space="0" w:color="auto"/>
              <w:left w:val="single" w:sz="2" w:space="0" w:color="auto"/>
              <w:bottom w:val="single" w:sz="2" w:space="0" w:color="auto"/>
              <w:right w:val="single" w:sz="2" w:space="0" w:color="auto"/>
            </w:tcBorders>
            <w:vAlign w:val="center"/>
          </w:tcPr>
          <w:p w14:paraId="679667A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14:paraId="101401D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A96313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EEC2FE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5,464,412.14</w:t>
            </w:r>
          </w:p>
        </w:tc>
      </w:tr>
      <w:tr w:rsidR="006C011D" w:rsidRPr="005A284F" w14:paraId="7199A841"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63551A98" w14:textId="77777777" w:rsidR="006C011D" w:rsidRPr="005A284F" w:rsidRDefault="006C011D">
            <w:pPr>
              <w:spacing w:after="0" w:line="240" w:lineRule="exac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2EA33B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DCF3FB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2CCEEF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AF8EB5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A6A93B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5B0FAFE"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42726A65"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ED8B87B"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本期减少金额</w:t>
            </w:r>
          </w:p>
        </w:tc>
        <w:tc>
          <w:tcPr>
            <w:tcW w:w="1377" w:type="dxa"/>
            <w:tcBorders>
              <w:top w:val="single" w:sz="2" w:space="0" w:color="auto"/>
              <w:left w:val="single" w:sz="2" w:space="0" w:color="auto"/>
              <w:bottom w:val="single" w:sz="2" w:space="0" w:color="auto"/>
              <w:right w:val="single" w:sz="2" w:space="0" w:color="auto"/>
            </w:tcBorders>
            <w:vAlign w:val="center"/>
          </w:tcPr>
          <w:p w14:paraId="4B2A0BB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70F6A4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7,994,386.19</w:t>
            </w:r>
          </w:p>
        </w:tc>
        <w:tc>
          <w:tcPr>
            <w:tcW w:w="1377" w:type="dxa"/>
            <w:tcBorders>
              <w:top w:val="single" w:sz="2" w:space="0" w:color="auto"/>
              <w:left w:val="single" w:sz="2" w:space="0" w:color="auto"/>
              <w:bottom w:val="single" w:sz="2" w:space="0" w:color="auto"/>
              <w:right w:val="single" w:sz="2" w:space="0" w:color="auto"/>
            </w:tcBorders>
            <w:vAlign w:val="center"/>
          </w:tcPr>
          <w:p w14:paraId="156E067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14:paraId="38FB75D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1E4E58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545D11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7,994,386.19</w:t>
            </w:r>
          </w:p>
        </w:tc>
      </w:tr>
      <w:tr w:rsidR="006C011D" w:rsidRPr="005A284F" w14:paraId="37986ADD"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A6869C7"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处置</w:t>
            </w:r>
          </w:p>
        </w:tc>
        <w:tc>
          <w:tcPr>
            <w:tcW w:w="1377" w:type="dxa"/>
            <w:tcBorders>
              <w:top w:val="single" w:sz="2" w:space="0" w:color="auto"/>
              <w:left w:val="single" w:sz="2" w:space="0" w:color="auto"/>
              <w:bottom w:val="single" w:sz="2" w:space="0" w:color="auto"/>
              <w:right w:val="single" w:sz="2" w:space="0" w:color="auto"/>
            </w:tcBorders>
            <w:vAlign w:val="center"/>
          </w:tcPr>
          <w:p w14:paraId="52AEBCE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491B9F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7,994,386.19</w:t>
            </w:r>
          </w:p>
        </w:tc>
        <w:tc>
          <w:tcPr>
            <w:tcW w:w="1377" w:type="dxa"/>
            <w:tcBorders>
              <w:top w:val="single" w:sz="2" w:space="0" w:color="auto"/>
              <w:left w:val="single" w:sz="2" w:space="0" w:color="auto"/>
              <w:bottom w:val="single" w:sz="2" w:space="0" w:color="auto"/>
              <w:right w:val="single" w:sz="2" w:space="0" w:color="auto"/>
            </w:tcBorders>
            <w:vAlign w:val="center"/>
          </w:tcPr>
          <w:p w14:paraId="35972C1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14:paraId="03834A8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ECE93D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609F8B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7,994,386.19</w:t>
            </w:r>
          </w:p>
        </w:tc>
      </w:tr>
      <w:tr w:rsidR="006C011D" w:rsidRPr="005A284F" w14:paraId="31517410"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D4871F4"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14:paraId="0F489D6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FCAF9F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14:paraId="58E557F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14:paraId="716D997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4A6580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C8BFC0E"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2A70D0AF"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CDE4E86" w14:textId="77777777" w:rsidR="006C011D" w:rsidRPr="005A284F" w:rsidRDefault="006C011D">
            <w:pPr>
              <w:spacing w:after="0" w:line="240" w:lineRule="exac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77733D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30B70D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8F44CA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F2E9CF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A49271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36CA7DD"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6655CD8D"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50285BE"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期末余额</w:t>
            </w:r>
          </w:p>
        </w:tc>
        <w:tc>
          <w:tcPr>
            <w:tcW w:w="1377" w:type="dxa"/>
            <w:tcBorders>
              <w:top w:val="single" w:sz="2" w:space="0" w:color="auto"/>
              <w:left w:val="single" w:sz="2" w:space="0" w:color="auto"/>
              <w:bottom w:val="single" w:sz="2" w:space="0" w:color="auto"/>
              <w:right w:val="single" w:sz="2" w:space="0" w:color="auto"/>
            </w:tcBorders>
            <w:vAlign w:val="center"/>
          </w:tcPr>
          <w:p w14:paraId="0CD19E6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0B6506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6,844,720.70</w:t>
            </w:r>
          </w:p>
        </w:tc>
        <w:tc>
          <w:tcPr>
            <w:tcW w:w="1377" w:type="dxa"/>
            <w:tcBorders>
              <w:top w:val="single" w:sz="2" w:space="0" w:color="auto"/>
              <w:left w:val="single" w:sz="2" w:space="0" w:color="auto"/>
              <w:bottom w:val="single" w:sz="2" w:space="0" w:color="auto"/>
              <w:right w:val="single" w:sz="2" w:space="0" w:color="auto"/>
            </w:tcBorders>
            <w:vAlign w:val="center"/>
          </w:tcPr>
          <w:p w14:paraId="4D372C6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14:paraId="58AE381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EAB973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7D3E07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6,844,720.70</w:t>
            </w:r>
          </w:p>
        </w:tc>
      </w:tr>
      <w:tr w:rsidR="006C011D" w:rsidRPr="005A284F" w14:paraId="4DA4A043"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4BB8227"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三、减值准备</w:t>
            </w:r>
          </w:p>
        </w:tc>
        <w:tc>
          <w:tcPr>
            <w:tcW w:w="1377" w:type="dxa"/>
            <w:tcBorders>
              <w:top w:val="single" w:sz="2" w:space="0" w:color="auto"/>
              <w:left w:val="single" w:sz="2" w:space="0" w:color="auto"/>
              <w:bottom w:val="single" w:sz="2" w:space="0" w:color="auto"/>
              <w:right w:val="single" w:sz="2" w:space="0" w:color="auto"/>
            </w:tcBorders>
            <w:vAlign w:val="center"/>
          </w:tcPr>
          <w:p w14:paraId="287CC32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55840E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5BDE60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12EA92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61B4A3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FFB7AD8"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200281E0"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FA5047B"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期初余额</w:t>
            </w:r>
          </w:p>
        </w:tc>
        <w:tc>
          <w:tcPr>
            <w:tcW w:w="1377" w:type="dxa"/>
            <w:tcBorders>
              <w:top w:val="single" w:sz="2" w:space="0" w:color="auto"/>
              <w:left w:val="single" w:sz="2" w:space="0" w:color="auto"/>
              <w:bottom w:val="single" w:sz="2" w:space="0" w:color="auto"/>
              <w:right w:val="single" w:sz="2" w:space="0" w:color="auto"/>
            </w:tcBorders>
            <w:vAlign w:val="center"/>
          </w:tcPr>
          <w:p w14:paraId="38A9A9D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FE6728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3,170,968.58</w:t>
            </w:r>
          </w:p>
        </w:tc>
        <w:tc>
          <w:tcPr>
            <w:tcW w:w="1377" w:type="dxa"/>
            <w:tcBorders>
              <w:top w:val="single" w:sz="2" w:space="0" w:color="auto"/>
              <w:left w:val="single" w:sz="2" w:space="0" w:color="auto"/>
              <w:bottom w:val="single" w:sz="2" w:space="0" w:color="auto"/>
              <w:right w:val="single" w:sz="2" w:space="0" w:color="auto"/>
            </w:tcBorders>
            <w:vAlign w:val="center"/>
          </w:tcPr>
          <w:p w14:paraId="26C5815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76,040.61</w:t>
            </w:r>
          </w:p>
        </w:tc>
        <w:tc>
          <w:tcPr>
            <w:tcW w:w="1377" w:type="dxa"/>
            <w:tcBorders>
              <w:top w:val="single" w:sz="2" w:space="0" w:color="auto"/>
              <w:left w:val="single" w:sz="2" w:space="0" w:color="auto"/>
              <w:bottom w:val="single" w:sz="2" w:space="0" w:color="auto"/>
              <w:right w:val="single" w:sz="2" w:space="0" w:color="auto"/>
            </w:tcBorders>
            <w:vAlign w:val="center"/>
          </w:tcPr>
          <w:p w14:paraId="01FE97B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F0FA73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68ED15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3,247,009.19</w:t>
            </w:r>
          </w:p>
        </w:tc>
      </w:tr>
      <w:tr w:rsidR="006C011D" w:rsidRPr="005A284F" w14:paraId="37FEAD61"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B3D44D8"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本期增加金额</w:t>
            </w:r>
          </w:p>
        </w:tc>
        <w:tc>
          <w:tcPr>
            <w:tcW w:w="1377" w:type="dxa"/>
            <w:tcBorders>
              <w:top w:val="single" w:sz="2" w:space="0" w:color="auto"/>
              <w:left w:val="single" w:sz="2" w:space="0" w:color="auto"/>
              <w:bottom w:val="single" w:sz="2" w:space="0" w:color="auto"/>
              <w:right w:val="single" w:sz="2" w:space="0" w:color="auto"/>
            </w:tcBorders>
            <w:vAlign w:val="center"/>
          </w:tcPr>
          <w:p w14:paraId="1886DD7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8EB3DF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3B5838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58488F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888712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568FEAA"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3077D699"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04E321D"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计提</w:t>
            </w:r>
          </w:p>
        </w:tc>
        <w:tc>
          <w:tcPr>
            <w:tcW w:w="1377" w:type="dxa"/>
            <w:tcBorders>
              <w:top w:val="single" w:sz="2" w:space="0" w:color="auto"/>
              <w:left w:val="single" w:sz="2" w:space="0" w:color="auto"/>
              <w:bottom w:val="single" w:sz="2" w:space="0" w:color="auto"/>
              <w:right w:val="single" w:sz="2" w:space="0" w:color="auto"/>
            </w:tcBorders>
            <w:vAlign w:val="center"/>
          </w:tcPr>
          <w:p w14:paraId="12E54E2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1F3791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47A5D0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54F82F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65F980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C58A9D3"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A7C5A18"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00708859" w14:textId="77777777" w:rsidR="006C011D" w:rsidRPr="005A284F" w:rsidRDefault="006C011D">
            <w:pPr>
              <w:spacing w:after="0" w:line="240" w:lineRule="exac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82B6CD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4FC2C6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9407A2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99B2B5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0DAAE8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065550B"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7BB57134"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F990F0D"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本期减少金额</w:t>
            </w:r>
          </w:p>
        </w:tc>
        <w:tc>
          <w:tcPr>
            <w:tcW w:w="1377" w:type="dxa"/>
            <w:tcBorders>
              <w:top w:val="single" w:sz="2" w:space="0" w:color="auto"/>
              <w:left w:val="single" w:sz="2" w:space="0" w:color="auto"/>
              <w:bottom w:val="single" w:sz="2" w:space="0" w:color="auto"/>
              <w:right w:val="single" w:sz="2" w:space="0" w:color="auto"/>
            </w:tcBorders>
            <w:vAlign w:val="center"/>
          </w:tcPr>
          <w:p w14:paraId="0DE358B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5D01D8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2,895,088.58</w:t>
            </w:r>
          </w:p>
        </w:tc>
        <w:tc>
          <w:tcPr>
            <w:tcW w:w="1377" w:type="dxa"/>
            <w:tcBorders>
              <w:top w:val="single" w:sz="2" w:space="0" w:color="auto"/>
              <w:left w:val="single" w:sz="2" w:space="0" w:color="auto"/>
              <w:bottom w:val="single" w:sz="2" w:space="0" w:color="auto"/>
              <w:right w:val="single" w:sz="2" w:space="0" w:color="auto"/>
            </w:tcBorders>
            <w:vAlign w:val="center"/>
          </w:tcPr>
          <w:p w14:paraId="7C09C03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14:paraId="1D1F3D8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288CF3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5835DE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2,895,088.58</w:t>
            </w:r>
          </w:p>
        </w:tc>
      </w:tr>
      <w:tr w:rsidR="006C011D" w:rsidRPr="005A284F" w14:paraId="358F95C2"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AC4CA61"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处置</w:t>
            </w:r>
          </w:p>
        </w:tc>
        <w:tc>
          <w:tcPr>
            <w:tcW w:w="1377" w:type="dxa"/>
            <w:tcBorders>
              <w:top w:val="single" w:sz="2" w:space="0" w:color="auto"/>
              <w:left w:val="single" w:sz="2" w:space="0" w:color="auto"/>
              <w:bottom w:val="single" w:sz="2" w:space="0" w:color="auto"/>
              <w:right w:val="single" w:sz="2" w:space="0" w:color="auto"/>
            </w:tcBorders>
            <w:vAlign w:val="center"/>
          </w:tcPr>
          <w:p w14:paraId="6A94DA0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B7E3DC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2,895,088.58</w:t>
            </w:r>
          </w:p>
        </w:tc>
        <w:tc>
          <w:tcPr>
            <w:tcW w:w="1377" w:type="dxa"/>
            <w:tcBorders>
              <w:top w:val="single" w:sz="2" w:space="0" w:color="auto"/>
              <w:left w:val="single" w:sz="2" w:space="0" w:color="auto"/>
              <w:bottom w:val="single" w:sz="2" w:space="0" w:color="auto"/>
              <w:right w:val="single" w:sz="2" w:space="0" w:color="auto"/>
            </w:tcBorders>
            <w:vAlign w:val="center"/>
          </w:tcPr>
          <w:p w14:paraId="6515BED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14:paraId="0E46D7C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ED1DF4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46FF17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2,895,088.58</w:t>
            </w:r>
          </w:p>
        </w:tc>
      </w:tr>
      <w:tr w:rsidR="006C011D" w:rsidRPr="005A284F" w14:paraId="79100F1D"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0711568"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14:paraId="6D4F202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F907AA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4BE9C2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F79808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34568C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8D1860A"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54E861CE"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7820B16F" w14:textId="77777777" w:rsidR="006C011D" w:rsidRPr="005A284F" w:rsidRDefault="006C011D">
            <w:pPr>
              <w:spacing w:after="0" w:line="240" w:lineRule="exac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943F0B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E76DDB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124C6F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AF2CE5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FE3F30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6EEDEDB"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56C29B4C"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1FD0B67"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期末余额</w:t>
            </w:r>
          </w:p>
        </w:tc>
        <w:tc>
          <w:tcPr>
            <w:tcW w:w="1377" w:type="dxa"/>
            <w:tcBorders>
              <w:top w:val="single" w:sz="2" w:space="0" w:color="auto"/>
              <w:left w:val="single" w:sz="2" w:space="0" w:color="auto"/>
              <w:bottom w:val="single" w:sz="2" w:space="0" w:color="auto"/>
              <w:right w:val="single" w:sz="2" w:space="0" w:color="auto"/>
            </w:tcBorders>
            <w:vAlign w:val="center"/>
          </w:tcPr>
          <w:p w14:paraId="13AB5A0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FA91F0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275,880.00</w:t>
            </w:r>
          </w:p>
        </w:tc>
        <w:tc>
          <w:tcPr>
            <w:tcW w:w="1377" w:type="dxa"/>
            <w:tcBorders>
              <w:top w:val="single" w:sz="2" w:space="0" w:color="auto"/>
              <w:left w:val="single" w:sz="2" w:space="0" w:color="auto"/>
              <w:bottom w:val="single" w:sz="2" w:space="0" w:color="auto"/>
              <w:right w:val="single" w:sz="2" w:space="0" w:color="auto"/>
            </w:tcBorders>
            <w:vAlign w:val="center"/>
          </w:tcPr>
          <w:p w14:paraId="06170AC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76,040.61</w:t>
            </w:r>
          </w:p>
        </w:tc>
        <w:tc>
          <w:tcPr>
            <w:tcW w:w="1377" w:type="dxa"/>
            <w:tcBorders>
              <w:top w:val="single" w:sz="2" w:space="0" w:color="auto"/>
              <w:left w:val="single" w:sz="2" w:space="0" w:color="auto"/>
              <w:bottom w:val="single" w:sz="2" w:space="0" w:color="auto"/>
              <w:right w:val="single" w:sz="2" w:space="0" w:color="auto"/>
            </w:tcBorders>
            <w:vAlign w:val="center"/>
          </w:tcPr>
          <w:p w14:paraId="3D0574F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5643D0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18642E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351,920.61</w:t>
            </w:r>
          </w:p>
        </w:tc>
      </w:tr>
      <w:tr w:rsidR="006C011D" w:rsidRPr="005A284F" w14:paraId="1C03D50B"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2CC8F99"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四、账面价值</w:t>
            </w:r>
          </w:p>
        </w:tc>
        <w:tc>
          <w:tcPr>
            <w:tcW w:w="1377" w:type="dxa"/>
            <w:tcBorders>
              <w:top w:val="single" w:sz="2" w:space="0" w:color="auto"/>
              <w:left w:val="single" w:sz="2" w:space="0" w:color="auto"/>
              <w:bottom w:val="single" w:sz="2" w:space="0" w:color="auto"/>
              <w:right w:val="single" w:sz="2" w:space="0" w:color="auto"/>
            </w:tcBorders>
            <w:vAlign w:val="center"/>
          </w:tcPr>
          <w:p w14:paraId="7CADA40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C7A199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334115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F8B0B6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44065F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594E436"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572C60F4"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A10D046"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1.</w:t>
            </w:r>
            <w:r w:rsidRPr="005A284F">
              <w:rPr>
                <w:rFonts w:ascii="Times New Roman" w:eastAsia="宋体" w:hAnsi="Times New Roman" w:cs="Times New Roman"/>
                <w:sz w:val="18"/>
                <w:szCs w:val="18"/>
              </w:rPr>
              <w:t>期末账面价值</w:t>
            </w:r>
          </w:p>
        </w:tc>
        <w:tc>
          <w:tcPr>
            <w:tcW w:w="1377" w:type="dxa"/>
            <w:tcBorders>
              <w:top w:val="single" w:sz="2" w:space="0" w:color="auto"/>
              <w:left w:val="single" w:sz="2" w:space="0" w:color="auto"/>
              <w:bottom w:val="single" w:sz="2" w:space="0" w:color="auto"/>
              <w:right w:val="single" w:sz="2" w:space="0" w:color="auto"/>
            </w:tcBorders>
            <w:vAlign w:val="center"/>
          </w:tcPr>
          <w:p w14:paraId="5212FFF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DF3A91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44,063,902.69</w:t>
            </w:r>
          </w:p>
        </w:tc>
        <w:tc>
          <w:tcPr>
            <w:tcW w:w="1377" w:type="dxa"/>
            <w:tcBorders>
              <w:top w:val="single" w:sz="2" w:space="0" w:color="auto"/>
              <w:left w:val="single" w:sz="2" w:space="0" w:color="auto"/>
              <w:bottom w:val="single" w:sz="2" w:space="0" w:color="auto"/>
              <w:right w:val="single" w:sz="2" w:space="0" w:color="auto"/>
            </w:tcBorders>
            <w:vAlign w:val="center"/>
          </w:tcPr>
          <w:p w14:paraId="47A992F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24,346,154.88</w:t>
            </w:r>
          </w:p>
        </w:tc>
        <w:tc>
          <w:tcPr>
            <w:tcW w:w="1377" w:type="dxa"/>
            <w:tcBorders>
              <w:top w:val="single" w:sz="2" w:space="0" w:color="auto"/>
              <w:left w:val="single" w:sz="2" w:space="0" w:color="auto"/>
              <w:bottom w:val="single" w:sz="2" w:space="0" w:color="auto"/>
              <w:right w:val="single" w:sz="2" w:space="0" w:color="auto"/>
            </w:tcBorders>
            <w:vAlign w:val="center"/>
          </w:tcPr>
          <w:p w14:paraId="4F780AD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B4580C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46AFB0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68,410,057.57</w:t>
            </w:r>
          </w:p>
        </w:tc>
      </w:tr>
      <w:tr w:rsidR="006C011D" w:rsidRPr="005A284F" w14:paraId="71FCAE16"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C9059B0"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期初账面价值</w:t>
            </w:r>
          </w:p>
        </w:tc>
        <w:tc>
          <w:tcPr>
            <w:tcW w:w="1377" w:type="dxa"/>
            <w:tcBorders>
              <w:top w:val="single" w:sz="2" w:space="0" w:color="auto"/>
              <w:left w:val="single" w:sz="2" w:space="0" w:color="auto"/>
              <w:bottom w:val="single" w:sz="2" w:space="0" w:color="auto"/>
              <w:right w:val="single" w:sz="2" w:space="0" w:color="auto"/>
            </w:tcBorders>
            <w:vAlign w:val="center"/>
          </w:tcPr>
          <w:p w14:paraId="28CDA81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4B6CE4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20,938,186.32</w:t>
            </w:r>
          </w:p>
        </w:tc>
        <w:tc>
          <w:tcPr>
            <w:tcW w:w="1377" w:type="dxa"/>
            <w:tcBorders>
              <w:top w:val="single" w:sz="2" w:space="0" w:color="auto"/>
              <w:left w:val="single" w:sz="2" w:space="0" w:color="auto"/>
              <w:bottom w:val="single" w:sz="2" w:space="0" w:color="auto"/>
              <w:right w:val="single" w:sz="2" w:space="0" w:color="auto"/>
            </w:tcBorders>
            <w:vAlign w:val="center"/>
          </w:tcPr>
          <w:p w14:paraId="2413612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13,014,603.95</w:t>
            </w:r>
          </w:p>
        </w:tc>
        <w:tc>
          <w:tcPr>
            <w:tcW w:w="1377" w:type="dxa"/>
            <w:tcBorders>
              <w:top w:val="single" w:sz="2" w:space="0" w:color="auto"/>
              <w:left w:val="single" w:sz="2" w:space="0" w:color="auto"/>
              <w:bottom w:val="single" w:sz="2" w:space="0" w:color="auto"/>
              <w:right w:val="single" w:sz="2" w:space="0" w:color="auto"/>
            </w:tcBorders>
            <w:vAlign w:val="center"/>
          </w:tcPr>
          <w:p w14:paraId="1683621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9572AC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010078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33,952,790.27</w:t>
            </w:r>
          </w:p>
        </w:tc>
      </w:tr>
    </w:tbl>
    <w:p w14:paraId="05AF741D" w14:textId="77777777"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42" w:name="_Toc989170"/>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2</w:t>
      </w:r>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 xml:space="preserve"> </w:t>
      </w:r>
      <w:r w:rsidRPr="005A284F">
        <w:rPr>
          <w:rFonts w:ascii="Times New Roman" w:eastAsia="宋体" w:hAnsi="Times New Roman" w:cs="Times New Roman"/>
          <w:b/>
          <w:bCs/>
          <w:sz w:val="21"/>
          <w:szCs w:val="21"/>
        </w:rPr>
        <w:t>采用成本计量模式的生产性生物资产的减值测试情况</w:t>
      </w:r>
      <w:bookmarkEnd w:id="242"/>
    </w:p>
    <w:p w14:paraId="3706223A" w14:textId="77777777" w:rsidR="006C011D" w:rsidRPr="005E1317" w:rsidRDefault="00000000">
      <w:pPr>
        <w:spacing w:before="40" w:after="40" w:line="240" w:lineRule="exact"/>
        <w:rPr>
          <w:rFonts w:ascii="宋体" w:eastAsia="宋体" w:hAnsi="宋体" w:cs="Times New Roman" w:hint="eastAsia"/>
          <w:sz w:val="18"/>
          <w:szCs w:val="18"/>
        </w:rPr>
      </w:pPr>
      <w:r w:rsidRPr="005E1317">
        <w:rPr>
          <w:rFonts w:ascii="宋体" w:eastAsia="宋体" w:hAnsi="宋体" w:cs="Times New Roman"/>
          <w:sz w:val="18"/>
          <w:szCs w:val="18"/>
        </w:rPr>
        <w:t xml:space="preserve">□适用 </w:t>
      </w:r>
      <w:r w:rsidRPr="005E1317">
        <w:rPr>
          <w:rFonts w:ascii="宋体" w:eastAsia="宋体" w:hAnsi="宋体" w:cs="Times New Roman"/>
          <w:sz w:val="18"/>
          <w:szCs w:val="18"/>
        </w:rPr>
        <w:sym w:font="Wingdings 2" w:char="F052"/>
      </w:r>
      <w:r w:rsidRPr="005E1317">
        <w:rPr>
          <w:rFonts w:ascii="宋体" w:eastAsia="宋体" w:hAnsi="宋体" w:cs="Times New Roman"/>
          <w:sz w:val="18"/>
          <w:szCs w:val="18"/>
        </w:rPr>
        <w:t>不适用</w:t>
      </w:r>
    </w:p>
    <w:p w14:paraId="015BCC90" w14:textId="77777777"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43" w:name="_Toc989171"/>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3</w:t>
      </w:r>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 xml:space="preserve"> </w:t>
      </w:r>
      <w:r w:rsidRPr="005A284F">
        <w:rPr>
          <w:rFonts w:ascii="Times New Roman" w:eastAsia="宋体" w:hAnsi="Times New Roman" w:cs="Times New Roman"/>
          <w:b/>
          <w:bCs/>
          <w:sz w:val="21"/>
          <w:szCs w:val="21"/>
        </w:rPr>
        <w:t>采用公允价值计量模式的生产性生物资产</w:t>
      </w:r>
      <w:bookmarkEnd w:id="243"/>
    </w:p>
    <w:p w14:paraId="39C35A59" w14:textId="77777777" w:rsidR="006C011D" w:rsidRPr="005E1317" w:rsidRDefault="00000000">
      <w:pPr>
        <w:spacing w:before="40" w:after="40" w:line="240" w:lineRule="exact"/>
        <w:rPr>
          <w:rFonts w:ascii="宋体" w:eastAsia="宋体" w:hAnsi="宋体" w:cs="Times New Roman" w:hint="eastAsia"/>
          <w:sz w:val="18"/>
          <w:szCs w:val="18"/>
        </w:rPr>
      </w:pPr>
      <w:r w:rsidRPr="005E1317">
        <w:rPr>
          <w:rFonts w:ascii="宋体" w:eastAsia="宋体" w:hAnsi="宋体" w:cs="Times New Roman"/>
          <w:sz w:val="18"/>
          <w:szCs w:val="18"/>
        </w:rPr>
        <w:t xml:space="preserve">□适用 </w:t>
      </w:r>
      <w:r w:rsidRPr="005E1317">
        <w:rPr>
          <w:rFonts w:ascii="宋体" w:eastAsia="宋体" w:hAnsi="宋体" w:cs="Times New Roman"/>
          <w:sz w:val="18"/>
          <w:szCs w:val="18"/>
        </w:rPr>
        <w:sym w:font="Wingdings 2" w:char="F052"/>
      </w:r>
      <w:r w:rsidRPr="005E1317">
        <w:rPr>
          <w:rFonts w:ascii="宋体" w:eastAsia="宋体" w:hAnsi="宋体" w:cs="Times New Roman"/>
          <w:sz w:val="18"/>
          <w:szCs w:val="18"/>
        </w:rPr>
        <w:t>不适用</w:t>
      </w:r>
    </w:p>
    <w:p w14:paraId="166DDE5B" w14:textId="77777777" w:rsidR="006C011D" w:rsidRPr="005A284F" w:rsidRDefault="00000000">
      <w:pPr>
        <w:pStyle w:val="3"/>
        <w:spacing w:line="280" w:lineRule="exact"/>
        <w:jc w:val="left"/>
        <w:rPr>
          <w:rFonts w:ascii="Times New Roman" w:hAnsi="Times New Roman" w:cs="Times New Roman"/>
          <w:b/>
          <w:bCs/>
        </w:rPr>
      </w:pPr>
      <w:bookmarkStart w:id="244" w:name="_Toc989172"/>
      <w:r w:rsidRPr="005A284F">
        <w:rPr>
          <w:rFonts w:ascii="Times New Roman" w:hAnsi="Times New Roman" w:cs="Times New Roman"/>
          <w:b/>
          <w:bCs/>
        </w:rPr>
        <w:t>24</w:t>
      </w:r>
      <w:r w:rsidRPr="005A284F">
        <w:rPr>
          <w:rFonts w:ascii="Times New Roman" w:hAnsi="Times New Roman" w:cs="Times New Roman"/>
          <w:b/>
          <w:bCs/>
        </w:rPr>
        <w:t>、油气资产</w:t>
      </w:r>
      <w:bookmarkEnd w:id="244"/>
    </w:p>
    <w:p w14:paraId="0FF7F5B8" w14:textId="77777777" w:rsidR="006C011D" w:rsidRPr="005E1317" w:rsidRDefault="00000000" w:rsidP="005E1317">
      <w:pPr>
        <w:spacing w:before="40" w:after="40" w:line="240" w:lineRule="exact"/>
        <w:rPr>
          <w:rFonts w:ascii="宋体" w:eastAsia="宋体" w:hAnsi="宋体" w:cs="Times New Roman" w:hint="eastAsia"/>
          <w:sz w:val="18"/>
          <w:szCs w:val="18"/>
        </w:rPr>
      </w:pPr>
      <w:r w:rsidRPr="005E1317">
        <w:rPr>
          <w:rFonts w:ascii="宋体" w:eastAsia="宋体" w:hAnsi="宋体" w:cs="Times New Roman"/>
          <w:sz w:val="18"/>
          <w:szCs w:val="18"/>
        </w:rPr>
        <w:t xml:space="preserve">□适用 </w:t>
      </w:r>
      <w:r w:rsidRPr="005E1317">
        <w:rPr>
          <w:rFonts w:ascii="宋体" w:eastAsia="宋体" w:hAnsi="宋体" w:cs="Times New Roman"/>
          <w:sz w:val="18"/>
          <w:szCs w:val="18"/>
        </w:rPr>
        <w:sym w:font="Wingdings 2" w:char="F052"/>
      </w:r>
      <w:r w:rsidRPr="005E1317">
        <w:rPr>
          <w:rFonts w:ascii="宋体" w:eastAsia="宋体" w:hAnsi="宋体" w:cs="Times New Roman"/>
          <w:sz w:val="18"/>
          <w:szCs w:val="18"/>
        </w:rPr>
        <w:t>不适用</w:t>
      </w:r>
    </w:p>
    <w:p w14:paraId="369A5136" w14:textId="77777777" w:rsidR="006C011D" w:rsidRPr="005A284F" w:rsidRDefault="00000000">
      <w:pPr>
        <w:pStyle w:val="3"/>
        <w:spacing w:line="280" w:lineRule="exact"/>
        <w:jc w:val="left"/>
        <w:rPr>
          <w:rFonts w:ascii="Times New Roman" w:hAnsi="Times New Roman" w:cs="Times New Roman"/>
          <w:b/>
          <w:bCs/>
        </w:rPr>
      </w:pPr>
      <w:bookmarkStart w:id="245" w:name="_Toc989173"/>
      <w:r w:rsidRPr="005A284F">
        <w:rPr>
          <w:rFonts w:ascii="Times New Roman" w:hAnsi="Times New Roman" w:cs="Times New Roman"/>
          <w:b/>
          <w:bCs/>
        </w:rPr>
        <w:t>25</w:t>
      </w:r>
      <w:r w:rsidRPr="005A284F">
        <w:rPr>
          <w:rFonts w:ascii="Times New Roman" w:hAnsi="Times New Roman" w:cs="Times New Roman"/>
          <w:b/>
          <w:bCs/>
        </w:rPr>
        <w:t>、使用权资产</w:t>
      </w:r>
      <w:bookmarkEnd w:id="245"/>
    </w:p>
    <w:p w14:paraId="592A5564" w14:textId="4A8D8B7D"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46" w:name="_Toc989174"/>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1</w:t>
      </w:r>
      <w:r w:rsidRPr="005A284F">
        <w:rPr>
          <w:rFonts w:ascii="Times New Roman" w:eastAsia="宋体" w:hAnsi="Times New Roman" w:cs="Times New Roman"/>
          <w:b/>
          <w:bCs/>
          <w:sz w:val="21"/>
          <w:szCs w:val="21"/>
        </w:rPr>
        <w:t>）使用权资产情况</w:t>
      </w:r>
      <w:bookmarkEnd w:id="246"/>
    </w:p>
    <w:p w14:paraId="481AAFD3"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6C011D" w:rsidRPr="005A284F" w14:paraId="6FB53EB9"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2D80AF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2410" w:type="dxa"/>
            <w:tcBorders>
              <w:top w:val="single" w:sz="2" w:space="0" w:color="auto"/>
              <w:left w:val="single" w:sz="2" w:space="0" w:color="auto"/>
              <w:bottom w:val="single" w:sz="2" w:space="0" w:color="auto"/>
              <w:right w:val="single" w:sz="2" w:space="0" w:color="auto"/>
            </w:tcBorders>
            <w:vAlign w:val="center"/>
          </w:tcPr>
          <w:p w14:paraId="75299359" w14:textId="77777777" w:rsidR="006C011D" w:rsidRPr="005A284F" w:rsidRDefault="00000000">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房屋及建筑物</w:t>
            </w:r>
          </w:p>
        </w:tc>
        <w:tc>
          <w:tcPr>
            <w:tcW w:w="2410" w:type="dxa"/>
            <w:tcBorders>
              <w:top w:val="single" w:sz="2" w:space="0" w:color="auto"/>
              <w:left w:val="single" w:sz="2" w:space="0" w:color="auto"/>
              <w:bottom w:val="single" w:sz="2" w:space="0" w:color="auto"/>
              <w:right w:val="single" w:sz="2" w:space="0" w:color="auto"/>
            </w:tcBorders>
            <w:vAlign w:val="center"/>
          </w:tcPr>
          <w:p w14:paraId="5706B391" w14:textId="77777777" w:rsidR="006C011D" w:rsidRPr="005A284F" w:rsidRDefault="00000000">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土地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723B3C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r>
      <w:tr w:rsidR="006C011D" w:rsidRPr="005A284F" w14:paraId="41CBFA75"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7342018"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一、账面原值</w:t>
            </w:r>
          </w:p>
        </w:tc>
        <w:tc>
          <w:tcPr>
            <w:tcW w:w="2410" w:type="dxa"/>
            <w:tcBorders>
              <w:top w:val="single" w:sz="2" w:space="0" w:color="auto"/>
              <w:left w:val="single" w:sz="2" w:space="0" w:color="auto"/>
              <w:bottom w:val="single" w:sz="2" w:space="0" w:color="auto"/>
              <w:right w:val="single" w:sz="2" w:space="0" w:color="auto"/>
            </w:tcBorders>
            <w:vAlign w:val="center"/>
          </w:tcPr>
          <w:p w14:paraId="45BFE6F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E0BD4E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56F2F5C9"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569ECEF"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9543D8F" w14:textId="77777777" w:rsidR="006C011D" w:rsidRPr="005A284F" w:rsidRDefault="00000000">
            <w:pPr>
              <w:spacing w:before="40" w:after="4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期初余额</w:t>
            </w:r>
          </w:p>
        </w:tc>
        <w:tc>
          <w:tcPr>
            <w:tcW w:w="2410" w:type="dxa"/>
            <w:tcBorders>
              <w:top w:val="single" w:sz="2" w:space="0" w:color="auto"/>
              <w:left w:val="single" w:sz="2" w:space="0" w:color="auto"/>
              <w:bottom w:val="single" w:sz="2" w:space="0" w:color="auto"/>
              <w:right w:val="single" w:sz="2" w:space="0" w:color="auto"/>
            </w:tcBorders>
            <w:vAlign w:val="center"/>
          </w:tcPr>
          <w:p w14:paraId="3FCA75B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39,677,585.55</w:t>
            </w:r>
          </w:p>
        </w:tc>
        <w:tc>
          <w:tcPr>
            <w:tcW w:w="2410" w:type="dxa"/>
            <w:tcBorders>
              <w:top w:val="single" w:sz="2" w:space="0" w:color="auto"/>
              <w:left w:val="single" w:sz="2" w:space="0" w:color="auto"/>
              <w:bottom w:val="single" w:sz="2" w:space="0" w:color="auto"/>
              <w:right w:val="single" w:sz="2" w:space="0" w:color="auto"/>
            </w:tcBorders>
            <w:vAlign w:val="center"/>
          </w:tcPr>
          <w:p w14:paraId="55137E8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29,381,543.21</w:t>
            </w:r>
          </w:p>
        </w:tc>
        <w:tc>
          <w:tcPr>
            <w:tcW w:w="2410" w:type="dxa"/>
            <w:tcBorders>
              <w:top w:val="single" w:sz="2" w:space="0" w:color="auto"/>
              <w:left w:val="single" w:sz="2" w:space="0" w:color="auto"/>
              <w:bottom w:val="single" w:sz="2" w:space="0" w:color="auto"/>
              <w:right w:val="single" w:sz="2" w:space="0" w:color="auto"/>
            </w:tcBorders>
            <w:vAlign w:val="center"/>
          </w:tcPr>
          <w:p w14:paraId="67E98A4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69,059,128.76</w:t>
            </w:r>
          </w:p>
        </w:tc>
      </w:tr>
      <w:tr w:rsidR="006C011D" w:rsidRPr="005A284F" w14:paraId="4FB3621F"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BB32FF7" w14:textId="77777777" w:rsidR="006C011D" w:rsidRPr="005A284F" w:rsidRDefault="00000000">
            <w:pPr>
              <w:spacing w:before="40" w:after="4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本期增加金额</w:t>
            </w:r>
          </w:p>
        </w:tc>
        <w:tc>
          <w:tcPr>
            <w:tcW w:w="2410" w:type="dxa"/>
            <w:tcBorders>
              <w:top w:val="single" w:sz="2" w:space="0" w:color="auto"/>
              <w:left w:val="single" w:sz="2" w:space="0" w:color="auto"/>
              <w:bottom w:val="single" w:sz="2" w:space="0" w:color="auto"/>
              <w:right w:val="single" w:sz="2" w:space="0" w:color="auto"/>
            </w:tcBorders>
            <w:vAlign w:val="center"/>
          </w:tcPr>
          <w:p w14:paraId="3443F7D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58,049,059.01</w:t>
            </w:r>
          </w:p>
        </w:tc>
        <w:tc>
          <w:tcPr>
            <w:tcW w:w="2410" w:type="dxa"/>
            <w:tcBorders>
              <w:top w:val="single" w:sz="2" w:space="0" w:color="auto"/>
              <w:left w:val="single" w:sz="2" w:space="0" w:color="auto"/>
              <w:bottom w:val="single" w:sz="2" w:space="0" w:color="auto"/>
              <w:right w:val="single" w:sz="2" w:space="0" w:color="auto"/>
            </w:tcBorders>
            <w:vAlign w:val="center"/>
          </w:tcPr>
          <w:p w14:paraId="2E87B62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18,599,089.92</w:t>
            </w:r>
          </w:p>
        </w:tc>
        <w:tc>
          <w:tcPr>
            <w:tcW w:w="2410" w:type="dxa"/>
            <w:tcBorders>
              <w:top w:val="single" w:sz="2" w:space="0" w:color="auto"/>
              <w:left w:val="single" w:sz="2" w:space="0" w:color="auto"/>
              <w:bottom w:val="single" w:sz="2" w:space="0" w:color="auto"/>
              <w:right w:val="single" w:sz="2" w:space="0" w:color="auto"/>
            </w:tcBorders>
            <w:vAlign w:val="center"/>
          </w:tcPr>
          <w:p w14:paraId="276458E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76,648,148.93</w:t>
            </w:r>
          </w:p>
        </w:tc>
      </w:tr>
      <w:tr w:rsidR="006C011D" w:rsidRPr="005A284F" w14:paraId="2BB552B6"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2FC80EB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）购置</w:t>
            </w:r>
          </w:p>
        </w:tc>
        <w:tc>
          <w:tcPr>
            <w:tcW w:w="2410" w:type="dxa"/>
            <w:tcBorders>
              <w:top w:val="single" w:sz="2" w:space="0" w:color="auto"/>
              <w:left w:val="single" w:sz="2" w:space="0" w:color="auto"/>
              <w:bottom w:val="single" w:sz="2" w:space="0" w:color="auto"/>
              <w:right w:val="single" w:sz="2" w:space="0" w:color="auto"/>
            </w:tcBorders>
            <w:vAlign w:val="center"/>
          </w:tcPr>
          <w:p w14:paraId="28E83E1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58,049,059.01</w:t>
            </w:r>
          </w:p>
        </w:tc>
        <w:tc>
          <w:tcPr>
            <w:tcW w:w="2410" w:type="dxa"/>
            <w:tcBorders>
              <w:top w:val="single" w:sz="2" w:space="0" w:color="auto"/>
              <w:left w:val="single" w:sz="2" w:space="0" w:color="auto"/>
              <w:bottom w:val="single" w:sz="2" w:space="0" w:color="auto"/>
              <w:right w:val="single" w:sz="2" w:space="0" w:color="auto"/>
            </w:tcBorders>
            <w:vAlign w:val="center"/>
          </w:tcPr>
          <w:p w14:paraId="70A2F57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18,599,089.92</w:t>
            </w:r>
          </w:p>
        </w:tc>
        <w:tc>
          <w:tcPr>
            <w:tcW w:w="2410" w:type="dxa"/>
            <w:tcBorders>
              <w:top w:val="single" w:sz="2" w:space="0" w:color="auto"/>
              <w:left w:val="single" w:sz="2" w:space="0" w:color="auto"/>
              <w:bottom w:val="single" w:sz="2" w:space="0" w:color="auto"/>
              <w:right w:val="single" w:sz="2" w:space="0" w:color="auto"/>
            </w:tcBorders>
            <w:vAlign w:val="center"/>
          </w:tcPr>
          <w:p w14:paraId="36B07CE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76,648,148.93</w:t>
            </w:r>
          </w:p>
        </w:tc>
      </w:tr>
      <w:tr w:rsidR="006C011D" w:rsidRPr="005A284F" w14:paraId="53664345"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632D5F3" w14:textId="77777777" w:rsidR="006C011D" w:rsidRPr="005A284F" w:rsidRDefault="00000000">
            <w:pPr>
              <w:spacing w:before="40" w:after="4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本期减少金额</w:t>
            </w:r>
          </w:p>
        </w:tc>
        <w:tc>
          <w:tcPr>
            <w:tcW w:w="2410" w:type="dxa"/>
            <w:tcBorders>
              <w:top w:val="single" w:sz="2" w:space="0" w:color="auto"/>
              <w:left w:val="single" w:sz="2" w:space="0" w:color="auto"/>
              <w:bottom w:val="single" w:sz="2" w:space="0" w:color="auto"/>
              <w:right w:val="single" w:sz="2" w:space="0" w:color="auto"/>
            </w:tcBorders>
            <w:vAlign w:val="center"/>
          </w:tcPr>
          <w:p w14:paraId="4746B03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7DE2AE6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7C4A8F3E"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4AF3E0A5"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152F90C0" w14:textId="77777777" w:rsidR="006C011D" w:rsidRPr="005A284F" w:rsidRDefault="006C011D">
            <w:pPr>
              <w:spacing w:after="0" w:line="240" w:lineRule="exac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5CD0D1B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5209592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BAD1B0F"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334DB122"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8FDFDC0" w14:textId="77777777" w:rsidR="006C011D" w:rsidRPr="005A284F" w:rsidRDefault="00000000">
            <w:pPr>
              <w:spacing w:before="40" w:after="4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期末余额</w:t>
            </w:r>
          </w:p>
        </w:tc>
        <w:tc>
          <w:tcPr>
            <w:tcW w:w="2410" w:type="dxa"/>
            <w:tcBorders>
              <w:top w:val="single" w:sz="2" w:space="0" w:color="auto"/>
              <w:left w:val="single" w:sz="2" w:space="0" w:color="auto"/>
              <w:bottom w:val="single" w:sz="2" w:space="0" w:color="auto"/>
              <w:right w:val="single" w:sz="2" w:space="0" w:color="auto"/>
            </w:tcBorders>
            <w:vAlign w:val="center"/>
          </w:tcPr>
          <w:p w14:paraId="12FC602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97,726,644.56</w:t>
            </w:r>
          </w:p>
        </w:tc>
        <w:tc>
          <w:tcPr>
            <w:tcW w:w="2410" w:type="dxa"/>
            <w:tcBorders>
              <w:top w:val="single" w:sz="2" w:space="0" w:color="auto"/>
              <w:left w:val="single" w:sz="2" w:space="0" w:color="auto"/>
              <w:bottom w:val="single" w:sz="2" w:space="0" w:color="auto"/>
              <w:right w:val="single" w:sz="2" w:space="0" w:color="auto"/>
            </w:tcBorders>
            <w:vAlign w:val="center"/>
          </w:tcPr>
          <w:p w14:paraId="7700A05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47,980,633.13</w:t>
            </w:r>
          </w:p>
        </w:tc>
        <w:tc>
          <w:tcPr>
            <w:tcW w:w="2410" w:type="dxa"/>
            <w:tcBorders>
              <w:top w:val="single" w:sz="2" w:space="0" w:color="auto"/>
              <w:left w:val="single" w:sz="2" w:space="0" w:color="auto"/>
              <w:bottom w:val="single" w:sz="2" w:space="0" w:color="auto"/>
              <w:right w:val="single" w:sz="2" w:space="0" w:color="auto"/>
            </w:tcBorders>
            <w:vAlign w:val="center"/>
          </w:tcPr>
          <w:p w14:paraId="6E14E97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145,707,277.69</w:t>
            </w:r>
          </w:p>
        </w:tc>
      </w:tr>
      <w:tr w:rsidR="006C011D" w:rsidRPr="005A284F" w14:paraId="22AD72D7"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69127A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二、累计折旧</w:t>
            </w:r>
          </w:p>
        </w:tc>
        <w:tc>
          <w:tcPr>
            <w:tcW w:w="2410" w:type="dxa"/>
            <w:tcBorders>
              <w:top w:val="single" w:sz="2" w:space="0" w:color="auto"/>
              <w:left w:val="single" w:sz="2" w:space="0" w:color="auto"/>
              <w:bottom w:val="single" w:sz="2" w:space="0" w:color="auto"/>
              <w:right w:val="single" w:sz="2" w:space="0" w:color="auto"/>
            </w:tcBorders>
            <w:vAlign w:val="center"/>
          </w:tcPr>
          <w:p w14:paraId="49AB751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51B775A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62A5FE4"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581AC415"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31B60BE" w14:textId="77777777" w:rsidR="006C011D" w:rsidRPr="005A284F" w:rsidRDefault="00000000">
            <w:pPr>
              <w:spacing w:before="40" w:after="4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期初余额</w:t>
            </w:r>
          </w:p>
        </w:tc>
        <w:tc>
          <w:tcPr>
            <w:tcW w:w="2410" w:type="dxa"/>
            <w:tcBorders>
              <w:top w:val="single" w:sz="2" w:space="0" w:color="auto"/>
              <w:left w:val="single" w:sz="2" w:space="0" w:color="auto"/>
              <w:bottom w:val="single" w:sz="2" w:space="0" w:color="auto"/>
              <w:right w:val="single" w:sz="2" w:space="0" w:color="auto"/>
            </w:tcBorders>
            <w:vAlign w:val="center"/>
          </w:tcPr>
          <w:p w14:paraId="7C5B538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8,133,922.59</w:t>
            </w:r>
          </w:p>
        </w:tc>
        <w:tc>
          <w:tcPr>
            <w:tcW w:w="2410" w:type="dxa"/>
            <w:tcBorders>
              <w:top w:val="single" w:sz="2" w:space="0" w:color="auto"/>
              <w:left w:val="single" w:sz="2" w:space="0" w:color="auto"/>
              <w:bottom w:val="single" w:sz="2" w:space="0" w:color="auto"/>
              <w:right w:val="single" w:sz="2" w:space="0" w:color="auto"/>
            </w:tcBorders>
            <w:vAlign w:val="center"/>
          </w:tcPr>
          <w:p w14:paraId="56A061A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5,888,845.59</w:t>
            </w:r>
          </w:p>
        </w:tc>
        <w:tc>
          <w:tcPr>
            <w:tcW w:w="2410" w:type="dxa"/>
            <w:tcBorders>
              <w:top w:val="single" w:sz="2" w:space="0" w:color="auto"/>
              <w:left w:val="single" w:sz="2" w:space="0" w:color="auto"/>
              <w:bottom w:val="single" w:sz="2" w:space="0" w:color="auto"/>
              <w:right w:val="single" w:sz="2" w:space="0" w:color="auto"/>
            </w:tcBorders>
            <w:vAlign w:val="center"/>
          </w:tcPr>
          <w:p w14:paraId="61CEDDA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14,022,768.18</w:t>
            </w:r>
          </w:p>
        </w:tc>
      </w:tr>
      <w:tr w:rsidR="006C011D" w:rsidRPr="005A284F" w14:paraId="4C83E637"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5E1471A" w14:textId="77777777" w:rsidR="006C011D" w:rsidRPr="005A284F" w:rsidRDefault="00000000">
            <w:pPr>
              <w:spacing w:before="40" w:after="4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本期增加金额</w:t>
            </w:r>
          </w:p>
        </w:tc>
        <w:tc>
          <w:tcPr>
            <w:tcW w:w="2410" w:type="dxa"/>
            <w:tcBorders>
              <w:top w:val="single" w:sz="2" w:space="0" w:color="auto"/>
              <w:left w:val="single" w:sz="2" w:space="0" w:color="auto"/>
              <w:bottom w:val="single" w:sz="2" w:space="0" w:color="auto"/>
              <w:right w:val="single" w:sz="2" w:space="0" w:color="auto"/>
            </w:tcBorders>
            <w:vAlign w:val="center"/>
          </w:tcPr>
          <w:p w14:paraId="7E71726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298,402.94</w:t>
            </w:r>
          </w:p>
        </w:tc>
        <w:tc>
          <w:tcPr>
            <w:tcW w:w="2410" w:type="dxa"/>
            <w:tcBorders>
              <w:top w:val="single" w:sz="2" w:space="0" w:color="auto"/>
              <w:left w:val="single" w:sz="2" w:space="0" w:color="auto"/>
              <w:bottom w:val="single" w:sz="2" w:space="0" w:color="auto"/>
              <w:right w:val="single" w:sz="2" w:space="0" w:color="auto"/>
            </w:tcBorders>
            <w:vAlign w:val="center"/>
          </w:tcPr>
          <w:p w14:paraId="613DED7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3,553,663.63</w:t>
            </w:r>
          </w:p>
        </w:tc>
        <w:tc>
          <w:tcPr>
            <w:tcW w:w="2410" w:type="dxa"/>
            <w:tcBorders>
              <w:top w:val="single" w:sz="2" w:space="0" w:color="auto"/>
              <w:left w:val="single" w:sz="2" w:space="0" w:color="auto"/>
              <w:bottom w:val="single" w:sz="2" w:space="0" w:color="auto"/>
              <w:right w:val="single" w:sz="2" w:space="0" w:color="auto"/>
            </w:tcBorders>
            <w:vAlign w:val="center"/>
          </w:tcPr>
          <w:p w14:paraId="1FCB122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3,852,066.57</w:t>
            </w:r>
          </w:p>
        </w:tc>
      </w:tr>
      <w:tr w:rsidR="006C011D" w:rsidRPr="005A284F" w14:paraId="49D3BB22"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B239E79" w14:textId="77777777" w:rsidR="006C011D" w:rsidRPr="005A284F" w:rsidRDefault="00000000">
            <w:pPr>
              <w:spacing w:before="40" w:after="40" w:line="240" w:lineRule="exact"/>
              <w:ind w:firstLineChars="400" w:firstLine="720"/>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）计提</w:t>
            </w:r>
          </w:p>
        </w:tc>
        <w:tc>
          <w:tcPr>
            <w:tcW w:w="2410" w:type="dxa"/>
            <w:tcBorders>
              <w:top w:val="single" w:sz="2" w:space="0" w:color="auto"/>
              <w:left w:val="single" w:sz="2" w:space="0" w:color="auto"/>
              <w:bottom w:val="single" w:sz="2" w:space="0" w:color="auto"/>
              <w:right w:val="single" w:sz="2" w:space="0" w:color="auto"/>
            </w:tcBorders>
            <w:vAlign w:val="center"/>
          </w:tcPr>
          <w:p w14:paraId="208387A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298,402.94</w:t>
            </w:r>
          </w:p>
        </w:tc>
        <w:tc>
          <w:tcPr>
            <w:tcW w:w="2410" w:type="dxa"/>
            <w:tcBorders>
              <w:top w:val="single" w:sz="2" w:space="0" w:color="auto"/>
              <w:left w:val="single" w:sz="2" w:space="0" w:color="auto"/>
              <w:bottom w:val="single" w:sz="2" w:space="0" w:color="auto"/>
              <w:right w:val="single" w:sz="2" w:space="0" w:color="auto"/>
            </w:tcBorders>
            <w:vAlign w:val="center"/>
          </w:tcPr>
          <w:p w14:paraId="70F73F7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3,553,663.63</w:t>
            </w:r>
          </w:p>
        </w:tc>
        <w:tc>
          <w:tcPr>
            <w:tcW w:w="2410" w:type="dxa"/>
            <w:tcBorders>
              <w:top w:val="single" w:sz="2" w:space="0" w:color="auto"/>
              <w:left w:val="single" w:sz="2" w:space="0" w:color="auto"/>
              <w:bottom w:val="single" w:sz="2" w:space="0" w:color="auto"/>
              <w:right w:val="single" w:sz="2" w:space="0" w:color="auto"/>
            </w:tcBorders>
            <w:vAlign w:val="center"/>
          </w:tcPr>
          <w:p w14:paraId="584AD4D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3,852,066.57</w:t>
            </w:r>
          </w:p>
        </w:tc>
      </w:tr>
      <w:tr w:rsidR="006C011D" w:rsidRPr="005A284F" w14:paraId="0F293B71"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5ABED354" w14:textId="77777777" w:rsidR="006C011D" w:rsidRPr="005A284F" w:rsidRDefault="006C011D">
            <w:pPr>
              <w:spacing w:after="0" w:line="240" w:lineRule="exac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5BE1E6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9A1039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112F40C"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640B9DA6"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BDA11AD" w14:textId="77777777" w:rsidR="006C011D" w:rsidRPr="005A284F" w:rsidRDefault="00000000">
            <w:pPr>
              <w:spacing w:before="40" w:after="4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本期减少金额</w:t>
            </w:r>
          </w:p>
        </w:tc>
        <w:tc>
          <w:tcPr>
            <w:tcW w:w="2410" w:type="dxa"/>
            <w:tcBorders>
              <w:top w:val="single" w:sz="2" w:space="0" w:color="auto"/>
              <w:left w:val="single" w:sz="2" w:space="0" w:color="auto"/>
              <w:bottom w:val="single" w:sz="2" w:space="0" w:color="auto"/>
              <w:right w:val="single" w:sz="2" w:space="0" w:color="auto"/>
            </w:tcBorders>
            <w:vAlign w:val="center"/>
          </w:tcPr>
          <w:p w14:paraId="37E4F97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642CEA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2BFEABA5"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1EC5A48C"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CABD8CD" w14:textId="77777777" w:rsidR="006C011D" w:rsidRPr="005A284F" w:rsidRDefault="00000000">
            <w:pPr>
              <w:spacing w:before="40" w:after="40" w:line="240" w:lineRule="exact"/>
              <w:ind w:firstLineChars="400" w:firstLine="720"/>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）处置</w:t>
            </w:r>
          </w:p>
        </w:tc>
        <w:tc>
          <w:tcPr>
            <w:tcW w:w="2410" w:type="dxa"/>
            <w:tcBorders>
              <w:top w:val="single" w:sz="2" w:space="0" w:color="auto"/>
              <w:left w:val="single" w:sz="2" w:space="0" w:color="auto"/>
              <w:bottom w:val="single" w:sz="2" w:space="0" w:color="auto"/>
              <w:right w:val="single" w:sz="2" w:space="0" w:color="auto"/>
            </w:tcBorders>
            <w:vAlign w:val="center"/>
          </w:tcPr>
          <w:p w14:paraId="57A8EEB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6DBA05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32A27DEC"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70536B22"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1F465239" w14:textId="77777777" w:rsidR="006C011D" w:rsidRPr="005A284F" w:rsidRDefault="006C011D">
            <w:pPr>
              <w:spacing w:after="0" w:line="240" w:lineRule="exac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7CD137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171D13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6742244"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239FBDDD"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B41EEC9" w14:textId="77777777" w:rsidR="006C011D" w:rsidRPr="005A284F" w:rsidRDefault="00000000">
            <w:pPr>
              <w:spacing w:before="40" w:after="4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期末余额</w:t>
            </w:r>
          </w:p>
        </w:tc>
        <w:tc>
          <w:tcPr>
            <w:tcW w:w="2410" w:type="dxa"/>
            <w:tcBorders>
              <w:top w:val="single" w:sz="2" w:space="0" w:color="auto"/>
              <w:left w:val="single" w:sz="2" w:space="0" w:color="auto"/>
              <w:bottom w:val="single" w:sz="2" w:space="0" w:color="auto"/>
              <w:right w:val="single" w:sz="2" w:space="0" w:color="auto"/>
            </w:tcBorders>
            <w:vAlign w:val="center"/>
          </w:tcPr>
          <w:p w14:paraId="3B72838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8,432,325.53</w:t>
            </w:r>
          </w:p>
        </w:tc>
        <w:tc>
          <w:tcPr>
            <w:tcW w:w="2410" w:type="dxa"/>
            <w:tcBorders>
              <w:top w:val="single" w:sz="2" w:space="0" w:color="auto"/>
              <w:left w:val="single" w:sz="2" w:space="0" w:color="auto"/>
              <w:bottom w:val="single" w:sz="2" w:space="0" w:color="auto"/>
              <w:right w:val="single" w:sz="2" w:space="0" w:color="auto"/>
            </w:tcBorders>
            <w:vAlign w:val="center"/>
          </w:tcPr>
          <w:p w14:paraId="332D1BE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9,442,509.22</w:t>
            </w:r>
          </w:p>
        </w:tc>
        <w:tc>
          <w:tcPr>
            <w:tcW w:w="2410" w:type="dxa"/>
            <w:tcBorders>
              <w:top w:val="single" w:sz="2" w:space="0" w:color="auto"/>
              <w:left w:val="single" w:sz="2" w:space="0" w:color="auto"/>
              <w:bottom w:val="single" w:sz="2" w:space="0" w:color="auto"/>
              <w:right w:val="single" w:sz="2" w:space="0" w:color="auto"/>
            </w:tcBorders>
            <w:vAlign w:val="center"/>
          </w:tcPr>
          <w:p w14:paraId="64942D6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17,874,834.75</w:t>
            </w:r>
          </w:p>
        </w:tc>
      </w:tr>
      <w:tr w:rsidR="006C011D" w:rsidRPr="005A284F" w14:paraId="512FDCFC"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2438626"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三、减值准备</w:t>
            </w:r>
          </w:p>
        </w:tc>
        <w:tc>
          <w:tcPr>
            <w:tcW w:w="2410" w:type="dxa"/>
            <w:tcBorders>
              <w:top w:val="single" w:sz="2" w:space="0" w:color="auto"/>
              <w:left w:val="single" w:sz="2" w:space="0" w:color="auto"/>
              <w:bottom w:val="single" w:sz="2" w:space="0" w:color="auto"/>
              <w:right w:val="single" w:sz="2" w:space="0" w:color="auto"/>
            </w:tcBorders>
            <w:vAlign w:val="center"/>
          </w:tcPr>
          <w:p w14:paraId="337E48D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EBDC65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216F983B"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28177628"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43D8950" w14:textId="77777777" w:rsidR="006C011D" w:rsidRPr="005A284F" w:rsidRDefault="00000000">
            <w:pPr>
              <w:spacing w:before="40" w:after="4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期初余额</w:t>
            </w:r>
          </w:p>
        </w:tc>
        <w:tc>
          <w:tcPr>
            <w:tcW w:w="2410" w:type="dxa"/>
            <w:tcBorders>
              <w:top w:val="single" w:sz="2" w:space="0" w:color="auto"/>
              <w:left w:val="single" w:sz="2" w:space="0" w:color="auto"/>
              <w:bottom w:val="single" w:sz="2" w:space="0" w:color="auto"/>
              <w:right w:val="single" w:sz="2" w:space="0" w:color="auto"/>
            </w:tcBorders>
            <w:vAlign w:val="center"/>
          </w:tcPr>
          <w:p w14:paraId="37C98CC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A2A18B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C02F255"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1262658B"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71C96C1" w14:textId="77777777" w:rsidR="006C011D" w:rsidRPr="005A284F" w:rsidRDefault="00000000">
            <w:pPr>
              <w:spacing w:before="40" w:after="4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本期增加金额</w:t>
            </w:r>
          </w:p>
        </w:tc>
        <w:tc>
          <w:tcPr>
            <w:tcW w:w="2410" w:type="dxa"/>
            <w:tcBorders>
              <w:top w:val="single" w:sz="2" w:space="0" w:color="auto"/>
              <w:left w:val="single" w:sz="2" w:space="0" w:color="auto"/>
              <w:bottom w:val="single" w:sz="2" w:space="0" w:color="auto"/>
              <w:right w:val="single" w:sz="2" w:space="0" w:color="auto"/>
            </w:tcBorders>
            <w:vAlign w:val="center"/>
          </w:tcPr>
          <w:p w14:paraId="0ED022C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1D2529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5CB7CDE3"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7B6DB870"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3DE446F" w14:textId="77777777" w:rsidR="006C011D" w:rsidRPr="005A284F" w:rsidRDefault="00000000">
            <w:pPr>
              <w:spacing w:before="40" w:after="40" w:line="240" w:lineRule="exact"/>
              <w:ind w:firstLineChars="400" w:firstLine="720"/>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）计提</w:t>
            </w:r>
          </w:p>
        </w:tc>
        <w:tc>
          <w:tcPr>
            <w:tcW w:w="2410" w:type="dxa"/>
            <w:tcBorders>
              <w:top w:val="single" w:sz="2" w:space="0" w:color="auto"/>
              <w:left w:val="single" w:sz="2" w:space="0" w:color="auto"/>
              <w:bottom w:val="single" w:sz="2" w:space="0" w:color="auto"/>
              <w:right w:val="single" w:sz="2" w:space="0" w:color="auto"/>
            </w:tcBorders>
            <w:vAlign w:val="center"/>
          </w:tcPr>
          <w:p w14:paraId="60F4465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163B66A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7FDDCF7C"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73908332"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3B498C36" w14:textId="77777777" w:rsidR="006C011D" w:rsidRPr="005A284F" w:rsidRDefault="006C011D">
            <w:pPr>
              <w:spacing w:after="0" w:line="240" w:lineRule="exac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F94C04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58A0E9F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303B71FB"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241606DE"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A060D47" w14:textId="77777777" w:rsidR="006C011D" w:rsidRPr="005A284F" w:rsidRDefault="00000000">
            <w:pPr>
              <w:spacing w:before="40" w:after="4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本期减少金额</w:t>
            </w:r>
          </w:p>
        </w:tc>
        <w:tc>
          <w:tcPr>
            <w:tcW w:w="2410" w:type="dxa"/>
            <w:tcBorders>
              <w:top w:val="single" w:sz="2" w:space="0" w:color="auto"/>
              <w:left w:val="single" w:sz="2" w:space="0" w:color="auto"/>
              <w:bottom w:val="single" w:sz="2" w:space="0" w:color="auto"/>
              <w:right w:val="single" w:sz="2" w:space="0" w:color="auto"/>
            </w:tcBorders>
            <w:vAlign w:val="center"/>
          </w:tcPr>
          <w:p w14:paraId="253816D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73D1ED5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578BAA6D"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3D9FE2D3"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C12425E" w14:textId="77777777" w:rsidR="006C011D" w:rsidRPr="005A284F" w:rsidRDefault="00000000">
            <w:pPr>
              <w:spacing w:before="40" w:after="40" w:line="240" w:lineRule="exact"/>
              <w:ind w:firstLineChars="400" w:firstLine="720"/>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）处置</w:t>
            </w:r>
          </w:p>
        </w:tc>
        <w:tc>
          <w:tcPr>
            <w:tcW w:w="2410" w:type="dxa"/>
            <w:tcBorders>
              <w:top w:val="single" w:sz="2" w:space="0" w:color="auto"/>
              <w:left w:val="single" w:sz="2" w:space="0" w:color="auto"/>
              <w:bottom w:val="single" w:sz="2" w:space="0" w:color="auto"/>
              <w:right w:val="single" w:sz="2" w:space="0" w:color="auto"/>
            </w:tcBorders>
            <w:vAlign w:val="center"/>
          </w:tcPr>
          <w:p w14:paraId="63891A8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1DCC0CD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3815F68A"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7EBDBE73"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39CD9890" w14:textId="77777777" w:rsidR="006C011D" w:rsidRPr="005A284F" w:rsidRDefault="006C011D">
            <w:pPr>
              <w:spacing w:after="0" w:line="240" w:lineRule="exac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1F6292F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23AD18F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2A2E87C"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A3BAEEA"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0404713" w14:textId="77777777" w:rsidR="006C011D" w:rsidRPr="005A284F" w:rsidRDefault="00000000">
            <w:pPr>
              <w:spacing w:before="40" w:after="4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4.</w:t>
            </w:r>
            <w:r w:rsidRPr="005A284F">
              <w:rPr>
                <w:rFonts w:ascii="Times New Roman" w:eastAsia="宋体" w:hAnsi="Times New Roman" w:cs="Times New Roman"/>
                <w:sz w:val="18"/>
                <w:szCs w:val="18"/>
              </w:rPr>
              <w:t>期末余额</w:t>
            </w:r>
          </w:p>
        </w:tc>
        <w:tc>
          <w:tcPr>
            <w:tcW w:w="2410" w:type="dxa"/>
            <w:tcBorders>
              <w:top w:val="single" w:sz="2" w:space="0" w:color="auto"/>
              <w:left w:val="single" w:sz="2" w:space="0" w:color="auto"/>
              <w:bottom w:val="single" w:sz="2" w:space="0" w:color="auto"/>
              <w:right w:val="single" w:sz="2" w:space="0" w:color="auto"/>
            </w:tcBorders>
            <w:vAlign w:val="center"/>
          </w:tcPr>
          <w:p w14:paraId="4CF3832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34FAAA6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F67552F"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5876AA3B"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EB1FB62"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四、账面价值</w:t>
            </w:r>
          </w:p>
        </w:tc>
        <w:tc>
          <w:tcPr>
            <w:tcW w:w="2410" w:type="dxa"/>
            <w:tcBorders>
              <w:top w:val="single" w:sz="2" w:space="0" w:color="auto"/>
              <w:left w:val="single" w:sz="2" w:space="0" w:color="auto"/>
              <w:bottom w:val="single" w:sz="2" w:space="0" w:color="auto"/>
              <w:right w:val="single" w:sz="2" w:space="0" w:color="auto"/>
            </w:tcBorders>
            <w:vAlign w:val="center"/>
          </w:tcPr>
          <w:p w14:paraId="7D05B72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5F50BAE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371FC288"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D759916"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B6D7691" w14:textId="77777777" w:rsidR="006C011D" w:rsidRPr="005A284F" w:rsidRDefault="00000000">
            <w:pPr>
              <w:spacing w:before="40" w:after="4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期末账面价值</w:t>
            </w:r>
          </w:p>
        </w:tc>
        <w:tc>
          <w:tcPr>
            <w:tcW w:w="2410" w:type="dxa"/>
            <w:tcBorders>
              <w:top w:val="single" w:sz="2" w:space="0" w:color="auto"/>
              <w:left w:val="single" w:sz="2" w:space="0" w:color="auto"/>
              <w:bottom w:val="single" w:sz="2" w:space="0" w:color="auto"/>
              <w:right w:val="single" w:sz="2" w:space="0" w:color="auto"/>
            </w:tcBorders>
            <w:vAlign w:val="center"/>
          </w:tcPr>
          <w:p w14:paraId="116A906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89,294,319.03</w:t>
            </w:r>
          </w:p>
        </w:tc>
        <w:tc>
          <w:tcPr>
            <w:tcW w:w="2410" w:type="dxa"/>
            <w:tcBorders>
              <w:top w:val="single" w:sz="2" w:space="0" w:color="auto"/>
              <w:left w:val="single" w:sz="2" w:space="0" w:color="auto"/>
              <w:bottom w:val="single" w:sz="2" w:space="0" w:color="auto"/>
              <w:right w:val="single" w:sz="2" w:space="0" w:color="auto"/>
            </w:tcBorders>
            <w:vAlign w:val="center"/>
          </w:tcPr>
          <w:p w14:paraId="4032F00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38,538,123.91</w:t>
            </w:r>
          </w:p>
        </w:tc>
        <w:tc>
          <w:tcPr>
            <w:tcW w:w="2410" w:type="dxa"/>
            <w:tcBorders>
              <w:top w:val="single" w:sz="2" w:space="0" w:color="auto"/>
              <w:left w:val="single" w:sz="2" w:space="0" w:color="auto"/>
              <w:bottom w:val="single" w:sz="2" w:space="0" w:color="auto"/>
              <w:right w:val="single" w:sz="2" w:space="0" w:color="auto"/>
            </w:tcBorders>
            <w:vAlign w:val="center"/>
          </w:tcPr>
          <w:p w14:paraId="7D2EF4E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127,832,442.94</w:t>
            </w:r>
          </w:p>
        </w:tc>
      </w:tr>
      <w:tr w:rsidR="006C011D" w:rsidRPr="005A284F" w14:paraId="5A77FDEC"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37E94C4" w14:textId="77777777" w:rsidR="006C011D" w:rsidRPr="005A284F" w:rsidRDefault="00000000">
            <w:pPr>
              <w:spacing w:before="40" w:after="4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期初账面价值</w:t>
            </w:r>
          </w:p>
        </w:tc>
        <w:tc>
          <w:tcPr>
            <w:tcW w:w="2410" w:type="dxa"/>
            <w:tcBorders>
              <w:top w:val="single" w:sz="2" w:space="0" w:color="auto"/>
              <w:left w:val="single" w:sz="2" w:space="0" w:color="auto"/>
              <w:bottom w:val="single" w:sz="2" w:space="0" w:color="auto"/>
              <w:right w:val="single" w:sz="2" w:space="0" w:color="auto"/>
            </w:tcBorders>
            <w:vAlign w:val="center"/>
          </w:tcPr>
          <w:p w14:paraId="5A1E10B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31,543,662.96</w:t>
            </w:r>
          </w:p>
        </w:tc>
        <w:tc>
          <w:tcPr>
            <w:tcW w:w="2410" w:type="dxa"/>
            <w:tcBorders>
              <w:top w:val="single" w:sz="2" w:space="0" w:color="auto"/>
              <w:left w:val="single" w:sz="2" w:space="0" w:color="auto"/>
              <w:bottom w:val="single" w:sz="2" w:space="0" w:color="auto"/>
              <w:right w:val="single" w:sz="2" w:space="0" w:color="auto"/>
            </w:tcBorders>
            <w:vAlign w:val="center"/>
          </w:tcPr>
          <w:p w14:paraId="4E755EC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23,492,697.62</w:t>
            </w:r>
          </w:p>
        </w:tc>
        <w:tc>
          <w:tcPr>
            <w:tcW w:w="2410" w:type="dxa"/>
            <w:tcBorders>
              <w:top w:val="single" w:sz="2" w:space="0" w:color="auto"/>
              <w:left w:val="single" w:sz="2" w:space="0" w:color="auto"/>
              <w:bottom w:val="single" w:sz="2" w:space="0" w:color="auto"/>
              <w:right w:val="single" w:sz="2" w:space="0" w:color="auto"/>
            </w:tcBorders>
            <w:vAlign w:val="center"/>
          </w:tcPr>
          <w:p w14:paraId="07C2E28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55,036,360.58</w:t>
            </w:r>
          </w:p>
        </w:tc>
      </w:tr>
    </w:tbl>
    <w:p w14:paraId="48553421" w14:textId="332D24F6"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47" w:name="_Toc989175"/>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2</w:t>
      </w:r>
      <w:r w:rsidRPr="005A284F">
        <w:rPr>
          <w:rFonts w:ascii="Times New Roman" w:eastAsia="宋体" w:hAnsi="Times New Roman" w:cs="Times New Roman"/>
          <w:b/>
          <w:bCs/>
          <w:sz w:val="21"/>
          <w:szCs w:val="21"/>
        </w:rPr>
        <w:t>）使用权资产的减值测试情况</w:t>
      </w:r>
      <w:bookmarkEnd w:id="247"/>
    </w:p>
    <w:p w14:paraId="07BDB753" w14:textId="77777777" w:rsidR="006C011D" w:rsidRPr="005E1317" w:rsidRDefault="00000000">
      <w:pPr>
        <w:spacing w:before="100" w:after="100" w:line="240" w:lineRule="exact"/>
        <w:rPr>
          <w:rFonts w:ascii="宋体" w:eastAsia="宋体" w:hAnsi="宋体" w:cs="Times New Roman" w:hint="eastAsia"/>
          <w:sz w:val="18"/>
          <w:szCs w:val="18"/>
        </w:rPr>
      </w:pPr>
      <w:r w:rsidRPr="005E1317">
        <w:rPr>
          <w:rFonts w:ascii="宋体" w:eastAsia="宋体" w:hAnsi="宋体" w:cs="Times New Roman"/>
          <w:sz w:val="18"/>
          <w:szCs w:val="18"/>
        </w:rPr>
        <w:t xml:space="preserve">□适用 </w:t>
      </w:r>
      <w:r w:rsidRPr="005E1317">
        <w:rPr>
          <w:rFonts w:ascii="宋体" w:eastAsia="宋体" w:hAnsi="宋体" w:cs="Times New Roman"/>
          <w:sz w:val="18"/>
          <w:szCs w:val="18"/>
        </w:rPr>
        <w:sym w:font="Wingdings 2" w:char="F052"/>
      </w:r>
      <w:r w:rsidRPr="005E1317">
        <w:rPr>
          <w:rFonts w:ascii="宋体" w:eastAsia="宋体" w:hAnsi="宋体" w:cs="Times New Roman"/>
          <w:sz w:val="18"/>
          <w:szCs w:val="18"/>
        </w:rPr>
        <w:t>不适用</w:t>
      </w:r>
    </w:p>
    <w:p w14:paraId="142E9CC2"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w:t>
      </w:r>
    </w:p>
    <w:p w14:paraId="5B407B64" w14:textId="77777777" w:rsidR="000309B5" w:rsidRPr="005A284F" w:rsidRDefault="00000000">
      <w:pPr>
        <w:pStyle w:val="a3"/>
        <w:divId w:val="1711153091"/>
        <w:rPr>
          <w:rFonts w:ascii="Times New Roman" w:hAnsi="Times New Roman" w:cs="Times New Roman"/>
          <w:sz w:val="18"/>
          <w:szCs w:val="18"/>
        </w:rPr>
      </w:pPr>
      <w:r w:rsidRPr="005A284F">
        <w:rPr>
          <w:rFonts w:ascii="Times New Roman" w:hAnsi="Times New Roman" w:cs="Times New Roman"/>
          <w:sz w:val="18"/>
          <w:szCs w:val="18"/>
        </w:rPr>
        <w:t>无</w:t>
      </w:r>
    </w:p>
    <w:p w14:paraId="53CA9F04" w14:textId="77777777" w:rsidR="006C011D" w:rsidRPr="005A284F" w:rsidRDefault="00000000">
      <w:pPr>
        <w:pStyle w:val="3"/>
        <w:spacing w:line="280" w:lineRule="exact"/>
        <w:jc w:val="left"/>
        <w:rPr>
          <w:rFonts w:ascii="Times New Roman" w:hAnsi="Times New Roman" w:cs="Times New Roman"/>
          <w:b/>
          <w:bCs/>
        </w:rPr>
      </w:pPr>
      <w:bookmarkStart w:id="248" w:name="_Toc989176"/>
      <w:r w:rsidRPr="005A284F">
        <w:rPr>
          <w:rFonts w:ascii="Times New Roman" w:hAnsi="Times New Roman" w:cs="Times New Roman"/>
          <w:b/>
          <w:bCs/>
        </w:rPr>
        <w:t>26</w:t>
      </w:r>
      <w:r w:rsidRPr="005A284F">
        <w:rPr>
          <w:rFonts w:ascii="Times New Roman" w:hAnsi="Times New Roman" w:cs="Times New Roman"/>
          <w:b/>
          <w:bCs/>
        </w:rPr>
        <w:t>、无形资产</w:t>
      </w:r>
      <w:bookmarkEnd w:id="248"/>
    </w:p>
    <w:p w14:paraId="1F4347AE" w14:textId="63CDBEF2"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49" w:name="_Toc989177"/>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1</w:t>
      </w:r>
      <w:r w:rsidRPr="005A284F">
        <w:rPr>
          <w:rFonts w:ascii="Times New Roman" w:eastAsia="宋体" w:hAnsi="Times New Roman" w:cs="Times New Roman"/>
          <w:b/>
          <w:bCs/>
          <w:sz w:val="21"/>
          <w:szCs w:val="21"/>
        </w:rPr>
        <w:t>）无形资产情况</w:t>
      </w:r>
      <w:bookmarkEnd w:id="249"/>
    </w:p>
    <w:p w14:paraId="73218EE9"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6C011D" w:rsidRPr="005A284F" w14:paraId="14EB6DC0"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974836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5E1922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土地使用权</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9B1DC6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专利权</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76158A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非专利技术</w:t>
            </w:r>
          </w:p>
        </w:tc>
        <w:tc>
          <w:tcPr>
            <w:tcW w:w="1377" w:type="dxa"/>
            <w:tcBorders>
              <w:top w:val="single" w:sz="2" w:space="0" w:color="auto"/>
              <w:left w:val="single" w:sz="2" w:space="0" w:color="auto"/>
              <w:bottom w:val="single" w:sz="2" w:space="0" w:color="auto"/>
              <w:right w:val="single" w:sz="2" w:space="0" w:color="auto"/>
            </w:tcBorders>
            <w:vAlign w:val="center"/>
          </w:tcPr>
          <w:p w14:paraId="5C91B99B" w14:textId="77777777" w:rsidR="006C011D" w:rsidRPr="005A284F" w:rsidRDefault="00000000">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软件使用权</w:t>
            </w:r>
          </w:p>
        </w:tc>
        <w:tc>
          <w:tcPr>
            <w:tcW w:w="1377" w:type="dxa"/>
            <w:tcBorders>
              <w:top w:val="single" w:sz="2" w:space="0" w:color="auto"/>
              <w:left w:val="single" w:sz="2" w:space="0" w:color="auto"/>
              <w:bottom w:val="single" w:sz="2" w:space="0" w:color="auto"/>
              <w:right w:val="single" w:sz="2" w:space="0" w:color="auto"/>
            </w:tcBorders>
            <w:vAlign w:val="center"/>
          </w:tcPr>
          <w:p w14:paraId="5D8A5416" w14:textId="77777777" w:rsidR="006C011D" w:rsidRPr="005A284F" w:rsidRDefault="00000000">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商标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EC8B59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r>
      <w:tr w:rsidR="006C011D" w:rsidRPr="005A284F" w14:paraId="71A32051"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6DE16F3"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一、账面原值</w:t>
            </w:r>
          </w:p>
        </w:tc>
        <w:tc>
          <w:tcPr>
            <w:tcW w:w="1377" w:type="dxa"/>
            <w:tcBorders>
              <w:top w:val="single" w:sz="2" w:space="0" w:color="auto"/>
              <w:left w:val="single" w:sz="2" w:space="0" w:color="auto"/>
              <w:bottom w:val="single" w:sz="2" w:space="0" w:color="auto"/>
              <w:right w:val="single" w:sz="2" w:space="0" w:color="auto"/>
            </w:tcBorders>
            <w:vAlign w:val="center"/>
          </w:tcPr>
          <w:p w14:paraId="3123249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C3FBD8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456A38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ACB864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CEBE3C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08F39A4"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42E10FB0"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A1BB82B"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期初余额</w:t>
            </w:r>
          </w:p>
        </w:tc>
        <w:tc>
          <w:tcPr>
            <w:tcW w:w="1377" w:type="dxa"/>
            <w:tcBorders>
              <w:top w:val="single" w:sz="2" w:space="0" w:color="auto"/>
              <w:left w:val="single" w:sz="2" w:space="0" w:color="auto"/>
              <w:bottom w:val="single" w:sz="2" w:space="0" w:color="auto"/>
              <w:right w:val="single" w:sz="2" w:space="0" w:color="auto"/>
            </w:tcBorders>
            <w:vAlign w:val="center"/>
          </w:tcPr>
          <w:p w14:paraId="3474FD1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140,302,907.34</w:t>
            </w:r>
          </w:p>
        </w:tc>
        <w:tc>
          <w:tcPr>
            <w:tcW w:w="1377" w:type="dxa"/>
            <w:tcBorders>
              <w:top w:val="single" w:sz="2" w:space="0" w:color="auto"/>
              <w:left w:val="single" w:sz="2" w:space="0" w:color="auto"/>
              <w:bottom w:val="single" w:sz="2" w:space="0" w:color="auto"/>
              <w:right w:val="single" w:sz="2" w:space="0" w:color="auto"/>
            </w:tcBorders>
            <w:vAlign w:val="center"/>
          </w:tcPr>
          <w:p w14:paraId="071E79C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731BA8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9CCB51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17,273,466.24</w:t>
            </w:r>
          </w:p>
        </w:tc>
        <w:tc>
          <w:tcPr>
            <w:tcW w:w="1377" w:type="dxa"/>
            <w:tcBorders>
              <w:top w:val="single" w:sz="2" w:space="0" w:color="auto"/>
              <w:left w:val="single" w:sz="2" w:space="0" w:color="auto"/>
              <w:bottom w:val="single" w:sz="2" w:space="0" w:color="auto"/>
              <w:right w:val="single" w:sz="2" w:space="0" w:color="auto"/>
            </w:tcBorders>
            <w:vAlign w:val="center"/>
          </w:tcPr>
          <w:p w14:paraId="0D4BFF1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4,210,000.00</w:t>
            </w:r>
          </w:p>
        </w:tc>
        <w:tc>
          <w:tcPr>
            <w:tcW w:w="1377" w:type="dxa"/>
            <w:tcBorders>
              <w:top w:val="single" w:sz="2" w:space="0" w:color="auto"/>
              <w:left w:val="single" w:sz="2" w:space="0" w:color="auto"/>
              <w:bottom w:val="single" w:sz="2" w:space="0" w:color="auto"/>
              <w:right w:val="single" w:sz="2" w:space="0" w:color="auto"/>
            </w:tcBorders>
            <w:vAlign w:val="center"/>
          </w:tcPr>
          <w:p w14:paraId="3786A12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161,786,373.58</w:t>
            </w:r>
          </w:p>
        </w:tc>
      </w:tr>
      <w:tr w:rsidR="006C011D" w:rsidRPr="005A284F" w14:paraId="4B55CD30"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F23A775"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本期增加金额</w:t>
            </w:r>
          </w:p>
        </w:tc>
        <w:tc>
          <w:tcPr>
            <w:tcW w:w="1377" w:type="dxa"/>
            <w:tcBorders>
              <w:top w:val="single" w:sz="2" w:space="0" w:color="auto"/>
              <w:left w:val="single" w:sz="2" w:space="0" w:color="auto"/>
              <w:bottom w:val="single" w:sz="2" w:space="0" w:color="auto"/>
              <w:right w:val="single" w:sz="2" w:space="0" w:color="auto"/>
            </w:tcBorders>
            <w:vAlign w:val="center"/>
          </w:tcPr>
          <w:p w14:paraId="25DC092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557C1E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2B5D51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4BCB2F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258,433.96</w:t>
            </w:r>
          </w:p>
        </w:tc>
        <w:tc>
          <w:tcPr>
            <w:tcW w:w="1377" w:type="dxa"/>
            <w:tcBorders>
              <w:top w:val="single" w:sz="2" w:space="0" w:color="auto"/>
              <w:left w:val="single" w:sz="2" w:space="0" w:color="auto"/>
              <w:bottom w:val="single" w:sz="2" w:space="0" w:color="auto"/>
              <w:right w:val="single" w:sz="2" w:space="0" w:color="auto"/>
            </w:tcBorders>
            <w:vAlign w:val="center"/>
          </w:tcPr>
          <w:p w14:paraId="362A7EE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7524CB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258,433.96</w:t>
            </w:r>
          </w:p>
        </w:tc>
      </w:tr>
      <w:tr w:rsidR="006C011D" w:rsidRPr="005A284F" w14:paraId="0C302703"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5AD99EF"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）购置</w:t>
            </w:r>
          </w:p>
        </w:tc>
        <w:tc>
          <w:tcPr>
            <w:tcW w:w="1377" w:type="dxa"/>
            <w:tcBorders>
              <w:top w:val="single" w:sz="2" w:space="0" w:color="auto"/>
              <w:left w:val="single" w:sz="2" w:space="0" w:color="auto"/>
              <w:bottom w:val="single" w:sz="2" w:space="0" w:color="auto"/>
              <w:right w:val="single" w:sz="2" w:space="0" w:color="auto"/>
            </w:tcBorders>
            <w:vAlign w:val="center"/>
          </w:tcPr>
          <w:p w14:paraId="5FF7241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7305E0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593D39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328FF4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49,000.00</w:t>
            </w:r>
          </w:p>
        </w:tc>
        <w:tc>
          <w:tcPr>
            <w:tcW w:w="1377" w:type="dxa"/>
            <w:tcBorders>
              <w:top w:val="single" w:sz="2" w:space="0" w:color="auto"/>
              <w:left w:val="single" w:sz="2" w:space="0" w:color="auto"/>
              <w:bottom w:val="single" w:sz="2" w:space="0" w:color="auto"/>
              <w:right w:val="single" w:sz="2" w:space="0" w:color="auto"/>
            </w:tcBorders>
            <w:vAlign w:val="center"/>
          </w:tcPr>
          <w:p w14:paraId="26D716B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48E8FD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49,000.00</w:t>
            </w:r>
          </w:p>
        </w:tc>
      </w:tr>
      <w:tr w:rsidR="006C011D" w:rsidRPr="005A284F" w14:paraId="18523B74"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E5548A7"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）内部研发</w:t>
            </w:r>
          </w:p>
        </w:tc>
        <w:tc>
          <w:tcPr>
            <w:tcW w:w="1377" w:type="dxa"/>
            <w:tcBorders>
              <w:top w:val="single" w:sz="2" w:space="0" w:color="auto"/>
              <w:left w:val="single" w:sz="2" w:space="0" w:color="auto"/>
              <w:bottom w:val="single" w:sz="2" w:space="0" w:color="auto"/>
              <w:right w:val="single" w:sz="2" w:space="0" w:color="auto"/>
            </w:tcBorders>
            <w:vAlign w:val="center"/>
          </w:tcPr>
          <w:p w14:paraId="18D0E8B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17D6BB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39AD34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5A9202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443DA6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A1D7D07"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53577AB4"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5BF96AD"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）企业合并增加</w:t>
            </w:r>
          </w:p>
        </w:tc>
        <w:tc>
          <w:tcPr>
            <w:tcW w:w="1377" w:type="dxa"/>
            <w:tcBorders>
              <w:top w:val="single" w:sz="2" w:space="0" w:color="auto"/>
              <w:left w:val="single" w:sz="2" w:space="0" w:color="auto"/>
              <w:bottom w:val="single" w:sz="2" w:space="0" w:color="auto"/>
              <w:right w:val="single" w:sz="2" w:space="0" w:color="auto"/>
            </w:tcBorders>
            <w:vAlign w:val="center"/>
          </w:tcPr>
          <w:p w14:paraId="420433E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648029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397C38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035E59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EB6BFB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3E640FA"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203A2B51"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5E0B3AF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）在建工程转入</w:t>
            </w:r>
          </w:p>
        </w:tc>
        <w:tc>
          <w:tcPr>
            <w:tcW w:w="1377" w:type="dxa"/>
            <w:tcBorders>
              <w:top w:val="single" w:sz="2" w:space="0" w:color="auto"/>
              <w:left w:val="single" w:sz="2" w:space="0" w:color="auto"/>
              <w:bottom w:val="single" w:sz="2" w:space="0" w:color="auto"/>
              <w:right w:val="single" w:sz="2" w:space="0" w:color="auto"/>
            </w:tcBorders>
            <w:vAlign w:val="center"/>
          </w:tcPr>
          <w:p w14:paraId="6FE1B49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0DA4B7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18EE8A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27F49B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209,433.96</w:t>
            </w:r>
          </w:p>
        </w:tc>
        <w:tc>
          <w:tcPr>
            <w:tcW w:w="1377" w:type="dxa"/>
            <w:tcBorders>
              <w:top w:val="single" w:sz="2" w:space="0" w:color="auto"/>
              <w:left w:val="single" w:sz="2" w:space="0" w:color="auto"/>
              <w:bottom w:val="single" w:sz="2" w:space="0" w:color="auto"/>
              <w:right w:val="single" w:sz="2" w:space="0" w:color="auto"/>
            </w:tcBorders>
            <w:vAlign w:val="center"/>
          </w:tcPr>
          <w:p w14:paraId="583CF56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59E980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209,433.96</w:t>
            </w:r>
          </w:p>
        </w:tc>
      </w:tr>
      <w:tr w:rsidR="006C011D" w:rsidRPr="005A284F" w14:paraId="1C110262"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29C8ACE"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本期减少金额</w:t>
            </w:r>
          </w:p>
        </w:tc>
        <w:tc>
          <w:tcPr>
            <w:tcW w:w="1377" w:type="dxa"/>
            <w:tcBorders>
              <w:top w:val="single" w:sz="2" w:space="0" w:color="auto"/>
              <w:left w:val="single" w:sz="2" w:space="0" w:color="auto"/>
              <w:bottom w:val="single" w:sz="2" w:space="0" w:color="auto"/>
              <w:right w:val="single" w:sz="2" w:space="0" w:color="auto"/>
            </w:tcBorders>
            <w:vAlign w:val="center"/>
          </w:tcPr>
          <w:p w14:paraId="7A85EC8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ECF11D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8EB49A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574831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9,328.91</w:t>
            </w:r>
          </w:p>
        </w:tc>
        <w:tc>
          <w:tcPr>
            <w:tcW w:w="1377" w:type="dxa"/>
            <w:tcBorders>
              <w:top w:val="single" w:sz="2" w:space="0" w:color="auto"/>
              <w:left w:val="single" w:sz="2" w:space="0" w:color="auto"/>
              <w:bottom w:val="single" w:sz="2" w:space="0" w:color="auto"/>
              <w:right w:val="single" w:sz="2" w:space="0" w:color="auto"/>
            </w:tcBorders>
            <w:vAlign w:val="center"/>
          </w:tcPr>
          <w:p w14:paraId="01D544B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DBA385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9,328.91</w:t>
            </w:r>
          </w:p>
        </w:tc>
      </w:tr>
      <w:tr w:rsidR="006C011D" w:rsidRPr="005A284F" w14:paraId="3959A4BF"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39535CE"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）处置</w:t>
            </w:r>
          </w:p>
        </w:tc>
        <w:tc>
          <w:tcPr>
            <w:tcW w:w="1377" w:type="dxa"/>
            <w:tcBorders>
              <w:top w:val="single" w:sz="2" w:space="0" w:color="auto"/>
              <w:left w:val="single" w:sz="2" w:space="0" w:color="auto"/>
              <w:bottom w:val="single" w:sz="2" w:space="0" w:color="auto"/>
              <w:right w:val="single" w:sz="2" w:space="0" w:color="auto"/>
            </w:tcBorders>
            <w:vAlign w:val="center"/>
          </w:tcPr>
          <w:p w14:paraId="1E3DEF4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910A57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EA9CFE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399B7C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9,328.91</w:t>
            </w:r>
          </w:p>
        </w:tc>
        <w:tc>
          <w:tcPr>
            <w:tcW w:w="1377" w:type="dxa"/>
            <w:tcBorders>
              <w:top w:val="single" w:sz="2" w:space="0" w:color="auto"/>
              <w:left w:val="single" w:sz="2" w:space="0" w:color="auto"/>
              <w:bottom w:val="single" w:sz="2" w:space="0" w:color="auto"/>
              <w:right w:val="single" w:sz="2" w:space="0" w:color="auto"/>
            </w:tcBorders>
            <w:vAlign w:val="center"/>
          </w:tcPr>
          <w:p w14:paraId="6B2CCFA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126D22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9,328.91</w:t>
            </w:r>
          </w:p>
        </w:tc>
      </w:tr>
      <w:tr w:rsidR="006C011D" w:rsidRPr="005A284F" w14:paraId="3F8D5243"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3F120728" w14:textId="77777777" w:rsidR="006C011D" w:rsidRPr="005A284F" w:rsidRDefault="006C011D">
            <w:pPr>
              <w:spacing w:after="0" w:line="240" w:lineRule="exac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1A9663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AC3404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F856D4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CBF4C2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1D9A04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4E6A67A"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3917BCE0"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B99BA2B"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期末余额</w:t>
            </w:r>
          </w:p>
        </w:tc>
        <w:tc>
          <w:tcPr>
            <w:tcW w:w="1377" w:type="dxa"/>
            <w:tcBorders>
              <w:top w:val="single" w:sz="2" w:space="0" w:color="auto"/>
              <w:left w:val="single" w:sz="2" w:space="0" w:color="auto"/>
              <w:bottom w:val="single" w:sz="2" w:space="0" w:color="auto"/>
              <w:right w:val="single" w:sz="2" w:space="0" w:color="auto"/>
            </w:tcBorders>
            <w:vAlign w:val="center"/>
          </w:tcPr>
          <w:p w14:paraId="4387D7B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140,302,907.34</w:t>
            </w:r>
          </w:p>
        </w:tc>
        <w:tc>
          <w:tcPr>
            <w:tcW w:w="1377" w:type="dxa"/>
            <w:tcBorders>
              <w:top w:val="single" w:sz="2" w:space="0" w:color="auto"/>
              <w:left w:val="single" w:sz="2" w:space="0" w:color="auto"/>
              <w:bottom w:val="single" w:sz="2" w:space="0" w:color="auto"/>
              <w:right w:val="single" w:sz="2" w:space="0" w:color="auto"/>
            </w:tcBorders>
            <w:vAlign w:val="center"/>
          </w:tcPr>
          <w:p w14:paraId="4D6A737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7DDB2F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F269F4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17,522,571.29</w:t>
            </w:r>
          </w:p>
        </w:tc>
        <w:tc>
          <w:tcPr>
            <w:tcW w:w="1377" w:type="dxa"/>
            <w:tcBorders>
              <w:top w:val="single" w:sz="2" w:space="0" w:color="auto"/>
              <w:left w:val="single" w:sz="2" w:space="0" w:color="auto"/>
              <w:bottom w:val="single" w:sz="2" w:space="0" w:color="auto"/>
              <w:right w:val="single" w:sz="2" w:space="0" w:color="auto"/>
            </w:tcBorders>
            <w:vAlign w:val="center"/>
          </w:tcPr>
          <w:p w14:paraId="67B9CE9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4,210,000.00</w:t>
            </w:r>
          </w:p>
        </w:tc>
        <w:tc>
          <w:tcPr>
            <w:tcW w:w="1377" w:type="dxa"/>
            <w:tcBorders>
              <w:top w:val="single" w:sz="2" w:space="0" w:color="auto"/>
              <w:left w:val="single" w:sz="2" w:space="0" w:color="auto"/>
              <w:bottom w:val="single" w:sz="2" w:space="0" w:color="auto"/>
              <w:right w:val="single" w:sz="2" w:space="0" w:color="auto"/>
            </w:tcBorders>
            <w:vAlign w:val="center"/>
          </w:tcPr>
          <w:p w14:paraId="5E38837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162,035,478.63</w:t>
            </w:r>
          </w:p>
        </w:tc>
      </w:tr>
      <w:tr w:rsidR="006C011D" w:rsidRPr="005A284F" w14:paraId="252D957E"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EB5BF01"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二、累计摊销</w:t>
            </w:r>
          </w:p>
        </w:tc>
        <w:tc>
          <w:tcPr>
            <w:tcW w:w="1377" w:type="dxa"/>
            <w:tcBorders>
              <w:top w:val="single" w:sz="2" w:space="0" w:color="auto"/>
              <w:left w:val="single" w:sz="2" w:space="0" w:color="auto"/>
              <w:bottom w:val="single" w:sz="2" w:space="0" w:color="auto"/>
              <w:right w:val="single" w:sz="2" w:space="0" w:color="auto"/>
            </w:tcBorders>
            <w:vAlign w:val="center"/>
          </w:tcPr>
          <w:p w14:paraId="7D6D7D3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C6906A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4325CD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B2061E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4596EF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60266C7"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35D13113"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0CCDB43"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期初余额</w:t>
            </w:r>
          </w:p>
        </w:tc>
        <w:tc>
          <w:tcPr>
            <w:tcW w:w="1377" w:type="dxa"/>
            <w:tcBorders>
              <w:top w:val="single" w:sz="2" w:space="0" w:color="auto"/>
              <w:left w:val="single" w:sz="2" w:space="0" w:color="auto"/>
              <w:bottom w:val="single" w:sz="2" w:space="0" w:color="auto"/>
              <w:right w:val="single" w:sz="2" w:space="0" w:color="auto"/>
            </w:tcBorders>
            <w:vAlign w:val="center"/>
          </w:tcPr>
          <w:p w14:paraId="2E04870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22,117,292.90</w:t>
            </w:r>
          </w:p>
        </w:tc>
        <w:tc>
          <w:tcPr>
            <w:tcW w:w="1377" w:type="dxa"/>
            <w:tcBorders>
              <w:top w:val="single" w:sz="2" w:space="0" w:color="auto"/>
              <w:left w:val="single" w:sz="2" w:space="0" w:color="auto"/>
              <w:bottom w:val="single" w:sz="2" w:space="0" w:color="auto"/>
              <w:right w:val="single" w:sz="2" w:space="0" w:color="auto"/>
            </w:tcBorders>
            <w:vAlign w:val="center"/>
          </w:tcPr>
          <w:p w14:paraId="7EBD3B1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C918F0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728716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11,560,587.21</w:t>
            </w:r>
          </w:p>
        </w:tc>
        <w:tc>
          <w:tcPr>
            <w:tcW w:w="1377" w:type="dxa"/>
            <w:tcBorders>
              <w:top w:val="single" w:sz="2" w:space="0" w:color="auto"/>
              <w:left w:val="single" w:sz="2" w:space="0" w:color="auto"/>
              <w:bottom w:val="single" w:sz="2" w:space="0" w:color="auto"/>
              <w:right w:val="single" w:sz="2" w:space="0" w:color="auto"/>
            </w:tcBorders>
            <w:vAlign w:val="center"/>
          </w:tcPr>
          <w:p w14:paraId="259289C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2,596,166.67</w:t>
            </w:r>
          </w:p>
        </w:tc>
        <w:tc>
          <w:tcPr>
            <w:tcW w:w="1377" w:type="dxa"/>
            <w:tcBorders>
              <w:top w:val="single" w:sz="2" w:space="0" w:color="auto"/>
              <w:left w:val="single" w:sz="2" w:space="0" w:color="auto"/>
              <w:bottom w:val="single" w:sz="2" w:space="0" w:color="auto"/>
              <w:right w:val="single" w:sz="2" w:space="0" w:color="auto"/>
            </w:tcBorders>
            <w:vAlign w:val="center"/>
          </w:tcPr>
          <w:p w14:paraId="01BC749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36,274,046.78</w:t>
            </w:r>
          </w:p>
        </w:tc>
      </w:tr>
      <w:tr w:rsidR="006C011D" w:rsidRPr="005A284F" w14:paraId="40F13FC5"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554818B"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本期增加金额</w:t>
            </w:r>
          </w:p>
        </w:tc>
        <w:tc>
          <w:tcPr>
            <w:tcW w:w="1377" w:type="dxa"/>
            <w:tcBorders>
              <w:top w:val="single" w:sz="2" w:space="0" w:color="auto"/>
              <w:left w:val="single" w:sz="2" w:space="0" w:color="auto"/>
              <w:bottom w:val="single" w:sz="2" w:space="0" w:color="auto"/>
              <w:right w:val="single" w:sz="2" w:space="0" w:color="auto"/>
            </w:tcBorders>
            <w:vAlign w:val="center"/>
          </w:tcPr>
          <w:p w14:paraId="05FA819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1,539,914.68</w:t>
            </w:r>
          </w:p>
        </w:tc>
        <w:tc>
          <w:tcPr>
            <w:tcW w:w="1377" w:type="dxa"/>
            <w:tcBorders>
              <w:top w:val="single" w:sz="2" w:space="0" w:color="auto"/>
              <w:left w:val="single" w:sz="2" w:space="0" w:color="auto"/>
              <w:bottom w:val="single" w:sz="2" w:space="0" w:color="auto"/>
              <w:right w:val="single" w:sz="2" w:space="0" w:color="auto"/>
            </w:tcBorders>
            <w:vAlign w:val="center"/>
          </w:tcPr>
          <w:p w14:paraId="764A84B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3D2AB9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40E69F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700,190.37</w:t>
            </w:r>
          </w:p>
        </w:tc>
        <w:tc>
          <w:tcPr>
            <w:tcW w:w="1377" w:type="dxa"/>
            <w:tcBorders>
              <w:top w:val="single" w:sz="2" w:space="0" w:color="auto"/>
              <w:left w:val="single" w:sz="2" w:space="0" w:color="auto"/>
              <w:bottom w:val="single" w:sz="2" w:space="0" w:color="auto"/>
              <w:right w:val="single" w:sz="2" w:space="0" w:color="auto"/>
            </w:tcBorders>
            <w:vAlign w:val="center"/>
          </w:tcPr>
          <w:p w14:paraId="18052BD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210,500.00</w:t>
            </w:r>
          </w:p>
        </w:tc>
        <w:tc>
          <w:tcPr>
            <w:tcW w:w="1377" w:type="dxa"/>
            <w:tcBorders>
              <w:top w:val="single" w:sz="2" w:space="0" w:color="auto"/>
              <w:left w:val="single" w:sz="2" w:space="0" w:color="auto"/>
              <w:bottom w:val="single" w:sz="2" w:space="0" w:color="auto"/>
              <w:right w:val="single" w:sz="2" w:space="0" w:color="auto"/>
            </w:tcBorders>
            <w:vAlign w:val="center"/>
          </w:tcPr>
          <w:p w14:paraId="196E8BA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2,450,605.05</w:t>
            </w:r>
          </w:p>
        </w:tc>
      </w:tr>
      <w:tr w:rsidR="006C011D" w:rsidRPr="005A284F" w14:paraId="50FB745D"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2282CD5"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）计提</w:t>
            </w:r>
          </w:p>
        </w:tc>
        <w:tc>
          <w:tcPr>
            <w:tcW w:w="1377" w:type="dxa"/>
            <w:tcBorders>
              <w:top w:val="single" w:sz="2" w:space="0" w:color="auto"/>
              <w:left w:val="single" w:sz="2" w:space="0" w:color="auto"/>
              <w:bottom w:val="single" w:sz="2" w:space="0" w:color="auto"/>
              <w:right w:val="single" w:sz="2" w:space="0" w:color="auto"/>
            </w:tcBorders>
            <w:vAlign w:val="center"/>
          </w:tcPr>
          <w:p w14:paraId="5A4C86B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1,539,914.68</w:t>
            </w:r>
          </w:p>
        </w:tc>
        <w:tc>
          <w:tcPr>
            <w:tcW w:w="1377" w:type="dxa"/>
            <w:tcBorders>
              <w:top w:val="single" w:sz="2" w:space="0" w:color="auto"/>
              <w:left w:val="single" w:sz="2" w:space="0" w:color="auto"/>
              <w:bottom w:val="single" w:sz="2" w:space="0" w:color="auto"/>
              <w:right w:val="single" w:sz="2" w:space="0" w:color="auto"/>
            </w:tcBorders>
            <w:vAlign w:val="center"/>
          </w:tcPr>
          <w:p w14:paraId="44D8580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AB5A43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56A8BA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700,190.37</w:t>
            </w:r>
          </w:p>
        </w:tc>
        <w:tc>
          <w:tcPr>
            <w:tcW w:w="1377" w:type="dxa"/>
            <w:tcBorders>
              <w:top w:val="single" w:sz="2" w:space="0" w:color="auto"/>
              <w:left w:val="single" w:sz="2" w:space="0" w:color="auto"/>
              <w:bottom w:val="single" w:sz="2" w:space="0" w:color="auto"/>
              <w:right w:val="single" w:sz="2" w:space="0" w:color="auto"/>
            </w:tcBorders>
            <w:vAlign w:val="center"/>
          </w:tcPr>
          <w:p w14:paraId="437B86A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210,500.00</w:t>
            </w:r>
          </w:p>
        </w:tc>
        <w:tc>
          <w:tcPr>
            <w:tcW w:w="1377" w:type="dxa"/>
            <w:tcBorders>
              <w:top w:val="single" w:sz="2" w:space="0" w:color="auto"/>
              <w:left w:val="single" w:sz="2" w:space="0" w:color="auto"/>
              <w:bottom w:val="single" w:sz="2" w:space="0" w:color="auto"/>
              <w:right w:val="single" w:sz="2" w:space="0" w:color="auto"/>
            </w:tcBorders>
            <w:vAlign w:val="center"/>
          </w:tcPr>
          <w:p w14:paraId="74EA062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2,450,605.05</w:t>
            </w:r>
          </w:p>
        </w:tc>
      </w:tr>
      <w:tr w:rsidR="006C011D" w:rsidRPr="005A284F" w14:paraId="61165A4E"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59ABFE68" w14:textId="77777777" w:rsidR="006C011D" w:rsidRPr="005A284F" w:rsidRDefault="006C011D">
            <w:pPr>
              <w:spacing w:after="0" w:line="240" w:lineRule="exac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64BC7D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43DE70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5D40D2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30920F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042FD2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4F75F78"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6F00528C"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19348C4"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本期减少金额</w:t>
            </w:r>
          </w:p>
        </w:tc>
        <w:tc>
          <w:tcPr>
            <w:tcW w:w="1377" w:type="dxa"/>
            <w:tcBorders>
              <w:top w:val="single" w:sz="2" w:space="0" w:color="auto"/>
              <w:left w:val="single" w:sz="2" w:space="0" w:color="auto"/>
              <w:bottom w:val="single" w:sz="2" w:space="0" w:color="auto"/>
              <w:right w:val="single" w:sz="2" w:space="0" w:color="auto"/>
            </w:tcBorders>
            <w:vAlign w:val="center"/>
          </w:tcPr>
          <w:p w14:paraId="7A5B464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AA482D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43C329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46EC04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9,328.91</w:t>
            </w:r>
          </w:p>
        </w:tc>
        <w:tc>
          <w:tcPr>
            <w:tcW w:w="1377" w:type="dxa"/>
            <w:tcBorders>
              <w:top w:val="single" w:sz="2" w:space="0" w:color="auto"/>
              <w:left w:val="single" w:sz="2" w:space="0" w:color="auto"/>
              <w:bottom w:val="single" w:sz="2" w:space="0" w:color="auto"/>
              <w:right w:val="single" w:sz="2" w:space="0" w:color="auto"/>
            </w:tcBorders>
            <w:vAlign w:val="center"/>
          </w:tcPr>
          <w:p w14:paraId="27D408D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C63E2C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9,328.91</w:t>
            </w:r>
          </w:p>
        </w:tc>
      </w:tr>
      <w:tr w:rsidR="006C011D" w:rsidRPr="005A284F" w14:paraId="2C5583D9"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A6BA5AA"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）处置</w:t>
            </w:r>
          </w:p>
        </w:tc>
        <w:tc>
          <w:tcPr>
            <w:tcW w:w="1377" w:type="dxa"/>
            <w:tcBorders>
              <w:top w:val="single" w:sz="2" w:space="0" w:color="auto"/>
              <w:left w:val="single" w:sz="2" w:space="0" w:color="auto"/>
              <w:bottom w:val="single" w:sz="2" w:space="0" w:color="auto"/>
              <w:right w:val="single" w:sz="2" w:space="0" w:color="auto"/>
            </w:tcBorders>
            <w:vAlign w:val="center"/>
          </w:tcPr>
          <w:p w14:paraId="0EBF5EA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E9FC65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2882FD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D9F8B0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9,328.91</w:t>
            </w:r>
          </w:p>
        </w:tc>
        <w:tc>
          <w:tcPr>
            <w:tcW w:w="1377" w:type="dxa"/>
            <w:tcBorders>
              <w:top w:val="single" w:sz="2" w:space="0" w:color="auto"/>
              <w:left w:val="single" w:sz="2" w:space="0" w:color="auto"/>
              <w:bottom w:val="single" w:sz="2" w:space="0" w:color="auto"/>
              <w:right w:val="single" w:sz="2" w:space="0" w:color="auto"/>
            </w:tcBorders>
            <w:vAlign w:val="center"/>
          </w:tcPr>
          <w:p w14:paraId="5CA5F33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5709D7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9,328.91</w:t>
            </w:r>
          </w:p>
        </w:tc>
      </w:tr>
      <w:tr w:rsidR="006C011D" w:rsidRPr="005A284F" w14:paraId="68E0586B"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67AFD659" w14:textId="77777777" w:rsidR="006C011D" w:rsidRPr="005A284F" w:rsidRDefault="006C011D">
            <w:pPr>
              <w:spacing w:after="0" w:line="240" w:lineRule="exac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FBF0F3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FB786A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EB4733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BB46BE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39B766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E1AE56C"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F8704A6"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1ACE834"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期末余额</w:t>
            </w:r>
          </w:p>
        </w:tc>
        <w:tc>
          <w:tcPr>
            <w:tcW w:w="1377" w:type="dxa"/>
            <w:tcBorders>
              <w:top w:val="single" w:sz="2" w:space="0" w:color="auto"/>
              <w:left w:val="single" w:sz="2" w:space="0" w:color="auto"/>
              <w:bottom w:val="single" w:sz="2" w:space="0" w:color="auto"/>
              <w:right w:val="single" w:sz="2" w:space="0" w:color="auto"/>
            </w:tcBorders>
            <w:vAlign w:val="center"/>
          </w:tcPr>
          <w:p w14:paraId="6154B28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23,657,207.58</w:t>
            </w:r>
          </w:p>
        </w:tc>
        <w:tc>
          <w:tcPr>
            <w:tcW w:w="1377" w:type="dxa"/>
            <w:tcBorders>
              <w:top w:val="single" w:sz="2" w:space="0" w:color="auto"/>
              <w:left w:val="single" w:sz="2" w:space="0" w:color="auto"/>
              <w:bottom w:val="single" w:sz="2" w:space="0" w:color="auto"/>
              <w:right w:val="single" w:sz="2" w:space="0" w:color="auto"/>
            </w:tcBorders>
            <w:vAlign w:val="center"/>
          </w:tcPr>
          <w:p w14:paraId="0951181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7162CA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8BBFDF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12,251,448.67</w:t>
            </w:r>
          </w:p>
        </w:tc>
        <w:tc>
          <w:tcPr>
            <w:tcW w:w="1377" w:type="dxa"/>
            <w:tcBorders>
              <w:top w:val="single" w:sz="2" w:space="0" w:color="auto"/>
              <w:left w:val="single" w:sz="2" w:space="0" w:color="auto"/>
              <w:bottom w:val="single" w:sz="2" w:space="0" w:color="auto"/>
              <w:right w:val="single" w:sz="2" w:space="0" w:color="auto"/>
            </w:tcBorders>
            <w:vAlign w:val="center"/>
          </w:tcPr>
          <w:p w14:paraId="5F0C1F1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2,806,666.67</w:t>
            </w:r>
          </w:p>
        </w:tc>
        <w:tc>
          <w:tcPr>
            <w:tcW w:w="1377" w:type="dxa"/>
            <w:tcBorders>
              <w:top w:val="single" w:sz="2" w:space="0" w:color="auto"/>
              <w:left w:val="single" w:sz="2" w:space="0" w:color="auto"/>
              <w:bottom w:val="single" w:sz="2" w:space="0" w:color="auto"/>
              <w:right w:val="single" w:sz="2" w:space="0" w:color="auto"/>
            </w:tcBorders>
            <w:vAlign w:val="center"/>
          </w:tcPr>
          <w:p w14:paraId="6F118E2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38,715,322.92</w:t>
            </w:r>
          </w:p>
        </w:tc>
      </w:tr>
      <w:tr w:rsidR="006C011D" w:rsidRPr="005A284F" w14:paraId="0F57C170"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9CA1AA9"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三、减值准备</w:t>
            </w:r>
          </w:p>
        </w:tc>
        <w:tc>
          <w:tcPr>
            <w:tcW w:w="1377" w:type="dxa"/>
            <w:tcBorders>
              <w:top w:val="single" w:sz="2" w:space="0" w:color="auto"/>
              <w:left w:val="single" w:sz="2" w:space="0" w:color="auto"/>
              <w:bottom w:val="single" w:sz="2" w:space="0" w:color="auto"/>
              <w:right w:val="single" w:sz="2" w:space="0" w:color="auto"/>
            </w:tcBorders>
            <w:vAlign w:val="center"/>
          </w:tcPr>
          <w:p w14:paraId="696DB4B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0BB8D5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62A959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ABA21F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1B5E59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A3571B4"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35DEA2B3"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4A49E42"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期初余额</w:t>
            </w:r>
          </w:p>
        </w:tc>
        <w:tc>
          <w:tcPr>
            <w:tcW w:w="1377" w:type="dxa"/>
            <w:tcBorders>
              <w:top w:val="single" w:sz="2" w:space="0" w:color="auto"/>
              <w:left w:val="single" w:sz="2" w:space="0" w:color="auto"/>
              <w:bottom w:val="single" w:sz="2" w:space="0" w:color="auto"/>
              <w:right w:val="single" w:sz="2" w:space="0" w:color="auto"/>
            </w:tcBorders>
            <w:vAlign w:val="center"/>
          </w:tcPr>
          <w:p w14:paraId="2A58292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32EF16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AF0573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14E751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9EE5E8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8AD27DA"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D284A13"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91471F6"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2.</w:t>
            </w:r>
            <w:r w:rsidRPr="005A284F">
              <w:rPr>
                <w:rFonts w:ascii="Times New Roman" w:eastAsia="宋体" w:hAnsi="Times New Roman" w:cs="Times New Roman"/>
                <w:sz w:val="18"/>
                <w:szCs w:val="18"/>
              </w:rPr>
              <w:t>本期增加金额</w:t>
            </w:r>
          </w:p>
        </w:tc>
        <w:tc>
          <w:tcPr>
            <w:tcW w:w="1377" w:type="dxa"/>
            <w:tcBorders>
              <w:top w:val="single" w:sz="2" w:space="0" w:color="auto"/>
              <w:left w:val="single" w:sz="2" w:space="0" w:color="auto"/>
              <w:bottom w:val="single" w:sz="2" w:space="0" w:color="auto"/>
              <w:right w:val="single" w:sz="2" w:space="0" w:color="auto"/>
            </w:tcBorders>
            <w:vAlign w:val="center"/>
          </w:tcPr>
          <w:p w14:paraId="6064C86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568EFB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5BFE55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DCF03F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9D8EDA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22128D5"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5A37596E"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DAE7472"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）计提</w:t>
            </w:r>
          </w:p>
        </w:tc>
        <w:tc>
          <w:tcPr>
            <w:tcW w:w="1377" w:type="dxa"/>
            <w:tcBorders>
              <w:top w:val="single" w:sz="2" w:space="0" w:color="auto"/>
              <w:left w:val="single" w:sz="2" w:space="0" w:color="auto"/>
              <w:bottom w:val="single" w:sz="2" w:space="0" w:color="auto"/>
              <w:right w:val="single" w:sz="2" w:space="0" w:color="auto"/>
            </w:tcBorders>
            <w:vAlign w:val="center"/>
          </w:tcPr>
          <w:p w14:paraId="08B6267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EED552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1E98BE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7A997C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0308C3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180833C"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3BDAAF85"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86EB97D" w14:textId="77777777" w:rsidR="006C011D" w:rsidRPr="005A284F" w:rsidRDefault="006C011D">
            <w:pPr>
              <w:spacing w:after="0" w:line="240" w:lineRule="exac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ACEB2C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6AE136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F2B216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4ADFF4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226445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118B4BE"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1F27453A"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F8C5AA1"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本期减少金额</w:t>
            </w:r>
          </w:p>
        </w:tc>
        <w:tc>
          <w:tcPr>
            <w:tcW w:w="1377" w:type="dxa"/>
            <w:tcBorders>
              <w:top w:val="single" w:sz="2" w:space="0" w:color="auto"/>
              <w:left w:val="single" w:sz="2" w:space="0" w:color="auto"/>
              <w:bottom w:val="single" w:sz="2" w:space="0" w:color="auto"/>
              <w:right w:val="single" w:sz="2" w:space="0" w:color="auto"/>
            </w:tcBorders>
            <w:vAlign w:val="center"/>
          </w:tcPr>
          <w:p w14:paraId="567DC01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13FC20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60411F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531EEC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7A1E4B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8CF2E12"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164077C0"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0978FFF"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）处置</w:t>
            </w:r>
          </w:p>
        </w:tc>
        <w:tc>
          <w:tcPr>
            <w:tcW w:w="1377" w:type="dxa"/>
            <w:tcBorders>
              <w:top w:val="single" w:sz="2" w:space="0" w:color="auto"/>
              <w:left w:val="single" w:sz="2" w:space="0" w:color="auto"/>
              <w:bottom w:val="single" w:sz="2" w:space="0" w:color="auto"/>
              <w:right w:val="single" w:sz="2" w:space="0" w:color="auto"/>
            </w:tcBorders>
            <w:vAlign w:val="center"/>
          </w:tcPr>
          <w:p w14:paraId="117BFFE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D14373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B967EE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78F934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A10D99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3783970"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76966421"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423EB01B" w14:textId="77777777" w:rsidR="006C011D" w:rsidRPr="005A284F" w:rsidRDefault="006C011D">
            <w:pPr>
              <w:spacing w:after="0" w:line="240" w:lineRule="exac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9F6CDD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C44206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C9CD5B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7C0428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5C3DAA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5A719D3"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5DA656DB"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28C33D6"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期末余额</w:t>
            </w:r>
          </w:p>
        </w:tc>
        <w:tc>
          <w:tcPr>
            <w:tcW w:w="1377" w:type="dxa"/>
            <w:tcBorders>
              <w:top w:val="single" w:sz="2" w:space="0" w:color="auto"/>
              <w:left w:val="single" w:sz="2" w:space="0" w:color="auto"/>
              <w:bottom w:val="single" w:sz="2" w:space="0" w:color="auto"/>
              <w:right w:val="single" w:sz="2" w:space="0" w:color="auto"/>
            </w:tcBorders>
            <w:vAlign w:val="center"/>
          </w:tcPr>
          <w:p w14:paraId="57AD574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FFB3EE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4A80BA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DD44F0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4E78F7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2778141"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253FB921"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15EEAE5"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四、账面价值</w:t>
            </w:r>
          </w:p>
        </w:tc>
        <w:tc>
          <w:tcPr>
            <w:tcW w:w="1377" w:type="dxa"/>
            <w:tcBorders>
              <w:top w:val="single" w:sz="2" w:space="0" w:color="auto"/>
              <w:left w:val="single" w:sz="2" w:space="0" w:color="auto"/>
              <w:bottom w:val="single" w:sz="2" w:space="0" w:color="auto"/>
              <w:right w:val="single" w:sz="2" w:space="0" w:color="auto"/>
            </w:tcBorders>
            <w:vAlign w:val="center"/>
          </w:tcPr>
          <w:p w14:paraId="41663D2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A4461C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C67BEA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309B85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6F22AA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35A962A"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42113794"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8ADE1BC"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期末账面价值</w:t>
            </w:r>
          </w:p>
        </w:tc>
        <w:tc>
          <w:tcPr>
            <w:tcW w:w="1377" w:type="dxa"/>
            <w:tcBorders>
              <w:top w:val="single" w:sz="2" w:space="0" w:color="auto"/>
              <w:left w:val="single" w:sz="2" w:space="0" w:color="auto"/>
              <w:bottom w:val="single" w:sz="2" w:space="0" w:color="auto"/>
              <w:right w:val="single" w:sz="2" w:space="0" w:color="auto"/>
            </w:tcBorders>
            <w:vAlign w:val="center"/>
          </w:tcPr>
          <w:p w14:paraId="61B9AC5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116,645,699.76</w:t>
            </w:r>
          </w:p>
        </w:tc>
        <w:tc>
          <w:tcPr>
            <w:tcW w:w="1377" w:type="dxa"/>
            <w:tcBorders>
              <w:top w:val="single" w:sz="2" w:space="0" w:color="auto"/>
              <w:left w:val="single" w:sz="2" w:space="0" w:color="auto"/>
              <w:bottom w:val="single" w:sz="2" w:space="0" w:color="auto"/>
              <w:right w:val="single" w:sz="2" w:space="0" w:color="auto"/>
            </w:tcBorders>
            <w:vAlign w:val="center"/>
          </w:tcPr>
          <w:p w14:paraId="2B160EB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83EDB9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E7B25A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5,271,122.62</w:t>
            </w:r>
          </w:p>
        </w:tc>
        <w:tc>
          <w:tcPr>
            <w:tcW w:w="1377" w:type="dxa"/>
            <w:tcBorders>
              <w:top w:val="single" w:sz="2" w:space="0" w:color="auto"/>
              <w:left w:val="single" w:sz="2" w:space="0" w:color="auto"/>
              <w:bottom w:val="single" w:sz="2" w:space="0" w:color="auto"/>
              <w:right w:val="single" w:sz="2" w:space="0" w:color="auto"/>
            </w:tcBorders>
            <w:vAlign w:val="center"/>
          </w:tcPr>
          <w:p w14:paraId="055FF31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1,403,333.33</w:t>
            </w:r>
          </w:p>
        </w:tc>
        <w:tc>
          <w:tcPr>
            <w:tcW w:w="1377" w:type="dxa"/>
            <w:tcBorders>
              <w:top w:val="single" w:sz="2" w:space="0" w:color="auto"/>
              <w:left w:val="single" w:sz="2" w:space="0" w:color="auto"/>
              <w:bottom w:val="single" w:sz="2" w:space="0" w:color="auto"/>
              <w:right w:val="single" w:sz="2" w:space="0" w:color="auto"/>
            </w:tcBorders>
            <w:vAlign w:val="center"/>
          </w:tcPr>
          <w:p w14:paraId="4CFDDCE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123,320,155.71</w:t>
            </w:r>
          </w:p>
        </w:tc>
      </w:tr>
      <w:tr w:rsidR="006C011D" w:rsidRPr="005A284F" w14:paraId="04D4D7E6"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98E0D8C" w14:textId="77777777" w:rsidR="006C011D" w:rsidRPr="005A284F" w:rsidRDefault="00000000" w:rsidP="005E1317">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期初账面价值</w:t>
            </w:r>
          </w:p>
        </w:tc>
        <w:tc>
          <w:tcPr>
            <w:tcW w:w="1377" w:type="dxa"/>
            <w:tcBorders>
              <w:top w:val="single" w:sz="2" w:space="0" w:color="auto"/>
              <w:left w:val="single" w:sz="2" w:space="0" w:color="auto"/>
              <w:bottom w:val="single" w:sz="2" w:space="0" w:color="auto"/>
              <w:right w:val="single" w:sz="2" w:space="0" w:color="auto"/>
            </w:tcBorders>
            <w:vAlign w:val="center"/>
          </w:tcPr>
          <w:p w14:paraId="49AA731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118,185,614.44</w:t>
            </w:r>
          </w:p>
        </w:tc>
        <w:tc>
          <w:tcPr>
            <w:tcW w:w="1377" w:type="dxa"/>
            <w:tcBorders>
              <w:top w:val="single" w:sz="2" w:space="0" w:color="auto"/>
              <w:left w:val="single" w:sz="2" w:space="0" w:color="auto"/>
              <w:bottom w:val="single" w:sz="2" w:space="0" w:color="auto"/>
              <w:right w:val="single" w:sz="2" w:space="0" w:color="auto"/>
            </w:tcBorders>
            <w:vAlign w:val="center"/>
          </w:tcPr>
          <w:p w14:paraId="2B0E6B9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3431E3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0EBA01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5,712,879.03</w:t>
            </w:r>
          </w:p>
        </w:tc>
        <w:tc>
          <w:tcPr>
            <w:tcW w:w="1377" w:type="dxa"/>
            <w:tcBorders>
              <w:top w:val="single" w:sz="2" w:space="0" w:color="auto"/>
              <w:left w:val="single" w:sz="2" w:space="0" w:color="auto"/>
              <w:bottom w:val="single" w:sz="2" w:space="0" w:color="auto"/>
              <w:right w:val="single" w:sz="2" w:space="0" w:color="auto"/>
            </w:tcBorders>
            <w:vAlign w:val="center"/>
          </w:tcPr>
          <w:p w14:paraId="0A6A5AD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1,613,833.33</w:t>
            </w:r>
          </w:p>
        </w:tc>
        <w:tc>
          <w:tcPr>
            <w:tcW w:w="1377" w:type="dxa"/>
            <w:tcBorders>
              <w:top w:val="single" w:sz="2" w:space="0" w:color="auto"/>
              <w:left w:val="single" w:sz="2" w:space="0" w:color="auto"/>
              <w:bottom w:val="single" w:sz="2" w:space="0" w:color="auto"/>
              <w:right w:val="single" w:sz="2" w:space="0" w:color="auto"/>
            </w:tcBorders>
            <w:vAlign w:val="center"/>
          </w:tcPr>
          <w:p w14:paraId="2D2BCFE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125,512,326.80</w:t>
            </w:r>
          </w:p>
        </w:tc>
      </w:tr>
    </w:tbl>
    <w:p w14:paraId="746B3E63"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本期末通过公司内部研发形成的无形资产占无形资产余额的比例</w:t>
      </w:r>
      <w:r w:rsidRPr="005A284F">
        <w:rPr>
          <w:rFonts w:ascii="Times New Roman" w:eastAsia="宋体" w:hAnsi="Times New Roman" w:cs="Times New Roman"/>
          <w:sz w:val="18"/>
          <w:szCs w:val="18"/>
        </w:rPr>
        <w:t>0.00%</w:t>
      </w:r>
    </w:p>
    <w:p w14:paraId="51453FC5" w14:textId="77777777" w:rsidR="006C011D" w:rsidRDefault="00000000">
      <w:pPr>
        <w:keepNext/>
        <w:keepLines/>
        <w:spacing w:before="300" w:after="300" w:line="280" w:lineRule="exact"/>
        <w:outlineLvl w:val="3"/>
        <w:rPr>
          <w:rFonts w:ascii="Times New Roman" w:eastAsia="宋体" w:hAnsi="Times New Roman" w:cs="Times New Roman"/>
          <w:b/>
          <w:bCs/>
          <w:sz w:val="21"/>
          <w:szCs w:val="21"/>
        </w:rPr>
      </w:pPr>
      <w:bookmarkStart w:id="250" w:name="_Toc989178"/>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2</w:t>
      </w:r>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 xml:space="preserve"> </w:t>
      </w:r>
      <w:r w:rsidRPr="005A284F">
        <w:rPr>
          <w:rFonts w:ascii="Times New Roman" w:eastAsia="宋体" w:hAnsi="Times New Roman" w:cs="Times New Roman"/>
          <w:b/>
          <w:bCs/>
          <w:sz w:val="21"/>
          <w:szCs w:val="21"/>
        </w:rPr>
        <w:t>确认为无形资产的数据资源</w:t>
      </w:r>
      <w:bookmarkEnd w:id="250"/>
    </w:p>
    <w:p w14:paraId="3C548DD8" w14:textId="77777777" w:rsidR="005E1317" w:rsidRPr="005A284F" w:rsidRDefault="005E1317" w:rsidP="005E1317">
      <w:pPr>
        <w:pStyle w:val="a3"/>
        <w:rPr>
          <w:rFonts w:ascii="Times New Roman" w:hAnsi="Times New Roman" w:cs="Times New Roman"/>
          <w:sz w:val="18"/>
          <w:szCs w:val="18"/>
        </w:rPr>
      </w:pPr>
      <w:bookmarkStart w:id="251" w:name="_Toc989179"/>
      <w:r w:rsidRPr="005A284F">
        <w:rPr>
          <w:rFonts w:ascii="Times New Roman" w:hAnsi="Times New Roman" w:cs="Times New Roman"/>
          <w:sz w:val="18"/>
          <w:szCs w:val="18"/>
        </w:rPr>
        <w:t>无</w:t>
      </w:r>
    </w:p>
    <w:p w14:paraId="7CAEC48C" w14:textId="01F159E2"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3</w:t>
      </w:r>
      <w:r w:rsidRPr="005A284F">
        <w:rPr>
          <w:rFonts w:ascii="Times New Roman" w:eastAsia="宋体" w:hAnsi="Times New Roman" w:cs="Times New Roman"/>
          <w:b/>
          <w:bCs/>
          <w:sz w:val="21"/>
          <w:szCs w:val="21"/>
        </w:rPr>
        <w:t>）未办妥产权证书的土地使用权情况</w:t>
      </w:r>
      <w:bookmarkEnd w:id="251"/>
    </w:p>
    <w:p w14:paraId="49E7E9E4" w14:textId="77777777" w:rsidR="000309B5" w:rsidRPr="005A284F" w:rsidRDefault="00000000">
      <w:pPr>
        <w:pStyle w:val="a3"/>
        <w:divId w:val="42602283"/>
        <w:rPr>
          <w:rFonts w:ascii="Times New Roman" w:hAnsi="Times New Roman" w:cs="Times New Roman"/>
          <w:sz w:val="18"/>
          <w:szCs w:val="18"/>
        </w:rPr>
      </w:pPr>
      <w:r w:rsidRPr="005A284F">
        <w:rPr>
          <w:rFonts w:ascii="Times New Roman" w:hAnsi="Times New Roman" w:cs="Times New Roman"/>
          <w:sz w:val="18"/>
          <w:szCs w:val="18"/>
        </w:rPr>
        <w:t>无</w:t>
      </w:r>
    </w:p>
    <w:p w14:paraId="6104BEF2" w14:textId="2311D5CC"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52" w:name="_Toc989180"/>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4</w:t>
      </w:r>
      <w:r w:rsidRPr="005A284F">
        <w:rPr>
          <w:rFonts w:ascii="Times New Roman" w:eastAsia="宋体" w:hAnsi="Times New Roman" w:cs="Times New Roman"/>
          <w:b/>
          <w:bCs/>
          <w:sz w:val="21"/>
          <w:szCs w:val="21"/>
        </w:rPr>
        <w:t>）无形资产的减值测试情况</w:t>
      </w:r>
      <w:bookmarkEnd w:id="252"/>
    </w:p>
    <w:p w14:paraId="0E1E3211" w14:textId="77777777" w:rsidR="006C011D" w:rsidRPr="005E1317" w:rsidRDefault="00000000">
      <w:pPr>
        <w:spacing w:before="100" w:after="100" w:line="240" w:lineRule="exact"/>
        <w:rPr>
          <w:rFonts w:ascii="宋体" w:eastAsia="宋体" w:hAnsi="宋体" w:cs="Times New Roman" w:hint="eastAsia"/>
          <w:sz w:val="18"/>
          <w:szCs w:val="18"/>
        </w:rPr>
      </w:pPr>
      <w:r w:rsidRPr="005E1317">
        <w:rPr>
          <w:rFonts w:ascii="宋体" w:eastAsia="宋体" w:hAnsi="宋体" w:cs="Times New Roman"/>
          <w:sz w:val="18"/>
          <w:szCs w:val="18"/>
        </w:rPr>
        <w:t xml:space="preserve">□适用 </w:t>
      </w:r>
      <w:r w:rsidRPr="005E1317">
        <w:rPr>
          <w:rFonts w:ascii="宋体" w:eastAsia="宋体" w:hAnsi="宋体" w:cs="Times New Roman"/>
          <w:sz w:val="18"/>
          <w:szCs w:val="18"/>
        </w:rPr>
        <w:sym w:font="Wingdings 2" w:char="F052"/>
      </w:r>
      <w:r w:rsidRPr="005E1317">
        <w:rPr>
          <w:rFonts w:ascii="宋体" w:eastAsia="宋体" w:hAnsi="宋体" w:cs="Times New Roman"/>
          <w:sz w:val="18"/>
          <w:szCs w:val="18"/>
        </w:rPr>
        <w:t>不适用</w:t>
      </w:r>
    </w:p>
    <w:p w14:paraId="37737C16" w14:textId="77777777" w:rsidR="006C011D" w:rsidRPr="005A284F" w:rsidRDefault="00000000">
      <w:pPr>
        <w:pStyle w:val="3"/>
        <w:spacing w:line="280" w:lineRule="exact"/>
        <w:jc w:val="left"/>
        <w:rPr>
          <w:rFonts w:ascii="Times New Roman" w:hAnsi="Times New Roman" w:cs="Times New Roman"/>
          <w:b/>
          <w:bCs/>
        </w:rPr>
      </w:pPr>
      <w:bookmarkStart w:id="253" w:name="_Toc989181"/>
      <w:r w:rsidRPr="005A284F">
        <w:rPr>
          <w:rFonts w:ascii="Times New Roman" w:hAnsi="Times New Roman" w:cs="Times New Roman"/>
          <w:b/>
          <w:bCs/>
        </w:rPr>
        <w:t>27</w:t>
      </w:r>
      <w:r w:rsidRPr="005A284F">
        <w:rPr>
          <w:rFonts w:ascii="Times New Roman" w:hAnsi="Times New Roman" w:cs="Times New Roman"/>
          <w:b/>
          <w:bCs/>
        </w:rPr>
        <w:t>、商誉</w:t>
      </w:r>
      <w:bookmarkEnd w:id="253"/>
    </w:p>
    <w:p w14:paraId="646C1D86" w14:textId="12023F9A"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54" w:name="_Toc989182"/>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1</w:t>
      </w:r>
      <w:r w:rsidRPr="005A284F">
        <w:rPr>
          <w:rFonts w:ascii="Times New Roman" w:eastAsia="宋体" w:hAnsi="Times New Roman" w:cs="Times New Roman"/>
          <w:b/>
          <w:bCs/>
          <w:sz w:val="21"/>
          <w:szCs w:val="21"/>
        </w:rPr>
        <w:t>）商誉账面原值</w:t>
      </w:r>
      <w:bookmarkEnd w:id="254"/>
    </w:p>
    <w:p w14:paraId="22B58D1A"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530"/>
        <w:gridCol w:w="1224"/>
        <w:gridCol w:w="1377"/>
        <w:gridCol w:w="1377"/>
        <w:gridCol w:w="1377"/>
      </w:tblGrid>
      <w:tr w:rsidR="006C011D" w:rsidRPr="005A284F" w14:paraId="0C18F0B9"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9F2D5B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被投资单位名称或形成商誉的事项</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3FEB5C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D91B39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本期增加</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9A3AF8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本期减少</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7928C3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r>
      <w:tr w:rsidR="006C011D" w:rsidRPr="005A284F" w14:paraId="750EBD1F" w14:textId="77777777" w:rsidTr="00422E29">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3D7902C" w14:textId="77777777" w:rsidR="006C011D" w:rsidRPr="005A284F" w:rsidRDefault="006C011D">
            <w:pPr>
              <w:rPr>
                <w:rFonts w:ascii="Times New Roman" w:eastAsia="宋体" w:hAnsi="Times New Roman" w:cs="Times New Roman"/>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FC2ACD7" w14:textId="77777777" w:rsidR="006C011D" w:rsidRPr="005A284F" w:rsidRDefault="006C011D">
            <w:pPr>
              <w:rPr>
                <w:rFonts w:ascii="Times New Roman" w:eastAsia="宋体" w:hAnsi="Times New Roman" w:cs="Times New Roman"/>
              </w:rPr>
            </w:pPr>
          </w:p>
        </w:tc>
        <w:tc>
          <w:tcPr>
            <w:tcW w:w="1530" w:type="dxa"/>
            <w:tcBorders>
              <w:top w:val="single" w:sz="2" w:space="0" w:color="auto"/>
              <w:left w:val="single" w:sz="2" w:space="0" w:color="auto"/>
              <w:bottom w:val="single" w:sz="2" w:space="0" w:color="auto"/>
              <w:right w:val="single" w:sz="2" w:space="0" w:color="auto"/>
            </w:tcBorders>
            <w:shd w:val="clear" w:color="auto" w:fill="D3D3D3"/>
            <w:vAlign w:val="center"/>
          </w:tcPr>
          <w:p w14:paraId="1A6DB18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企业合并形成的</w:t>
            </w:r>
          </w:p>
        </w:tc>
        <w:tc>
          <w:tcPr>
            <w:tcW w:w="1224" w:type="dxa"/>
            <w:tcBorders>
              <w:top w:val="single" w:sz="2" w:space="0" w:color="auto"/>
              <w:left w:val="single" w:sz="2" w:space="0" w:color="auto"/>
              <w:bottom w:val="single" w:sz="2" w:space="0" w:color="auto"/>
              <w:right w:val="single" w:sz="2" w:space="0" w:color="auto"/>
            </w:tcBorders>
            <w:vAlign w:val="center"/>
          </w:tcPr>
          <w:p w14:paraId="7D40B14D" w14:textId="77777777" w:rsidR="006C011D" w:rsidRPr="005A284F" w:rsidRDefault="006C011D">
            <w:pPr>
              <w:spacing w:after="0" w:line="240" w:lineRule="exact"/>
              <w:jc w:val="center"/>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5DEE3B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处置</w:t>
            </w:r>
          </w:p>
        </w:tc>
        <w:tc>
          <w:tcPr>
            <w:tcW w:w="1377" w:type="dxa"/>
            <w:tcBorders>
              <w:top w:val="single" w:sz="2" w:space="0" w:color="auto"/>
              <w:left w:val="single" w:sz="2" w:space="0" w:color="auto"/>
              <w:bottom w:val="single" w:sz="2" w:space="0" w:color="auto"/>
              <w:right w:val="single" w:sz="2" w:space="0" w:color="auto"/>
            </w:tcBorders>
            <w:vAlign w:val="center"/>
          </w:tcPr>
          <w:p w14:paraId="42D1B592" w14:textId="77777777" w:rsidR="006C011D" w:rsidRPr="005A284F" w:rsidRDefault="006C011D">
            <w:pPr>
              <w:spacing w:after="0" w:line="240" w:lineRule="exact"/>
              <w:jc w:val="center"/>
              <w:rPr>
                <w:rFonts w:ascii="Times New Roman" w:eastAsia="宋体" w:hAnsi="Times New Roman" w:cs="Times New Roman"/>
                <w:sz w:val="18"/>
                <w:szCs w:val="18"/>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22F8BB1" w14:textId="77777777" w:rsidR="006C011D" w:rsidRPr="005A284F" w:rsidRDefault="006C011D">
            <w:pPr>
              <w:rPr>
                <w:rFonts w:ascii="Times New Roman" w:eastAsia="宋体" w:hAnsi="Times New Roman" w:cs="Times New Roman"/>
              </w:rPr>
            </w:pPr>
          </w:p>
        </w:tc>
      </w:tr>
      <w:tr w:rsidR="006C011D" w:rsidRPr="005A284F" w14:paraId="151E87E7" w14:textId="77777777" w:rsidTr="00422E29">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517A3477" w14:textId="6E650111"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潍坊振祥</w:t>
            </w:r>
          </w:p>
        </w:tc>
        <w:tc>
          <w:tcPr>
            <w:tcW w:w="1377" w:type="dxa"/>
            <w:tcBorders>
              <w:top w:val="single" w:sz="2" w:space="0" w:color="auto"/>
              <w:left w:val="single" w:sz="2" w:space="0" w:color="auto"/>
              <w:bottom w:val="single" w:sz="2" w:space="0" w:color="auto"/>
              <w:right w:val="single" w:sz="2" w:space="0" w:color="auto"/>
            </w:tcBorders>
            <w:vAlign w:val="center"/>
          </w:tcPr>
          <w:p w14:paraId="583BA0D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59,823,738.70</w:t>
            </w:r>
          </w:p>
        </w:tc>
        <w:tc>
          <w:tcPr>
            <w:tcW w:w="1530" w:type="dxa"/>
            <w:tcBorders>
              <w:top w:val="single" w:sz="2" w:space="0" w:color="auto"/>
              <w:left w:val="single" w:sz="2" w:space="0" w:color="auto"/>
              <w:bottom w:val="single" w:sz="2" w:space="0" w:color="auto"/>
              <w:right w:val="single" w:sz="2" w:space="0" w:color="auto"/>
            </w:tcBorders>
            <w:vAlign w:val="center"/>
          </w:tcPr>
          <w:p w14:paraId="0296D36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24" w:type="dxa"/>
            <w:tcBorders>
              <w:top w:val="single" w:sz="2" w:space="0" w:color="auto"/>
              <w:left w:val="single" w:sz="2" w:space="0" w:color="auto"/>
              <w:bottom w:val="single" w:sz="2" w:space="0" w:color="auto"/>
              <w:right w:val="single" w:sz="2" w:space="0" w:color="auto"/>
            </w:tcBorders>
            <w:vAlign w:val="center"/>
          </w:tcPr>
          <w:p w14:paraId="6F396BE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8ECD04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FFE815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1B5C39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59,823,738.70</w:t>
            </w:r>
          </w:p>
        </w:tc>
      </w:tr>
      <w:tr w:rsidR="006C011D" w:rsidRPr="005A284F" w14:paraId="659FA6C4" w14:textId="77777777" w:rsidTr="00422E2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F5053ED"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57B08EF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59,823,738.70</w:t>
            </w:r>
          </w:p>
        </w:tc>
        <w:tc>
          <w:tcPr>
            <w:tcW w:w="1530" w:type="dxa"/>
            <w:tcBorders>
              <w:top w:val="single" w:sz="2" w:space="0" w:color="auto"/>
              <w:left w:val="single" w:sz="2" w:space="0" w:color="auto"/>
              <w:bottom w:val="single" w:sz="2" w:space="0" w:color="auto"/>
              <w:right w:val="single" w:sz="2" w:space="0" w:color="auto"/>
            </w:tcBorders>
            <w:vAlign w:val="center"/>
          </w:tcPr>
          <w:p w14:paraId="2B69EB8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24" w:type="dxa"/>
            <w:tcBorders>
              <w:top w:val="single" w:sz="2" w:space="0" w:color="auto"/>
              <w:left w:val="single" w:sz="2" w:space="0" w:color="auto"/>
              <w:bottom w:val="single" w:sz="2" w:space="0" w:color="auto"/>
              <w:right w:val="single" w:sz="2" w:space="0" w:color="auto"/>
            </w:tcBorders>
            <w:vAlign w:val="center"/>
          </w:tcPr>
          <w:p w14:paraId="197D8AA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03D4F7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B1E221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E0E4CA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59,823,738.70</w:t>
            </w:r>
          </w:p>
        </w:tc>
      </w:tr>
    </w:tbl>
    <w:p w14:paraId="38CD8FF6" w14:textId="7B4EAAB8"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55" w:name="_Toc989183"/>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2</w:t>
      </w:r>
      <w:r w:rsidRPr="005A284F">
        <w:rPr>
          <w:rFonts w:ascii="Times New Roman" w:eastAsia="宋体" w:hAnsi="Times New Roman" w:cs="Times New Roman"/>
          <w:b/>
          <w:bCs/>
          <w:sz w:val="21"/>
          <w:szCs w:val="21"/>
        </w:rPr>
        <w:t>）商誉减值准备</w:t>
      </w:r>
      <w:bookmarkEnd w:id="255"/>
    </w:p>
    <w:p w14:paraId="41189347"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24"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40"/>
        <w:gridCol w:w="1533"/>
        <w:gridCol w:w="1827"/>
        <w:gridCol w:w="1218"/>
        <w:gridCol w:w="1521"/>
        <w:gridCol w:w="762"/>
        <w:gridCol w:w="1523"/>
      </w:tblGrid>
      <w:tr w:rsidR="00422E29" w:rsidRPr="005A284F" w14:paraId="1C420829" w14:textId="77777777" w:rsidTr="00422E29">
        <w:trPr>
          <w:trHeight w:val="240"/>
        </w:trPr>
        <w:tc>
          <w:tcPr>
            <w:tcW w:w="124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6D6EC7F" w14:textId="77777777" w:rsidR="00422E29" w:rsidRPr="005A284F" w:rsidRDefault="00422E29">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被投资单位名称或形成商誉的事项</w:t>
            </w:r>
          </w:p>
        </w:tc>
        <w:tc>
          <w:tcPr>
            <w:tcW w:w="153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E3BBEF1" w14:textId="77777777" w:rsidR="00422E29" w:rsidRPr="005A284F" w:rsidRDefault="00422E29">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c>
          <w:tcPr>
            <w:tcW w:w="304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5191897" w14:textId="7090D32C" w:rsidR="00422E29" w:rsidRPr="005A284F" w:rsidRDefault="00422E29">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本期增加</w:t>
            </w:r>
          </w:p>
        </w:tc>
        <w:tc>
          <w:tcPr>
            <w:tcW w:w="228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ED1280F" w14:textId="77777777" w:rsidR="00422E29" w:rsidRPr="005A284F" w:rsidRDefault="00422E29">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本期减少</w:t>
            </w:r>
          </w:p>
        </w:tc>
        <w:tc>
          <w:tcPr>
            <w:tcW w:w="152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8FA7AB3" w14:textId="77777777" w:rsidR="00422E29" w:rsidRPr="005A284F" w:rsidRDefault="00422E29">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r>
      <w:tr w:rsidR="00422E29" w:rsidRPr="005A284F" w14:paraId="2CC4ACF9" w14:textId="77777777" w:rsidTr="00422E29">
        <w:trPr>
          <w:trHeight w:val="240"/>
        </w:trPr>
        <w:tc>
          <w:tcPr>
            <w:tcW w:w="124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C3FCC49" w14:textId="77777777" w:rsidR="00422E29" w:rsidRPr="005A284F" w:rsidRDefault="00422E29">
            <w:pPr>
              <w:rPr>
                <w:rFonts w:ascii="Times New Roman" w:eastAsia="宋体" w:hAnsi="Times New Roman" w:cs="Times New Roman"/>
              </w:rPr>
            </w:pPr>
          </w:p>
        </w:tc>
        <w:tc>
          <w:tcPr>
            <w:tcW w:w="153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68CD99F" w14:textId="77777777" w:rsidR="00422E29" w:rsidRPr="005A284F" w:rsidRDefault="00422E29">
            <w:pPr>
              <w:rPr>
                <w:rFonts w:ascii="Times New Roman" w:eastAsia="宋体" w:hAnsi="Times New Roman" w:cs="Times New Roman"/>
              </w:rPr>
            </w:pPr>
          </w:p>
        </w:tc>
        <w:tc>
          <w:tcPr>
            <w:tcW w:w="1827" w:type="dxa"/>
            <w:tcBorders>
              <w:top w:val="single" w:sz="2" w:space="0" w:color="auto"/>
              <w:left w:val="single" w:sz="2" w:space="0" w:color="auto"/>
              <w:bottom w:val="single" w:sz="2" w:space="0" w:color="auto"/>
              <w:right w:val="single" w:sz="2" w:space="0" w:color="auto"/>
            </w:tcBorders>
            <w:shd w:val="clear" w:color="auto" w:fill="D3D3D3"/>
            <w:vAlign w:val="center"/>
          </w:tcPr>
          <w:p w14:paraId="04857F15" w14:textId="143086E9" w:rsidR="00422E29" w:rsidRPr="005A284F" w:rsidRDefault="00422E29">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计提</w:t>
            </w:r>
          </w:p>
        </w:tc>
        <w:tc>
          <w:tcPr>
            <w:tcW w:w="1218" w:type="dxa"/>
            <w:tcBorders>
              <w:top w:val="single" w:sz="2" w:space="0" w:color="auto"/>
              <w:left w:val="single" w:sz="2" w:space="0" w:color="auto"/>
              <w:bottom w:val="single" w:sz="2" w:space="0" w:color="auto"/>
              <w:right w:val="single" w:sz="2" w:space="0" w:color="auto"/>
            </w:tcBorders>
            <w:vAlign w:val="center"/>
          </w:tcPr>
          <w:p w14:paraId="106905B3" w14:textId="77777777" w:rsidR="00422E29" w:rsidRPr="005A284F" w:rsidRDefault="00422E29">
            <w:pPr>
              <w:spacing w:after="0" w:line="240" w:lineRule="exact"/>
              <w:jc w:val="center"/>
              <w:rPr>
                <w:rFonts w:ascii="Times New Roman" w:eastAsia="宋体" w:hAnsi="Times New Roman" w:cs="Times New Roman"/>
                <w:sz w:val="18"/>
                <w:szCs w:val="18"/>
              </w:rPr>
            </w:pPr>
          </w:p>
        </w:tc>
        <w:tc>
          <w:tcPr>
            <w:tcW w:w="1521" w:type="dxa"/>
            <w:tcBorders>
              <w:top w:val="single" w:sz="2" w:space="0" w:color="auto"/>
              <w:left w:val="single" w:sz="2" w:space="0" w:color="auto"/>
              <w:bottom w:val="single" w:sz="2" w:space="0" w:color="auto"/>
              <w:right w:val="single" w:sz="2" w:space="0" w:color="auto"/>
            </w:tcBorders>
            <w:shd w:val="clear" w:color="auto" w:fill="D3D3D3"/>
            <w:vAlign w:val="center"/>
          </w:tcPr>
          <w:p w14:paraId="280C58EE" w14:textId="77777777" w:rsidR="00422E29" w:rsidRPr="005A284F" w:rsidRDefault="00422E29">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处置</w:t>
            </w:r>
          </w:p>
        </w:tc>
        <w:tc>
          <w:tcPr>
            <w:tcW w:w="761" w:type="dxa"/>
            <w:tcBorders>
              <w:top w:val="single" w:sz="2" w:space="0" w:color="auto"/>
              <w:left w:val="single" w:sz="2" w:space="0" w:color="auto"/>
              <w:bottom w:val="single" w:sz="2" w:space="0" w:color="auto"/>
              <w:right w:val="single" w:sz="2" w:space="0" w:color="auto"/>
            </w:tcBorders>
            <w:vAlign w:val="center"/>
          </w:tcPr>
          <w:p w14:paraId="7CBC5F13" w14:textId="77777777" w:rsidR="00422E29" w:rsidRPr="005A284F" w:rsidRDefault="00422E29">
            <w:pPr>
              <w:spacing w:after="0" w:line="240" w:lineRule="exact"/>
              <w:jc w:val="center"/>
              <w:rPr>
                <w:rFonts w:ascii="Times New Roman" w:eastAsia="宋体" w:hAnsi="Times New Roman" w:cs="Times New Roman"/>
                <w:sz w:val="18"/>
                <w:szCs w:val="18"/>
              </w:rPr>
            </w:pPr>
          </w:p>
        </w:tc>
        <w:tc>
          <w:tcPr>
            <w:tcW w:w="152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1985A14" w14:textId="77777777" w:rsidR="00422E29" w:rsidRPr="005A284F" w:rsidRDefault="00422E29">
            <w:pPr>
              <w:rPr>
                <w:rFonts w:ascii="Times New Roman" w:eastAsia="宋体" w:hAnsi="Times New Roman" w:cs="Times New Roman"/>
              </w:rPr>
            </w:pPr>
          </w:p>
        </w:tc>
      </w:tr>
      <w:tr w:rsidR="00422E29" w:rsidRPr="005A284F" w14:paraId="66C9782F" w14:textId="77777777" w:rsidTr="00422E29">
        <w:trPr>
          <w:trHeight w:val="240"/>
        </w:trPr>
        <w:tc>
          <w:tcPr>
            <w:tcW w:w="1240" w:type="dxa"/>
            <w:tcBorders>
              <w:top w:val="single" w:sz="2" w:space="0" w:color="auto"/>
              <w:left w:val="single" w:sz="2" w:space="0" w:color="auto"/>
              <w:bottom w:val="single" w:sz="2" w:space="0" w:color="auto"/>
              <w:right w:val="single" w:sz="2" w:space="0" w:color="auto"/>
            </w:tcBorders>
            <w:vAlign w:val="center"/>
          </w:tcPr>
          <w:p w14:paraId="102CA207" w14:textId="33E6EC4D" w:rsidR="00422E29" w:rsidRPr="005A284F" w:rsidRDefault="00422E29">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潍坊振祥</w:t>
            </w:r>
          </w:p>
        </w:tc>
        <w:tc>
          <w:tcPr>
            <w:tcW w:w="1533" w:type="dxa"/>
            <w:tcBorders>
              <w:top w:val="single" w:sz="2" w:space="0" w:color="auto"/>
              <w:left w:val="single" w:sz="2" w:space="0" w:color="auto"/>
              <w:bottom w:val="single" w:sz="2" w:space="0" w:color="auto"/>
              <w:right w:val="single" w:sz="2" w:space="0" w:color="auto"/>
            </w:tcBorders>
            <w:vAlign w:val="center"/>
          </w:tcPr>
          <w:p w14:paraId="1B50AAA8" w14:textId="77777777" w:rsidR="00422E29" w:rsidRPr="005A284F" w:rsidRDefault="00422E29">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32,951,764.52</w:t>
            </w:r>
          </w:p>
        </w:tc>
        <w:tc>
          <w:tcPr>
            <w:tcW w:w="1827" w:type="dxa"/>
            <w:tcBorders>
              <w:top w:val="single" w:sz="2" w:space="0" w:color="auto"/>
              <w:left w:val="single" w:sz="2" w:space="0" w:color="auto"/>
              <w:bottom w:val="single" w:sz="2" w:space="0" w:color="auto"/>
              <w:right w:val="single" w:sz="2" w:space="0" w:color="auto"/>
            </w:tcBorders>
            <w:vAlign w:val="center"/>
          </w:tcPr>
          <w:p w14:paraId="00AFA6C8" w14:textId="33381A2D" w:rsidR="00422E29" w:rsidRPr="005A284F" w:rsidRDefault="00422E29">
            <w:pPr>
              <w:spacing w:after="0" w:line="240" w:lineRule="exact"/>
              <w:jc w:val="right"/>
              <w:rPr>
                <w:rFonts w:ascii="Times New Roman" w:eastAsia="宋体" w:hAnsi="Times New Roman" w:cs="Times New Roman"/>
                <w:sz w:val="18"/>
                <w:szCs w:val="18"/>
              </w:rPr>
            </w:pPr>
          </w:p>
        </w:tc>
        <w:tc>
          <w:tcPr>
            <w:tcW w:w="1218" w:type="dxa"/>
            <w:tcBorders>
              <w:top w:val="single" w:sz="2" w:space="0" w:color="auto"/>
              <w:left w:val="single" w:sz="2" w:space="0" w:color="auto"/>
              <w:bottom w:val="single" w:sz="2" w:space="0" w:color="auto"/>
              <w:right w:val="single" w:sz="2" w:space="0" w:color="auto"/>
            </w:tcBorders>
            <w:vAlign w:val="center"/>
          </w:tcPr>
          <w:p w14:paraId="6D9DFF86" w14:textId="77777777" w:rsidR="00422E29" w:rsidRPr="005A284F" w:rsidRDefault="00422E29">
            <w:pPr>
              <w:spacing w:after="0" w:line="240" w:lineRule="exact"/>
              <w:jc w:val="right"/>
              <w:rPr>
                <w:rFonts w:ascii="Times New Roman" w:eastAsia="宋体" w:hAnsi="Times New Roman" w:cs="Times New Roman"/>
                <w:sz w:val="18"/>
                <w:szCs w:val="18"/>
              </w:rPr>
            </w:pPr>
          </w:p>
        </w:tc>
        <w:tc>
          <w:tcPr>
            <w:tcW w:w="1521" w:type="dxa"/>
            <w:tcBorders>
              <w:top w:val="single" w:sz="2" w:space="0" w:color="auto"/>
              <w:left w:val="single" w:sz="2" w:space="0" w:color="auto"/>
              <w:bottom w:val="single" w:sz="2" w:space="0" w:color="auto"/>
              <w:right w:val="single" w:sz="2" w:space="0" w:color="auto"/>
            </w:tcBorders>
            <w:vAlign w:val="center"/>
          </w:tcPr>
          <w:p w14:paraId="6160B2B6" w14:textId="77777777" w:rsidR="00422E29" w:rsidRPr="005A284F" w:rsidRDefault="00422E29">
            <w:pPr>
              <w:spacing w:after="0" w:line="240" w:lineRule="exact"/>
              <w:jc w:val="right"/>
              <w:rPr>
                <w:rFonts w:ascii="Times New Roman" w:eastAsia="宋体" w:hAnsi="Times New Roman" w:cs="Times New Roman"/>
                <w:sz w:val="18"/>
                <w:szCs w:val="18"/>
              </w:rPr>
            </w:pPr>
          </w:p>
        </w:tc>
        <w:tc>
          <w:tcPr>
            <w:tcW w:w="761" w:type="dxa"/>
            <w:tcBorders>
              <w:top w:val="single" w:sz="2" w:space="0" w:color="auto"/>
              <w:left w:val="single" w:sz="2" w:space="0" w:color="auto"/>
              <w:bottom w:val="single" w:sz="2" w:space="0" w:color="auto"/>
              <w:right w:val="single" w:sz="2" w:space="0" w:color="auto"/>
            </w:tcBorders>
            <w:vAlign w:val="center"/>
          </w:tcPr>
          <w:p w14:paraId="55B4DF3C" w14:textId="77777777" w:rsidR="00422E29" w:rsidRPr="005A284F" w:rsidRDefault="00422E29">
            <w:pPr>
              <w:spacing w:after="0" w:line="240" w:lineRule="exact"/>
              <w:jc w:val="right"/>
              <w:rPr>
                <w:rFonts w:ascii="Times New Roman" w:eastAsia="宋体" w:hAnsi="Times New Roman" w:cs="Times New Roman"/>
                <w:sz w:val="18"/>
                <w:szCs w:val="18"/>
              </w:rPr>
            </w:pPr>
          </w:p>
        </w:tc>
        <w:tc>
          <w:tcPr>
            <w:tcW w:w="1523" w:type="dxa"/>
            <w:tcBorders>
              <w:top w:val="single" w:sz="2" w:space="0" w:color="auto"/>
              <w:left w:val="single" w:sz="2" w:space="0" w:color="auto"/>
              <w:bottom w:val="single" w:sz="2" w:space="0" w:color="auto"/>
              <w:right w:val="single" w:sz="2" w:space="0" w:color="auto"/>
            </w:tcBorders>
            <w:vAlign w:val="center"/>
          </w:tcPr>
          <w:p w14:paraId="16E4E8F3" w14:textId="77777777" w:rsidR="00422E29" w:rsidRPr="005A284F" w:rsidRDefault="00422E29">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32,951,764.52</w:t>
            </w:r>
          </w:p>
        </w:tc>
      </w:tr>
      <w:tr w:rsidR="00422E29" w:rsidRPr="005A284F" w14:paraId="28EC6D12" w14:textId="77777777" w:rsidTr="00422E29">
        <w:trPr>
          <w:trHeight w:val="240"/>
        </w:trPr>
        <w:tc>
          <w:tcPr>
            <w:tcW w:w="1240" w:type="dxa"/>
            <w:tcBorders>
              <w:top w:val="single" w:sz="2" w:space="0" w:color="auto"/>
              <w:left w:val="single" w:sz="2" w:space="0" w:color="auto"/>
              <w:bottom w:val="single" w:sz="2" w:space="0" w:color="auto"/>
              <w:right w:val="single" w:sz="2" w:space="0" w:color="auto"/>
            </w:tcBorders>
            <w:shd w:val="clear" w:color="auto" w:fill="D3D3D3"/>
            <w:vAlign w:val="center"/>
          </w:tcPr>
          <w:p w14:paraId="5A148EF8" w14:textId="77777777" w:rsidR="00422E29" w:rsidRPr="005A284F" w:rsidRDefault="00422E29">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1533" w:type="dxa"/>
            <w:tcBorders>
              <w:top w:val="single" w:sz="2" w:space="0" w:color="auto"/>
              <w:left w:val="single" w:sz="2" w:space="0" w:color="auto"/>
              <w:bottom w:val="single" w:sz="2" w:space="0" w:color="auto"/>
              <w:right w:val="single" w:sz="2" w:space="0" w:color="auto"/>
            </w:tcBorders>
            <w:vAlign w:val="center"/>
          </w:tcPr>
          <w:p w14:paraId="61BDAF83" w14:textId="77777777" w:rsidR="00422E29" w:rsidRPr="005A284F" w:rsidRDefault="00422E29">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32,951,764.52</w:t>
            </w:r>
          </w:p>
        </w:tc>
        <w:tc>
          <w:tcPr>
            <w:tcW w:w="1827" w:type="dxa"/>
            <w:tcBorders>
              <w:top w:val="single" w:sz="2" w:space="0" w:color="auto"/>
              <w:left w:val="single" w:sz="2" w:space="0" w:color="auto"/>
              <w:bottom w:val="single" w:sz="2" w:space="0" w:color="auto"/>
              <w:right w:val="single" w:sz="2" w:space="0" w:color="auto"/>
            </w:tcBorders>
            <w:vAlign w:val="center"/>
          </w:tcPr>
          <w:p w14:paraId="45031240" w14:textId="620664D9" w:rsidR="00422E29" w:rsidRPr="005A284F" w:rsidRDefault="00422E29">
            <w:pPr>
              <w:spacing w:after="0" w:line="240" w:lineRule="exact"/>
              <w:jc w:val="right"/>
              <w:rPr>
                <w:rFonts w:ascii="Times New Roman" w:eastAsia="宋体" w:hAnsi="Times New Roman" w:cs="Times New Roman"/>
                <w:sz w:val="18"/>
                <w:szCs w:val="18"/>
              </w:rPr>
            </w:pPr>
          </w:p>
        </w:tc>
        <w:tc>
          <w:tcPr>
            <w:tcW w:w="1218" w:type="dxa"/>
            <w:tcBorders>
              <w:top w:val="single" w:sz="2" w:space="0" w:color="auto"/>
              <w:left w:val="single" w:sz="2" w:space="0" w:color="auto"/>
              <w:bottom w:val="single" w:sz="2" w:space="0" w:color="auto"/>
              <w:right w:val="single" w:sz="2" w:space="0" w:color="auto"/>
            </w:tcBorders>
            <w:vAlign w:val="center"/>
          </w:tcPr>
          <w:p w14:paraId="21DFFD0A" w14:textId="77777777" w:rsidR="00422E29" w:rsidRPr="005A284F" w:rsidRDefault="00422E29">
            <w:pPr>
              <w:spacing w:after="0" w:line="240" w:lineRule="exact"/>
              <w:jc w:val="right"/>
              <w:rPr>
                <w:rFonts w:ascii="Times New Roman" w:eastAsia="宋体" w:hAnsi="Times New Roman" w:cs="Times New Roman"/>
                <w:sz w:val="18"/>
                <w:szCs w:val="18"/>
              </w:rPr>
            </w:pPr>
          </w:p>
        </w:tc>
        <w:tc>
          <w:tcPr>
            <w:tcW w:w="1521" w:type="dxa"/>
            <w:tcBorders>
              <w:top w:val="single" w:sz="2" w:space="0" w:color="auto"/>
              <w:left w:val="single" w:sz="2" w:space="0" w:color="auto"/>
              <w:bottom w:val="single" w:sz="2" w:space="0" w:color="auto"/>
              <w:right w:val="single" w:sz="2" w:space="0" w:color="auto"/>
            </w:tcBorders>
            <w:vAlign w:val="center"/>
          </w:tcPr>
          <w:p w14:paraId="28FB2FAB" w14:textId="77777777" w:rsidR="00422E29" w:rsidRPr="005A284F" w:rsidRDefault="00422E29">
            <w:pPr>
              <w:spacing w:after="0" w:line="240" w:lineRule="exact"/>
              <w:jc w:val="right"/>
              <w:rPr>
                <w:rFonts w:ascii="Times New Roman" w:eastAsia="宋体" w:hAnsi="Times New Roman" w:cs="Times New Roman"/>
                <w:sz w:val="18"/>
                <w:szCs w:val="18"/>
              </w:rPr>
            </w:pPr>
          </w:p>
        </w:tc>
        <w:tc>
          <w:tcPr>
            <w:tcW w:w="761" w:type="dxa"/>
            <w:tcBorders>
              <w:top w:val="single" w:sz="2" w:space="0" w:color="auto"/>
              <w:left w:val="single" w:sz="2" w:space="0" w:color="auto"/>
              <w:bottom w:val="single" w:sz="2" w:space="0" w:color="auto"/>
              <w:right w:val="single" w:sz="2" w:space="0" w:color="auto"/>
            </w:tcBorders>
            <w:vAlign w:val="center"/>
          </w:tcPr>
          <w:p w14:paraId="47606E17" w14:textId="77777777" w:rsidR="00422E29" w:rsidRPr="005A284F" w:rsidRDefault="00422E29">
            <w:pPr>
              <w:spacing w:after="0" w:line="240" w:lineRule="exact"/>
              <w:jc w:val="right"/>
              <w:rPr>
                <w:rFonts w:ascii="Times New Roman" w:eastAsia="宋体" w:hAnsi="Times New Roman" w:cs="Times New Roman"/>
                <w:sz w:val="18"/>
                <w:szCs w:val="18"/>
              </w:rPr>
            </w:pPr>
          </w:p>
        </w:tc>
        <w:tc>
          <w:tcPr>
            <w:tcW w:w="1523" w:type="dxa"/>
            <w:tcBorders>
              <w:top w:val="single" w:sz="2" w:space="0" w:color="auto"/>
              <w:left w:val="single" w:sz="2" w:space="0" w:color="auto"/>
              <w:bottom w:val="single" w:sz="2" w:space="0" w:color="auto"/>
              <w:right w:val="single" w:sz="2" w:space="0" w:color="auto"/>
            </w:tcBorders>
            <w:vAlign w:val="center"/>
          </w:tcPr>
          <w:p w14:paraId="596C4052" w14:textId="77777777" w:rsidR="00422E29" w:rsidRPr="005A284F" w:rsidRDefault="00422E29">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32,951,764.52</w:t>
            </w:r>
          </w:p>
        </w:tc>
      </w:tr>
    </w:tbl>
    <w:p w14:paraId="112118DE" w14:textId="05E08EF2"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56" w:name="_Toc989184"/>
      <w:r w:rsidRPr="005A284F">
        <w:rPr>
          <w:rFonts w:ascii="Times New Roman" w:eastAsia="宋体" w:hAnsi="Times New Roman" w:cs="Times New Roman"/>
          <w:b/>
          <w:bCs/>
          <w:sz w:val="21"/>
          <w:szCs w:val="21"/>
        </w:rPr>
        <w:lastRenderedPageBreak/>
        <w:t>（</w:t>
      </w:r>
      <w:r w:rsidRPr="005A284F">
        <w:rPr>
          <w:rFonts w:ascii="Times New Roman" w:eastAsia="宋体" w:hAnsi="Times New Roman" w:cs="Times New Roman"/>
          <w:b/>
          <w:bCs/>
          <w:sz w:val="21"/>
          <w:szCs w:val="21"/>
        </w:rPr>
        <w:t>3</w:t>
      </w:r>
      <w:r w:rsidRPr="005A284F">
        <w:rPr>
          <w:rFonts w:ascii="Times New Roman" w:eastAsia="宋体" w:hAnsi="Times New Roman" w:cs="Times New Roman"/>
          <w:b/>
          <w:bCs/>
          <w:sz w:val="21"/>
          <w:szCs w:val="21"/>
        </w:rPr>
        <w:t>）商誉所在资产组或资产组组合的相关信息</w:t>
      </w:r>
      <w:bookmarkEnd w:id="256"/>
    </w:p>
    <w:p w14:paraId="117C8212" w14:textId="77777777" w:rsidR="000309B5" w:rsidRPr="005A284F" w:rsidRDefault="00000000">
      <w:pPr>
        <w:pStyle w:val="a3"/>
        <w:divId w:val="1820884119"/>
        <w:rPr>
          <w:rFonts w:ascii="Times New Roman" w:hAnsi="Times New Roman" w:cs="Times New Roman"/>
          <w:sz w:val="18"/>
          <w:szCs w:val="18"/>
        </w:rPr>
      </w:pPr>
      <w:r w:rsidRPr="005A284F">
        <w:rPr>
          <w:rFonts w:ascii="Times New Roman" w:hAnsi="Times New Roman" w:cs="Times New Roman"/>
          <w:sz w:val="18"/>
          <w:szCs w:val="18"/>
        </w:rPr>
        <w:t>无</w:t>
      </w:r>
    </w:p>
    <w:p w14:paraId="7096B751" w14:textId="12D89EA0"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57" w:name="_Toc989185"/>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4</w:t>
      </w:r>
      <w:r w:rsidRPr="005A284F">
        <w:rPr>
          <w:rFonts w:ascii="Times New Roman" w:eastAsia="宋体" w:hAnsi="Times New Roman" w:cs="Times New Roman"/>
          <w:b/>
          <w:bCs/>
          <w:sz w:val="21"/>
          <w:szCs w:val="21"/>
        </w:rPr>
        <w:t>）可收回金额的具体确定方法</w:t>
      </w:r>
      <w:bookmarkEnd w:id="257"/>
    </w:p>
    <w:p w14:paraId="610382E7"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可收回金额按公允价值减去处置费用后的净额确定</w:t>
      </w:r>
    </w:p>
    <w:p w14:paraId="5EC1C816" w14:textId="77777777" w:rsidR="006C011D" w:rsidRPr="00E94D55" w:rsidRDefault="00000000">
      <w:pPr>
        <w:spacing w:before="40" w:after="40" w:line="240" w:lineRule="exact"/>
        <w:rPr>
          <w:rFonts w:ascii="宋体" w:eastAsia="宋体" w:hAnsi="宋体" w:cs="Times New Roman" w:hint="eastAsia"/>
          <w:sz w:val="18"/>
          <w:szCs w:val="18"/>
        </w:rPr>
      </w:pPr>
      <w:r w:rsidRPr="00E94D55">
        <w:rPr>
          <w:rFonts w:ascii="宋体" w:eastAsia="宋体" w:hAnsi="宋体" w:cs="Times New Roman"/>
          <w:sz w:val="18"/>
          <w:szCs w:val="18"/>
        </w:rPr>
        <w:t xml:space="preserve">□适用 </w:t>
      </w:r>
      <w:r w:rsidRPr="00E94D55">
        <w:rPr>
          <w:rFonts w:ascii="宋体" w:eastAsia="宋体" w:hAnsi="宋体" w:cs="Times New Roman"/>
          <w:sz w:val="18"/>
          <w:szCs w:val="18"/>
        </w:rPr>
        <w:sym w:font="Wingdings 2" w:char="F052"/>
      </w:r>
      <w:r w:rsidRPr="00E94D55">
        <w:rPr>
          <w:rFonts w:ascii="宋体" w:eastAsia="宋体" w:hAnsi="宋体" w:cs="Times New Roman"/>
          <w:sz w:val="18"/>
          <w:szCs w:val="18"/>
        </w:rPr>
        <w:t>不适用</w:t>
      </w:r>
    </w:p>
    <w:p w14:paraId="4B25CA9C"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可收回金额按预计未来现金流量的现值确定</w:t>
      </w:r>
    </w:p>
    <w:p w14:paraId="03DA9B9E" w14:textId="77777777" w:rsidR="006C011D" w:rsidRPr="00E94D55" w:rsidRDefault="00000000">
      <w:pPr>
        <w:spacing w:before="40" w:after="40" w:line="240" w:lineRule="exact"/>
        <w:rPr>
          <w:rFonts w:ascii="宋体" w:eastAsia="宋体" w:hAnsi="宋体" w:cs="Times New Roman" w:hint="eastAsia"/>
          <w:sz w:val="18"/>
          <w:szCs w:val="18"/>
        </w:rPr>
      </w:pPr>
      <w:r w:rsidRPr="00E94D55">
        <w:rPr>
          <w:rFonts w:ascii="宋体" w:eastAsia="宋体" w:hAnsi="宋体" w:cs="Times New Roman"/>
          <w:sz w:val="18"/>
          <w:szCs w:val="18"/>
        </w:rPr>
        <w:t xml:space="preserve">□适用 </w:t>
      </w:r>
      <w:r w:rsidRPr="00E94D55">
        <w:rPr>
          <w:rFonts w:ascii="宋体" w:eastAsia="宋体" w:hAnsi="宋体" w:cs="Times New Roman"/>
          <w:sz w:val="18"/>
          <w:szCs w:val="18"/>
        </w:rPr>
        <w:sym w:font="Wingdings 2" w:char="F052"/>
      </w:r>
      <w:r w:rsidRPr="00E94D55">
        <w:rPr>
          <w:rFonts w:ascii="宋体" w:eastAsia="宋体" w:hAnsi="宋体" w:cs="Times New Roman"/>
          <w:sz w:val="18"/>
          <w:szCs w:val="18"/>
        </w:rPr>
        <w:t>不适用</w:t>
      </w:r>
    </w:p>
    <w:p w14:paraId="7490A0D0"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前述信息与以前年度减值测试采用的信息或外部信息明显不一致的差异原因</w:t>
      </w:r>
    </w:p>
    <w:p w14:paraId="6B76300A" w14:textId="77777777" w:rsidR="000309B5" w:rsidRPr="005A284F" w:rsidRDefault="00000000">
      <w:pPr>
        <w:pStyle w:val="a3"/>
        <w:divId w:val="1956908006"/>
        <w:rPr>
          <w:rFonts w:ascii="Times New Roman" w:hAnsi="Times New Roman" w:cs="Times New Roman"/>
          <w:sz w:val="18"/>
          <w:szCs w:val="18"/>
        </w:rPr>
      </w:pPr>
      <w:r w:rsidRPr="005A284F">
        <w:rPr>
          <w:rFonts w:ascii="Times New Roman" w:hAnsi="Times New Roman" w:cs="Times New Roman"/>
          <w:sz w:val="18"/>
          <w:szCs w:val="18"/>
        </w:rPr>
        <w:t>无</w:t>
      </w:r>
    </w:p>
    <w:p w14:paraId="301DDFCD"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公司以前年度减值测试采用信息与当年实际情况明显不一致的差异原因</w:t>
      </w:r>
    </w:p>
    <w:p w14:paraId="051F922B" w14:textId="77777777" w:rsidR="000309B5" w:rsidRPr="005A284F" w:rsidRDefault="00000000">
      <w:pPr>
        <w:pStyle w:val="a3"/>
        <w:divId w:val="978337306"/>
        <w:rPr>
          <w:rFonts w:ascii="Times New Roman" w:hAnsi="Times New Roman" w:cs="Times New Roman"/>
          <w:sz w:val="18"/>
          <w:szCs w:val="18"/>
        </w:rPr>
      </w:pPr>
      <w:r w:rsidRPr="005A284F">
        <w:rPr>
          <w:rFonts w:ascii="Times New Roman" w:hAnsi="Times New Roman" w:cs="Times New Roman"/>
          <w:sz w:val="18"/>
          <w:szCs w:val="18"/>
        </w:rPr>
        <w:t>无</w:t>
      </w:r>
    </w:p>
    <w:p w14:paraId="2737352B" w14:textId="0E8AC0EC"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58" w:name="_Toc989186"/>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5</w:t>
      </w:r>
      <w:r w:rsidRPr="005A284F">
        <w:rPr>
          <w:rFonts w:ascii="Times New Roman" w:eastAsia="宋体" w:hAnsi="Times New Roman" w:cs="Times New Roman"/>
          <w:b/>
          <w:bCs/>
          <w:sz w:val="21"/>
          <w:szCs w:val="21"/>
        </w:rPr>
        <w:t>）业绩承诺完成及对应商誉减值情况</w:t>
      </w:r>
      <w:bookmarkEnd w:id="258"/>
    </w:p>
    <w:p w14:paraId="0BFF7948"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形成商誉时存在业绩承诺且报告期或报告期上一期间处于业绩承诺期内</w:t>
      </w:r>
    </w:p>
    <w:p w14:paraId="62DC7DA5" w14:textId="77777777" w:rsidR="006C011D" w:rsidRPr="00E94D55" w:rsidRDefault="00000000">
      <w:pPr>
        <w:spacing w:before="40" w:after="40" w:line="240" w:lineRule="exact"/>
        <w:rPr>
          <w:rFonts w:ascii="宋体" w:eastAsia="宋体" w:hAnsi="宋体" w:cs="Times New Roman" w:hint="eastAsia"/>
          <w:sz w:val="18"/>
          <w:szCs w:val="18"/>
        </w:rPr>
      </w:pPr>
      <w:r w:rsidRPr="00E94D55">
        <w:rPr>
          <w:rFonts w:ascii="宋体" w:eastAsia="宋体" w:hAnsi="宋体" w:cs="Times New Roman"/>
          <w:sz w:val="18"/>
          <w:szCs w:val="18"/>
        </w:rPr>
        <w:t xml:space="preserve">□适用 </w:t>
      </w:r>
      <w:r w:rsidRPr="00E94D55">
        <w:rPr>
          <w:rFonts w:ascii="宋体" w:eastAsia="宋体" w:hAnsi="宋体" w:cs="Times New Roman"/>
          <w:sz w:val="18"/>
          <w:szCs w:val="18"/>
        </w:rPr>
        <w:sym w:font="Wingdings 2" w:char="F052"/>
      </w:r>
      <w:r w:rsidRPr="00E94D55">
        <w:rPr>
          <w:rFonts w:ascii="宋体" w:eastAsia="宋体" w:hAnsi="宋体" w:cs="Times New Roman"/>
          <w:sz w:val="18"/>
          <w:szCs w:val="18"/>
        </w:rPr>
        <w:t>不适用</w:t>
      </w:r>
    </w:p>
    <w:p w14:paraId="76621691" w14:textId="77777777" w:rsidR="006C011D" w:rsidRPr="005A284F" w:rsidRDefault="00000000">
      <w:pPr>
        <w:pStyle w:val="3"/>
        <w:spacing w:line="280" w:lineRule="exact"/>
        <w:jc w:val="left"/>
        <w:rPr>
          <w:rFonts w:ascii="Times New Roman" w:hAnsi="Times New Roman" w:cs="Times New Roman"/>
          <w:b/>
          <w:bCs/>
        </w:rPr>
      </w:pPr>
      <w:bookmarkStart w:id="259" w:name="_Toc989187"/>
      <w:r w:rsidRPr="005A284F">
        <w:rPr>
          <w:rFonts w:ascii="Times New Roman" w:hAnsi="Times New Roman" w:cs="Times New Roman"/>
          <w:b/>
          <w:bCs/>
        </w:rPr>
        <w:t>28</w:t>
      </w:r>
      <w:r w:rsidRPr="005A284F">
        <w:rPr>
          <w:rFonts w:ascii="Times New Roman" w:hAnsi="Times New Roman" w:cs="Times New Roman"/>
          <w:b/>
          <w:bCs/>
        </w:rPr>
        <w:t>、长期待摊费用</w:t>
      </w:r>
      <w:bookmarkEnd w:id="259"/>
    </w:p>
    <w:p w14:paraId="2C08BE33"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43"/>
        <w:gridCol w:w="1369"/>
        <w:gridCol w:w="1606"/>
        <w:gridCol w:w="1607"/>
        <w:gridCol w:w="1607"/>
        <w:gridCol w:w="1607"/>
      </w:tblGrid>
      <w:tr w:rsidR="006C011D" w:rsidRPr="005A284F" w14:paraId="68B73CDC" w14:textId="77777777" w:rsidTr="00E94D55">
        <w:trPr>
          <w:trHeight w:val="240"/>
        </w:trPr>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6675786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1369" w:type="dxa"/>
            <w:tcBorders>
              <w:top w:val="single" w:sz="2" w:space="0" w:color="auto"/>
              <w:left w:val="single" w:sz="2" w:space="0" w:color="auto"/>
              <w:bottom w:val="single" w:sz="2" w:space="0" w:color="auto"/>
              <w:right w:val="single" w:sz="2" w:space="0" w:color="auto"/>
            </w:tcBorders>
            <w:shd w:val="clear" w:color="auto" w:fill="D3D3D3"/>
            <w:vAlign w:val="center"/>
          </w:tcPr>
          <w:p w14:paraId="4397F08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6F2B22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本期增加金额</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14:paraId="17AA20F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本期摊销金额</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14:paraId="74C0966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其他减少金额</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14:paraId="1B56B70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r>
      <w:tr w:rsidR="006C011D" w:rsidRPr="005A284F" w14:paraId="7956BE89" w14:textId="77777777" w:rsidTr="00E94D55">
        <w:trPr>
          <w:trHeight w:val="240"/>
        </w:trPr>
        <w:tc>
          <w:tcPr>
            <w:tcW w:w="1843" w:type="dxa"/>
            <w:tcBorders>
              <w:top w:val="single" w:sz="2" w:space="0" w:color="auto"/>
              <w:left w:val="single" w:sz="2" w:space="0" w:color="auto"/>
              <w:bottom w:val="single" w:sz="2" w:space="0" w:color="auto"/>
              <w:right w:val="single" w:sz="2" w:space="0" w:color="auto"/>
            </w:tcBorders>
            <w:vAlign w:val="center"/>
          </w:tcPr>
          <w:p w14:paraId="58A6B72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实验室装修改造</w:t>
            </w:r>
          </w:p>
        </w:tc>
        <w:tc>
          <w:tcPr>
            <w:tcW w:w="1369" w:type="dxa"/>
            <w:tcBorders>
              <w:top w:val="single" w:sz="2" w:space="0" w:color="auto"/>
              <w:left w:val="single" w:sz="2" w:space="0" w:color="auto"/>
              <w:bottom w:val="single" w:sz="2" w:space="0" w:color="auto"/>
              <w:right w:val="single" w:sz="2" w:space="0" w:color="auto"/>
            </w:tcBorders>
            <w:vAlign w:val="center"/>
          </w:tcPr>
          <w:p w14:paraId="0ECD87A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1,403,363.87</w:t>
            </w:r>
          </w:p>
        </w:tc>
        <w:tc>
          <w:tcPr>
            <w:tcW w:w="1606" w:type="dxa"/>
            <w:tcBorders>
              <w:top w:val="single" w:sz="2" w:space="0" w:color="auto"/>
              <w:left w:val="single" w:sz="2" w:space="0" w:color="auto"/>
              <w:bottom w:val="single" w:sz="2" w:space="0" w:color="auto"/>
              <w:right w:val="single" w:sz="2" w:space="0" w:color="auto"/>
            </w:tcBorders>
            <w:vAlign w:val="center"/>
          </w:tcPr>
          <w:p w14:paraId="7DDA9AE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5,166,972.48</w:t>
            </w:r>
          </w:p>
        </w:tc>
        <w:tc>
          <w:tcPr>
            <w:tcW w:w="1607" w:type="dxa"/>
            <w:tcBorders>
              <w:top w:val="single" w:sz="2" w:space="0" w:color="auto"/>
              <w:left w:val="single" w:sz="2" w:space="0" w:color="auto"/>
              <w:bottom w:val="single" w:sz="2" w:space="0" w:color="auto"/>
              <w:right w:val="single" w:sz="2" w:space="0" w:color="auto"/>
            </w:tcBorders>
            <w:vAlign w:val="center"/>
          </w:tcPr>
          <w:p w14:paraId="4675DD2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542,201.79</w:t>
            </w:r>
          </w:p>
        </w:tc>
        <w:tc>
          <w:tcPr>
            <w:tcW w:w="1607" w:type="dxa"/>
            <w:tcBorders>
              <w:top w:val="single" w:sz="2" w:space="0" w:color="auto"/>
              <w:left w:val="single" w:sz="2" w:space="0" w:color="auto"/>
              <w:bottom w:val="single" w:sz="2" w:space="0" w:color="auto"/>
              <w:right w:val="single" w:sz="2" w:space="0" w:color="auto"/>
            </w:tcBorders>
            <w:vAlign w:val="center"/>
          </w:tcPr>
          <w:p w14:paraId="32B1C21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686EAFA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6,028,134.56</w:t>
            </w:r>
          </w:p>
        </w:tc>
      </w:tr>
      <w:tr w:rsidR="006C011D" w:rsidRPr="005A284F" w14:paraId="241E0B6B" w14:textId="77777777" w:rsidTr="00E94D55">
        <w:trPr>
          <w:trHeight w:val="240"/>
        </w:trPr>
        <w:tc>
          <w:tcPr>
            <w:tcW w:w="1843" w:type="dxa"/>
            <w:tcBorders>
              <w:top w:val="single" w:sz="2" w:space="0" w:color="auto"/>
              <w:left w:val="single" w:sz="2" w:space="0" w:color="auto"/>
              <w:bottom w:val="single" w:sz="2" w:space="0" w:color="auto"/>
              <w:right w:val="single" w:sz="2" w:space="0" w:color="auto"/>
            </w:tcBorders>
            <w:vAlign w:val="center"/>
          </w:tcPr>
          <w:p w14:paraId="0FD8988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研发中心装修设计</w:t>
            </w:r>
          </w:p>
        </w:tc>
        <w:tc>
          <w:tcPr>
            <w:tcW w:w="1369" w:type="dxa"/>
            <w:tcBorders>
              <w:top w:val="single" w:sz="2" w:space="0" w:color="auto"/>
              <w:left w:val="single" w:sz="2" w:space="0" w:color="auto"/>
              <w:bottom w:val="single" w:sz="2" w:space="0" w:color="auto"/>
              <w:right w:val="single" w:sz="2" w:space="0" w:color="auto"/>
            </w:tcBorders>
            <w:vAlign w:val="center"/>
          </w:tcPr>
          <w:p w14:paraId="0360A8E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2,408,519.55</w:t>
            </w:r>
          </w:p>
        </w:tc>
        <w:tc>
          <w:tcPr>
            <w:tcW w:w="1606" w:type="dxa"/>
            <w:tcBorders>
              <w:top w:val="single" w:sz="2" w:space="0" w:color="auto"/>
              <w:left w:val="single" w:sz="2" w:space="0" w:color="auto"/>
              <w:bottom w:val="single" w:sz="2" w:space="0" w:color="auto"/>
              <w:right w:val="single" w:sz="2" w:space="0" w:color="auto"/>
            </w:tcBorders>
            <w:vAlign w:val="center"/>
          </w:tcPr>
          <w:p w14:paraId="2E3C2CF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5595B60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573,442.26</w:t>
            </w:r>
          </w:p>
        </w:tc>
        <w:tc>
          <w:tcPr>
            <w:tcW w:w="1607" w:type="dxa"/>
            <w:tcBorders>
              <w:top w:val="single" w:sz="2" w:space="0" w:color="auto"/>
              <w:left w:val="single" w:sz="2" w:space="0" w:color="auto"/>
              <w:bottom w:val="single" w:sz="2" w:space="0" w:color="auto"/>
              <w:right w:val="single" w:sz="2" w:space="0" w:color="auto"/>
            </w:tcBorders>
            <w:vAlign w:val="center"/>
          </w:tcPr>
          <w:p w14:paraId="6B76050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29AB1A5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1,835,077.29</w:t>
            </w:r>
          </w:p>
        </w:tc>
      </w:tr>
      <w:tr w:rsidR="006C011D" w:rsidRPr="005A284F" w14:paraId="774BFDBA" w14:textId="77777777" w:rsidTr="00E94D55">
        <w:trPr>
          <w:trHeight w:val="240"/>
        </w:trPr>
        <w:tc>
          <w:tcPr>
            <w:tcW w:w="1843" w:type="dxa"/>
            <w:tcBorders>
              <w:top w:val="single" w:sz="2" w:space="0" w:color="auto"/>
              <w:left w:val="single" w:sz="2" w:space="0" w:color="auto"/>
              <w:bottom w:val="single" w:sz="2" w:space="0" w:color="auto"/>
              <w:right w:val="single" w:sz="2" w:space="0" w:color="auto"/>
            </w:tcBorders>
            <w:vAlign w:val="center"/>
          </w:tcPr>
          <w:p w14:paraId="2FA8C7D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放养管理中心装修费</w:t>
            </w:r>
          </w:p>
        </w:tc>
        <w:tc>
          <w:tcPr>
            <w:tcW w:w="1369" w:type="dxa"/>
            <w:tcBorders>
              <w:top w:val="single" w:sz="2" w:space="0" w:color="auto"/>
              <w:left w:val="single" w:sz="2" w:space="0" w:color="auto"/>
              <w:bottom w:val="single" w:sz="2" w:space="0" w:color="auto"/>
              <w:right w:val="single" w:sz="2" w:space="0" w:color="auto"/>
            </w:tcBorders>
            <w:vAlign w:val="center"/>
          </w:tcPr>
          <w:p w14:paraId="7908216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1,678,022.29</w:t>
            </w:r>
          </w:p>
        </w:tc>
        <w:tc>
          <w:tcPr>
            <w:tcW w:w="1606" w:type="dxa"/>
            <w:tcBorders>
              <w:top w:val="single" w:sz="2" w:space="0" w:color="auto"/>
              <w:left w:val="single" w:sz="2" w:space="0" w:color="auto"/>
              <w:bottom w:val="single" w:sz="2" w:space="0" w:color="auto"/>
              <w:right w:val="single" w:sz="2" w:space="0" w:color="auto"/>
            </w:tcBorders>
            <w:vAlign w:val="center"/>
          </w:tcPr>
          <w:p w14:paraId="47F66E7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53F9BE3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139,835.19</w:t>
            </w:r>
          </w:p>
        </w:tc>
        <w:tc>
          <w:tcPr>
            <w:tcW w:w="1607" w:type="dxa"/>
            <w:tcBorders>
              <w:top w:val="single" w:sz="2" w:space="0" w:color="auto"/>
              <w:left w:val="single" w:sz="2" w:space="0" w:color="auto"/>
              <w:bottom w:val="single" w:sz="2" w:space="0" w:color="auto"/>
              <w:right w:val="single" w:sz="2" w:space="0" w:color="auto"/>
            </w:tcBorders>
            <w:vAlign w:val="center"/>
          </w:tcPr>
          <w:p w14:paraId="2F028FF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105A67C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1,538,187.10</w:t>
            </w:r>
          </w:p>
        </w:tc>
      </w:tr>
      <w:tr w:rsidR="006C011D" w:rsidRPr="005A284F" w14:paraId="03F5D72C" w14:textId="77777777" w:rsidTr="00E94D55">
        <w:trPr>
          <w:trHeight w:val="240"/>
        </w:trPr>
        <w:tc>
          <w:tcPr>
            <w:tcW w:w="1843" w:type="dxa"/>
            <w:tcBorders>
              <w:top w:val="single" w:sz="2" w:space="0" w:color="auto"/>
              <w:left w:val="single" w:sz="2" w:space="0" w:color="auto"/>
              <w:bottom w:val="single" w:sz="2" w:space="0" w:color="auto"/>
              <w:right w:val="single" w:sz="2" w:space="0" w:color="auto"/>
            </w:tcBorders>
            <w:vAlign w:val="center"/>
          </w:tcPr>
          <w:p w14:paraId="3951D0D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海阳服务部改造工程</w:t>
            </w:r>
          </w:p>
        </w:tc>
        <w:tc>
          <w:tcPr>
            <w:tcW w:w="1369" w:type="dxa"/>
            <w:tcBorders>
              <w:top w:val="single" w:sz="2" w:space="0" w:color="auto"/>
              <w:left w:val="single" w:sz="2" w:space="0" w:color="auto"/>
              <w:bottom w:val="single" w:sz="2" w:space="0" w:color="auto"/>
              <w:right w:val="single" w:sz="2" w:space="0" w:color="auto"/>
            </w:tcBorders>
            <w:vAlign w:val="center"/>
          </w:tcPr>
          <w:p w14:paraId="12C697B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57,333.30</w:t>
            </w:r>
          </w:p>
        </w:tc>
        <w:tc>
          <w:tcPr>
            <w:tcW w:w="1606" w:type="dxa"/>
            <w:tcBorders>
              <w:top w:val="single" w:sz="2" w:space="0" w:color="auto"/>
              <w:left w:val="single" w:sz="2" w:space="0" w:color="auto"/>
              <w:bottom w:val="single" w:sz="2" w:space="0" w:color="auto"/>
              <w:right w:val="single" w:sz="2" w:space="0" w:color="auto"/>
            </w:tcBorders>
            <w:vAlign w:val="center"/>
          </w:tcPr>
          <w:p w14:paraId="67B6EA6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6F4B174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9,828.60</w:t>
            </w:r>
          </w:p>
        </w:tc>
        <w:tc>
          <w:tcPr>
            <w:tcW w:w="1607" w:type="dxa"/>
            <w:tcBorders>
              <w:top w:val="single" w:sz="2" w:space="0" w:color="auto"/>
              <w:left w:val="single" w:sz="2" w:space="0" w:color="auto"/>
              <w:bottom w:val="single" w:sz="2" w:space="0" w:color="auto"/>
              <w:right w:val="single" w:sz="2" w:space="0" w:color="auto"/>
            </w:tcBorders>
            <w:vAlign w:val="center"/>
          </w:tcPr>
          <w:p w14:paraId="2EC80E6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4BDD4D9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47,504.70</w:t>
            </w:r>
          </w:p>
        </w:tc>
      </w:tr>
      <w:tr w:rsidR="006C011D" w:rsidRPr="005A284F" w14:paraId="12F46485" w14:textId="77777777" w:rsidTr="00E94D55">
        <w:trPr>
          <w:trHeight w:val="240"/>
        </w:trPr>
        <w:tc>
          <w:tcPr>
            <w:tcW w:w="1843" w:type="dxa"/>
            <w:tcBorders>
              <w:top w:val="single" w:sz="2" w:space="0" w:color="auto"/>
              <w:left w:val="single" w:sz="2" w:space="0" w:color="auto"/>
              <w:bottom w:val="single" w:sz="2" w:space="0" w:color="auto"/>
              <w:right w:val="single" w:sz="2" w:space="0" w:color="auto"/>
            </w:tcBorders>
            <w:vAlign w:val="center"/>
          </w:tcPr>
          <w:p w14:paraId="094C738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龙口服务部改造工程</w:t>
            </w:r>
          </w:p>
        </w:tc>
        <w:tc>
          <w:tcPr>
            <w:tcW w:w="1369" w:type="dxa"/>
            <w:tcBorders>
              <w:top w:val="single" w:sz="2" w:space="0" w:color="auto"/>
              <w:left w:val="single" w:sz="2" w:space="0" w:color="auto"/>
              <w:bottom w:val="single" w:sz="2" w:space="0" w:color="auto"/>
              <w:right w:val="single" w:sz="2" w:space="0" w:color="auto"/>
            </w:tcBorders>
            <w:vAlign w:val="center"/>
          </w:tcPr>
          <w:p w14:paraId="54F7B80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118,926.24</w:t>
            </w:r>
          </w:p>
        </w:tc>
        <w:tc>
          <w:tcPr>
            <w:tcW w:w="1606" w:type="dxa"/>
            <w:tcBorders>
              <w:top w:val="single" w:sz="2" w:space="0" w:color="auto"/>
              <w:left w:val="single" w:sz="2" w:space="0" w:color="auto"/>
              <w:bottom w:val="single" w:sz="2" w:space="0" w:color="auto"/>
              <w:right w:val="single" w:sz="2" w:space="0" w:color="auto"/>
            </w:tcBorders>
            <w:vAlign w:val="center"/>
          </w:tcPr>
          <w:p w14:paraId="3E5C168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6DD7EF2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24,605.46</w:t>
            </w:r>
          </w:p>
        </w:tc>
        <w:tc>
          <w:tcPr>
            <w:tcW w:w="1607" w:type="dxa"/>
            <w:tcBorders>
              <w:top w:val="single" w:sz="2" w:space="0" w:color="auto"/>
              <w:left w:val="single" w:sz="2" w:space="0" w:color="auto"/>
              <w:bottom w:val="single" w:sz="2" w:space="0" w:color="auto"/>
              <w:right w:val="single" w:sz="2" w:space="0" w:color="auto"/>
            </w:tcBorders>
            <w:vAlign w:val="center"/>
          </w:tcPr>
          <w:p w14:paraId="0FFFD13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640AF20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94,320.78</w:t>
            </w:r>
          </w:p>
        </w:tc>
      </w:tr>
      <w:tr w:rsidR="006C011D" w:rsidRPr="005A284F" w14:paraId="3604BCA2" w14:textId="77777777" w:rsidTr="00E94D55">
        <w:trPr>
          <w:trHeight w:val="240"/>
        </w:trPr>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44C0F199"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1369" w:type="dxa"/>
            <w:tcBorders>
              <w:top w:val="single" w:sz="2" w:space="0" w:color="auto"/>
              <w:left w:val="single" w:sz="2" w:space="0" w:color="auto"/>
              <w:bottom w:val="single" w:sz="2" w:space="0" w:color="auto"/>
              <w:right w:val="single" w:sz="2" w:space="0" w:color="auto"/>
            </w:tcBorders>
            <w:vAlign w:val="center"/>
          </w:tcPr>
          <w:p w14:paraId="390145A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5,666,165.25</w:t>
            </w:r>
          </w:p>
        </w:tc>
        <w:tc>
          <w:tcPr>
            <w:tcW w:w="1606" w:type="dxa"/>
            <w:tcBorders>
              <w:top w:val="single" w:sz="2" w:space="0" w:color="auto"/>
              <w:left w:val="single" w:sz="2" w:space="0" w:color="auto"/>
              <w:bottom w:val="single" w:sz="2" w:space="0" w:color="auto"/>
              <w:right w:val="single" w:sz="2" w:space="0" w:color="auto"/>
            </w:tcBorders>
            <w:vAlign w:val="center"/>
          </w:tcPr>
          <w:p w14:paraId="00DA3E6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5,166,972.48</w:t>
            </w:r>
          </w:p>
        </w:tc>
        <w:tc>
          <w:tcPr>
            <w:tcW w:w="1607" w:type="dxa"/>
            <w:tcBorders>
              <w:top w:val="single" w:sz="2" w:space="0" w:color="auto"/>
              <w:left w:val="single" w:sz="2" w:space="0" w:color="auto"/>
              <w:bottom w:val="single" w:sz="2" w:space="0" w:color="auto"/>
              <w:right w:val="single" w:sz="2" w:space="0" w:color="auto"/>
            </w:tcBorders>
            <w:vAlign w:val="center"/>
          </w:tcPr>
          <w:p w14:paraId="4F98153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1,289,913.30</w:t>
            </w:r>
          </w:p>
        </w:tc>
        <w:tc>
          <w:tcPr>
            <w:tcW w:w="1607" w:type="dxa"/>
            <w:tcBorders>
              <w:top w:val="single" w:sz="2" w:space="0" w:color="auto"/>
              <w:left w:val="single" w:sz="2" w:space="0" w:color="auto"/>
              <w:bottom w:val="single" w:sz="2" w:space="0" w:color="auto"/>
              <w:right w:val="single" w:sz="2" w:space="0" w:color="auto"/>
            </w:tcBorders>
            <w:vAlign w:val="center"/>
          </w:tcPr>
          <w:p w14:paraId="187289C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7D1BFEA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9,543,224.43</w:t>
            </w:r>
          </w:p>
        </w:tc>
      </w:tr>
    </w:tbl>
    <w:p w14:paraId="6EC571C8"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w:t>
      </w:r>
    </w:p>
    <w:p w14:paraId="27AB0B2E" w14:textId="77777777" w:rsidR="000309B5" w:rsidRPr="005A284F" w:rsidRDefault="00000000">
      <w:pPr>
        <w:pStyle w:val="a3"/>
        <w:divId w:val="2034762093"/>
        <w:rPr>
          <w:rFonts w:ascii="Times New Roman" w:hAnsi="Times New Roman" w:cs="Times New Roman"/>
          <w:sz w:val="18"/>
          <w:szCs w:val="18"/>
        </w:rPr>
      </w:pPr>
      <w:r w:rsidRPr="005A284F">
        <w:rPr>
          <w:rFonts w:ascii="Times New Roman" w:hAnsi="Times New Roman" w:cs="Times New Roman"/>
          <w:sz w:val="18"/>
          <w:szCs w:val="18"/>
        </w:rPr>
        <w:t>无</w:t>
      </w:r>
    </w:p>
    <w:p w14:paraId="67D8B18F" w14:textId="77777777" w:rsidR="006C011D" w:rsidRPr="005A284F" w:rsidRDefault="00000000">
      <w:pPr>
        <w:pStyle w:val="3"/>
        <w:spacing w:line="280" w:lineRule="exact"/>
        <w:jc w:val="left"/>
        <w:rPr>
          <w:rFonts w:ascii="Times New Roman" w:hAnsi="Times New Roman" w:cs="Times New Roman"/>
          <w:b/>
          <w:bCs/>
        </w:rPr>
      </w:pPr>
      <w:bookmarkStart w:id="260" w:name="_Toc989188"/>
      <w:r w:rsidRPr="005A284F">
        <w:rPr>
          <w:rFonts w:ascii="Times New Roman" w:hAnsi="Times New Roman" w:cs="Times New Roman"/>
          <w:b/>
          <w:bCs/>
        </w:rPr>
        <w:t>29</w:t>
      </w:r>
      <w:r w:rsidRPr="005A284F">
        <w:rPr>
          <w:rFonts w:ascii="Times New Roman" w:hAnsi="Times New Roman" w:cs="Times New Roman"/>
          <w:b/>
          <w:bCs/>
        </w:rPr>
        <w:t>、递延所得税资产</w:t>
      </w:r>
      <w:r w:rsidRPr="005A284F">
        <w:rPr>
          <w:rFonts w:ascii="Times New Roman" w:hAnsi="Times New Roman" w:cs="Times New Roman"/>
          <w:b/>
          <w:bCs/>
        </w:rPr>
        <w:t>/</w:t>
      </w:r>
      <w:r w:rsidRPr="005A284F">
        <w:rPr>
          <w:rFonts w:ascii="Times New Roman" w:hAnsi="Times New Roman" w:cs="Times New Roman"/>
          <w:b/>
          <w:bCs/>
        </w:rPr>
        <w:t>递延所得税负债</w:t>
      </w:r>
      <w:bookmarkEnd w:id="260"/>
    </w:p>
    <w:p w14:paraId="7F20B095" w14:textId="129276AC"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61" w:name="_Toc989189"/>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1</w:t>
      </w:r>
      <w:r w:rsidRPr="005A284F">
        <w:rPr>
          <w:rFonts w:ascii="Times New Roman" w:eastAsia="宋体" w:hAnsi="Times New Roman" w:cs="Times New Roman"/>
          <w:b/>
          <w:bCs/>
          <w:sz w:val="21"/>
          <w:szCs w:val="21"/>
        </w:rPr>
        <w:t>）未经抵销的递延所得税资产</w:t>
      </w:r>
      <w:bookmarkEnd w:id="261"/>
    </w:p>
    <w:p w14:paraId="24234B14"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C011D" w:rsidRPr="005A284F" w14:paraId="56955281" w14:textId="7777777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903F6F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8270EA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D69956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r>
      <w:tr w:rsidR="006C011D" w:rsidRPr="005A284F" w14:paraId="7B249D8A" w14:textId="7777777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98B00CC" w14:textId="77777777" w:rsidR="006C011D" w:rsidRPr="005A284F" w:rsidRDefault="006C011D">
            <w:pPr>
              <w:rPr>
                <w:rFonts w:ascii="Times New Roman" w:eastAsia="宋体" w:hAnsi="Times New Roman" w:cs="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4AA551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可抵扣暂时性差异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58F626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递延所得税资产</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8BE8D0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可抵扣暂时性差异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134A18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递延所得税资产</w:t>
            </w:r>
          </w:p>
        </w:tc>
      </w:tr>
      <w:tr w:rsidR="006C011D" w:rsidRPr="005A284F" w14:paraId="4ABD0700"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6BCA281"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资产减值准备</w:t>
            </w:r>
          </w:p>
        </w:tc>
        <w:tc>
          <w:tcPr>
            <w:tcW w:w="1928" w:type="dxa"/>
            <w:tcBorders>
              <w:top w:val="single" w:sz="2" w:space="0" w:color="auto"/>
              <w:left w:val="single" w:sz="2" w:space="0" w:color="auto"/>
              <w:bottom w:val="single" w:sz="2" w:space="0" w:color="auto"/>
              <w:right w:val="single" w:sz="2" w:space="0" w:color="auto"/>
            </w:tcBorders>
            <w:vAlign w:val="center"/>
          </w:tcPr>
          <w:p w14:paraId="4DB313F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203,330.14</w:t>
            </w:r>
          </w:p>
        </w:tc>
        <w:tc>
          <w:tcPr>
            <w:tcW w:w="1928" w:type="dxa"/>
            <w:tcBorders>
              <w:top w:val="single" w:sz="2" w:space="0" w:color="auto"/>
              <w:left w:val="single" w:sz="2" w:space="0" w:color="auto"/>
              <w:bottom w:val="single" w:sz="2" w:space="0" w:color="auto"/>
              <w:right w:val="single" w:sz="2" w:space="0" w:color="auto"/>
            </w:tcBorders>
            <w:vAlign w:val="center"/>
          </w:tcPr>
          <w:p w14:paraId="6A10DFA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45,668.84</w:t>
            </w:r>
          </w:p>
        </w:tc>
        <w:tc>
          <w:tcPr>
            <w:tcW w:w="1928" w:type="dxa"/>
            <w:tcBorders>
              <w:top w:val="single" w:sz="2" w:space="0" w:color="auto"/>
              <w:left w:val="single" w:sz="2" w:space="0" w:color="auto"/>
              <w:bottom w:val="single" w:sz="2" w:space="0" w:color="auto"/>
              <w:right w:val="single" w:sz="2" w:space="0" w:color="auto"/>
            </w:tcBorders>
            <w:vAlign w:val="center"/>
          </w:tcPr>
          <w:p w14:paraId="246151C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265,556.41</w:t>
            </w:r>
          </w:p>
        </w:tc>
        <w:tc>
          <w:tcPr>
            <w:tcW w:w="1928" w:type="dxa"/>
            <w:tcBorders>
              <w:top w:val="single" w:sz="2" w:space="0" w:color="auto"/>
              <w:left w:val="single" w:sz="2" w:space="0" w:color="auto"/>
              <w:bottom w:val="single" w:sz="2" w:space="0" w:color="auto"/>
              <w:right w:val="single" w:sz="2" w:space="0" w:color="auto"/>
            </w:tcBorders>
            <w:vAlign w:val="center"/>
          </w:tcPr>
          <w:p w14:paraId="448C058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61,378.92</w:t>
            </w:r>
          </w:p>
        </w:tc>
      </w:tr>
      <w:tr w:rsidR="006C011D" w:rsidRPr="005A284F" w14:paraId="7B4ADF95"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0C2679C"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可抵扣亏损</w:t>
            </w:r>
          </w:p>
        </w:tc>
        <w:tc>
          <w:tcPr>
            <w:tcW w:w="1928" w:type="dxa"/>
            <w:tcBorders>
              <w:top w:val="single" w:sz="2" w:space="0" w:color="auto"/>
              <w:left w:val="single" w:sz="2" w:space="0" w:color="auto"/>
              <w:bottom w:val="single" w:sz="2" w:space="0" w:color="auto"/>
              <w:right w:val="single" w:sz="2" w:space="0" w:color="auto"/>
            </w:tcBorders>
            <w:vAlign w:val="center"/>
          </w:tcPr>
          <w:p w14:paraId="4D0DB8F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113,710,165.68</w:t>
            </w:r>
          </w:p>
        </w:tc>
        <w:tc>
          <w:tcPr>
            <w:tcW w:w="1928" w:type="dxa"/>
            <w:tcBorders>
              <w:top w:val="single" w:sz="2" w:space="0" w:color="auto"/>
              <w:left w:val="single" w:sz="2" w:space="0" w:color="auto"/>
              <w:bottom w:val="single" w:sz="2" w:space="0" w:color="auto"/>
              <w:right w:val="single" w:sz="2" w:space="0" w:color="auto"/>
            </w:tcBorders>
            <w:vAlign w:val="center"/>
          </w:tcPr>
          <w:p w14:paraId="227EC2A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28,427,541.42</w:t>
            </w:r>
          </w:p>
        </w:tc>
        <w:tc>
          <w:tcPr>
            <w:tcW w:w="1928" w:type="dxa"/>
            <w:tcBorders>
              <w:top w:val="single" w:sz="2" w:space="0" w:color="auto"/>
              <w:left w:val="single" w:sz="2" w:space="0" w:color="auto"/>
              <w:bottom w:val="single" w:sz="2" w:space="0" w:color="auto"/>
              <w:right w:val="single" w:sz="2" w:space="0" w:color="auto"/>
            </w:tcBorders>
            <w:vAlign w:val="center"/>
          </w:tcPr>
          <w:p w14:paraId="73FDC34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118,372,781.12</w:t>
            </w:r>
          </w:p>
        </w:tc>
        <w:tc>
          <w:tcPr>
            <w:tcW w:w="1928" w:type="dxa"/>
            <w:tcBorders>
              <w:top w:val="single" w:sz="2" w:space="0" w:color="auto"/>
              <w:left w:val="single" w:sz="2" w:space="0" w:color="auto"/>
              <w:bottom w:val="single" w:sz="2" w:space="0" w:color="auto"/>
              <w:right w:val="single" w:sz="2" w:space="0" w:color="auto"/>
            </w:tcBorders>
            <w:vAlign w:val="center"/>
          </w:tcPr>
          <w:p w14:paraId="693A43E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29,593,195.28</w:t>
            </w:r>
          </w:p>
        </w:tc>
      </w:tr>
      <w:tr w:rsidR="006C011D" w:rsidRPr="005A284F" w14:paraId="71F89755"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027056F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租赁负债影响数</w:t>
            </w:r>
          </w:p>
        </w:tc>
        <w:tc>
          <w:tcPr>
            <w:tcW w:w="1928" w:type="dxa"/>
            <w:tcBorders>
              <w:top w:val="single" w:sz="2" w:space="0" w:color="auto"/>
              <w:left w:val="single" w:sz="2" w:space="0" w:color="auto"/>
              <w:bottom w:val="single" w:sz="2" w:space="0" w:color="auto"/>
              <w:right w:val="single" w:sz="2" w:space="0" w:color="auto"/>
            </w:tcBorders>
            <w:vAlign w:val="center"/>
          </w:tcPr>
          <w:p w14:paraId="2AC4CA5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3,610,089.03</w:t>
            </w:r>
          </w:p>
        </w:tc>
        <w:tc>
          <w:tcPr>
            <w:tcW w:w="1928" w:type="dxa"/>
            <w:tcBorders>
              <w:top w:val="single" w:sz="2" w:space="0" w:color="auto"/>
              <w:left w:val="single" w:sz="2" w:space="0" w:color="auto"/>
              <w:bottom w:val="single" w:sz="2" w:space="0" w:color="auto"/>
              <w:right w:val="single" w:sz="2" w:space="0" w:color="auto"/>
            </w:tcBorders>
            <w:vAlign w:val="center"/>
          </w:tcPr>
          <w:p w14:paraId="5A938DE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129,903.54</w:t>
            </w:r>
          </w:p>
        </w:tc>
        <w:tc>
          <w:tcPr>
            <w:tcW w:w="1928" w:type="dxa"/>
            <w:tcBorders>
              <w:top w:val="single" w:sz="2" w:space="0" w:color="auto"/>
              <w:left w:val="single" w:sz="2" w:space="0" w:color="auto"/>
              <w:bottom w:val="single" w:sz="2" w:space="0" w:color="auto"/>
              <w:right w:val="single" w:sz="2" w:space="0" w:color="auto"/>
            </w:tcBorders>
            <w:vAlign w:val="center"/>
          </w:tcPr>
          <w:p w14:paraId="69B7B20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2,093,066.66</w:t>
            </w:r>
          </w:p>
        </w:tc>
        <w:tc>
          <w:tcPr>
            <w:tcW w:w="1928" w:type="dxa"/>
            <w:tcBorders>
              <w:top w:val="single" w:sz="2" w:space="0" w:color="auto"/>
              <w:left w:val="single" w:sz="2" w:space="0" w:color="auto"/>
              <w:bottom w:val="single" w:sz="2" w:space="0" w:color="auto"/>
              <w:right w:val="single" w:sz="2" w:space="0" w:color="auto"/>
            </w:tcBorders>
            <w:vAlign w:val="center"/>
          </w:tcPr>
          <w:p w14:paraId="4735B1F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143,297.68</w:t>
            </w:r>
          </w:p>
        </w:tc>
      </w:tr>
      <w:tr w:rsidR="006C011D" w:rsidRPr="005A284F" w14:paraId="7DF2B85C"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8D292D6"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合计</w:t>
            </w:r>
          </w:p>
        </w:tc>
        <w:tc>
          <w:tcPr>
            <w:tcW w:w="1928" w:type="dxa"/>
            <w:tcBorders>
              <w:top w:val="single" w:sz="2" w:space="0" w:color="auto"/>
              <w:left w:val="single" w:sz="2" w:space="0" w:color="auto"/>
              <w:bottom w:val="single" w:sz="2" w:space="0" w:color="auto"/>
              <w:right w:val="single" w:sz="2" w:space="0" w:color="auto"/>
            </w:tcBorders>
            <w:vAlign w:val="center"/>
          </w:tcPr>
          <w:p w14:paraId="7157F86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117,523,584.85</w:t>
            </w:r>
          </w:p>
        </w:tc>
        <w:tc>
          <w:tcPr>
            <w:tcW w:w="1928" w:type="dxa"/>
            <w:tcBorders>
              <w:top w:val="single" w:sz="2" w:space="0" w:color="auto"/>
              <w:left w:val="single" w:sz="2" w:space="0" w:color="auto"/>
              <w:bottom w:val="single" w:sz="2" w:space="0" w:color="auto"/>
              <w:right w:val="single" w:sz="2" w:space="0" w:color="auto"/>
            </w:tcBorders>
            <w:vAlign w:val="center"/>
          </w:tcPr>
          <w:p w14:paraId="56E261E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28,603,113.80</w:t>
            </w:r>
          </w:p>
        </w:tc>
        <w:tc>
          <w:tcPr>
            <w:tcW w:w="1928" w:type="dxa"/>
            <w:tcBorders>
              <w:top w:val="single" w:sz="2" w:space="0" w:color="auto"/>
              <w:left w:val="single" w:sz="2" w:space="0" w:color="auto"/>
              <w:bottom w:val="single" w:sz="2" w:space="0" w:color="auto"/>
              <w:right w:val="single" w:sz="2" w:space="0" w:color="auto"/>
            </w:tcBorders>
            <w:vAlign w:val="center"/>
          </w:tcPr>
          <w:p w14:paraId="45D217B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120,731,404.19</w:t>
            </w:r>
          </w:p>
        </w:tc>
        <w:tc>
          <w:tcPr>
            <w:tcW w:w="1928" w:type="dxa"/>
            <w:tcBorders>
              <w:top w:val="single" w:sz="2" w:space="0" w:color="auto"/>
              <w:left w:val="single" w:sz="2" w:space="0" w:color="auto"/>
              <w:bottom w:val="single" w:sz="2" w:space="0" w:color="auto"/>
              <w:right w:val="single" w:sz="2" w:space="0" w:color="auto"/>
            </w:tcBorders>
            <w:vAlign w:val="center"/>
          </w:tcPr>
          <w:p w14:paraId="27E4573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29,797,871.88</w:t>
            </w:r>
          </w:p>
        </w:tc>
      </w:tr>
    </w:tbl>
    <w:p w14:paraId="6397AA64" w14:textId="4765C93D"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62" w:name="_Toc989190"/>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2</w:t>
      </w:r>
      <w:r w:rsidRPr="005A284F">
        <w:rPr>
          <w:rFonts w:ascii="Times New Roman" w:eastAsia="宋体" w:hAnsi="Times New Roman" w:cs="Times New Roman"/>
          <w:b/>
          <w:bCs/>
          <w:sz w:val="21"/>
          <w:szCs w:val="21"/>
        </w:rPr>
        <w:t>）未经抵销的递延所得税负债</w:t>
      </w:r>
      <w:bookmarkEnd w:id="262"/>
    </w:p>
    <w:p w14:paraId="4C7099AA"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C011D" w:rsidRPr="005A284F" w14:paraId="7CEAAA2E" w14:textId="7777777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6C3F8B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7290B7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CA9107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r>
      <w:tr w:rsidR="006C011D" w:rsidRPr="005A284F" w14:paraId="0CD493E0" w14:textId="7777777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18FA304" w14:textId="77777777" w:rsidR="006C011D" w:rsidRPr="005A284F" w:rsidRDefault="006C011D">
            <w:pPr>
              <w:rPr>
                <w:rFonts w:ascii="Times New Roman" w:eastAsia="宋体" w:hAnsi="Times New Roman" w:cs="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E6DB77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应纳税暂时性差异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224BA2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递延所得税负债</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6066D8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应纳税暂时性差异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FA44AC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递延所得税负债</w:t>
            </w:r>
          </w:p>
        </w:tc>
      </w:tr>
      <w:tr w:rsidR="006C011D" w:rsidRPr="005A284F" w14:paraId="557EC896"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5239B00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固定资产一次性税前扣除税会差异</w:t>
            </w:r>
          </w:p>
        </w:tc>
        <w:tc>
          <w:tcPr>
            <w:tcW w:w="1928" w:type="dxa"/>
            <w:tcBorders>
              <w:top w:val="single" w:sz="2" w:space="0" w:color="auto"/>
              <w:left w:val="single" w:sz="2" w:space="0" w:color="auto"/>
              <w:bottom w:val="single" w:sz="2" w:space="0" w:color="auto"/>
              <w:right w:val="single" w:sz="2" w:space="0" w:color="auto"/>
            </w:tcBorders>
            <w:vAlign w:val="center"/>
          </w:tcPr>
          <w:p w14:paraId="0A2394A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79,184,845.87</w:t>
            </w:r>
          </w:p>
        </w:tc>
        <w:tc>
          <w:tcPr>
            <w:tcW w:w="1928" w:type="dxa"/>
            <w:tcBorders>
              <w:top w:val="single" w:sz="2" w:space="0" w:color="auto"/>
              <w:left w:val="single" w:sz="2" w:space="0" w:color="auto"/>
              <w:bottom w:val="single" w:sz="2" w:space="0" w:color="auto"/>
              <w:right w:val="single" w:sz="2" w:space="0" w:color="auto"/>
            </w:tcBorders>
            <w:vAlign w:val="center"/>
          </w:tcPr>
          <w:p w14:paraId="120996E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18,681,217.79</w:t>
            </w:r>
          </w:p>
        </w:tc>
        <w:tc>
          <w:tcPr>
            <w:tcW w:w="1928" w:type="dxa"/>
            <w:tcBorders>
              <w:top w:val="single" w:sz="2" w:space="0" w:color="auto"/>
              <w:left w:val="single" w:sz="2" w:space="0" w:color="auto"/>
              <w:bottom w:val="single" w:sz="2" w:space="0" w:color="auto"/>
              <w:right w:val="single" w:sz="2" w:space="0" w:color="auto"/>
            </w:tcBorders>
            <w:vAlign w:val="center"/>
          </w:tcPr>
          <w:p w14:paraId="14EF723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79,184,845.87</w:t>
            </w:r>
          </w:p>
        </w:tc>
        <w:tc>
          <w:tcPr>
            <w:tcW w:w="1928" w:type="dxa"/>
            <w:tcBorders>
              <w:top w:val="single" w:sz="2" w:space="0" w:color="auto"/>
              <w:left w:val="single" w:sz="2" w:space="0" w:color="auto"/>
              <w:bottom w:val="single" w:sz="2" w:space="0" w:color="auto"/>
              <w:right w:val="single" w:sz="2" w:space="0" w:color="auto"/>
            </w:tcBorders>
            <w:vAlign w:val="center"/>
          </w:tcPr>
          <w:p w14:paraId="40FD6E5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18,681,217.79</w:t>
            </w:r>
          </w:p>
        </w:tc>
      </w:tr>
      <w:tr w:rsidR="006C011D" w:rsidRPr="005A284F" w14:paraId="38E001A0"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7BE1F92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使用权资产影响数</w:t>
            </w:r>
          </w:p>
        </w:tc>
        <w:tc>
          <w:tcPr>
            <w:tcW w:w="1928" w:type="dxa"/>
            <w:tcBorders>
              <w:top w:val="single" w:sz="2" w:space="0" w:color="auto"/>
              <w:left w:val="single" w:sz="2" w:space="0" w:color="auto"/>
              <w:bottom w:val="single" w:sz="2" w:space="0" w:color="auto"/>
              <w:right w:val="single" w:sz="2" w:space="0" w:color="auto"/>
            </w:tcBorders>
            <w:vAlign w:val="center"/>
          </w:tcPr>
          <w:p w14:paraId="27215FF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3,282,604.16</w:t>
            </w:r>
          </w:p>
        </w:tc>
        <w:tc>
          <w:tcPr>
            <w:tcW w:w="1928" w:type="dxa"/>
            <w:tcBorders>
              <w:top w:val="single" w:sz="2" w:space="0" w:color="auto"/>
              <w:left w:val="single" w:sz="2" w:space="0" w:color="auto"/>
              <w:bottom w:val="single" w:sz="2" w:space="0" w:color="auto"/>
              <w:right w:val="single" w:sz="2" w:space="0" w:color="auto"/>
            </w:tcBorders>
            <w:vAlign w:val="center"/>
          </w:tcPr>
          <w:p w14:paraId="466C0D3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123,764.03</w:t>
            </w:r>
          </w:p>
        </w:tc>
        <w:tc>
          <w:tcPr>
            <w:tcW w:w="1928" w:type="dxa"/>
            <w:tcBorders>
              <w:top w:val="single" w:sz="2" w:space="0" w:color="auto"/>
              <w:left w:val="single" w:sz="2" w:space="0" w:color="auto"/>
              <w:bottom w:val="single" w:sz="2" w:space="0" w:color="auto"/>
              <w:right w:val="single" w:sz="2" w:space="0" w:color="auto"/>
            </w:tcBorders>
            <w:vAlign w:val="center"/>
          </w:tcPr>
          <w:p w14:paraId="3A4368B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1,849,741.97</w:t>
            </w:r>
          </w:p>
        </w:tc>
        <w:tc>
          <w:tcPr>
            <w:tcW w:w="1928" w:type="dxa"/>
            <w:tcBorders>
              <w:top w:val="single" w:sz="2" w:space="0" w:color="auto"/>
              <w:left w:val="single" w:sz="2" w:space="0" w:color="auto"/>
              <w:bottom w:val="single" w:sz="2" w:space="0" w:color="auto"/>
              <w:right w:val="single" w:sz="2" w:space="0" w:color="auto"/>
            </w:tcBorders>
            <w:vAlign w:val="center"/>
          </w:tcPr>
          <w:p w14:paraId="47162D9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172,257.70</w:t>
            </w:r>
          </w:p>
        </w:tc>
      </w:tr>
      <w:tr w:rsidR="006C011D" w:rsidRPr="005A284F" w14:paraId="21D97363"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4AB3610"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3745BC9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82,467,450.03</w:t>
            </w:r>
          </w:p>
        </w:tc>
        <w:tc>
          <w:tcPr>
            <w:tcW w:w="1928" w:type="dxa"/>
            <w:tcBorders>
              <w:top w:val="single" w:sz="2" w:space="0" w:color="auto"/>
              <w:left w:val="single" w:sz="2" w:space="0" w:color="auto"/>
              <w:bottom w:val="single" w:sz="2" w:space="0" w:color="auto"/>
              <w:right w:val="single" w:sz="2" w:space="0" w:color="auto"/>
            </w:tcBorders>
            <w:vAlign w:val="center"/>
          </w:tcPr>
          <w:p w14:paraId="09617A6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18,804,981.82</w:t>
            </w:r>
          </w:p>
        </w:tc>
        <w:tc>
          <w:tcPr>
            <w:tcW w:w="1928" w:type="dxa"/>
            <w:tcBorders>
              <w:top w:val="single" w:sz="2" w:space="0" w:color="auto"/>
              <w:left w:val="single" w:sz="2" w:space="0" w:color="auto"/>
              <w:bottom w:val="single" w:sz="2" w:space="0" w:color="auto"/>
              <w:right w:val="single" w:sz="2" w:space="0" w:color="auto"/>
            </w:tcBorders>
            <w:vAlign w:val="center"/>
          </w:tcPr>
          <w:p w14:paraId="7BA0763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81,034,587.84</w:t>
            </w:r>
          </w:p>
        </w:tc>
        <w:tc>
          <w:tcPr>
            <w:tcW w:w="1928" w:type="dxa"/>
            <w:tcBorders>
              <w:top w:val="single" w:sz="2" w:space="0" w:color="auto"/>
              <w:left w:val="single" w:sz="2" w:space="0" w:color="auto"/>
              <w:bottom w:val="single" w:sz="2" w:space="0" w:color="auto"/>
              <w:right w:val="single" w:sz="2" w:space="0" w:color="auto"/>
            </w:tcBorders>
            <w:vAlign w:val="center"/>
          </w:tcPr>
          <w:p w14:paraId="55E3DE7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18,853,475.49</w:t>
            </w:r>
          </w:p>
        </w:tc>
      </w:tr>
    </w:tbl>
    <w:p w14:paraId="2E2C6ABE" w14:textId="26E609AB"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63" w:name="_Toc989191"/>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3</w:t>
      </w:r>
      <w:r w:rsidRPr="005A284F">
        <w:rPr>
          <w:rFonts w:ascii="Times New Roman" w:eastAsia="宋体" w:hAnsi="Times New Roman" w:cs="Times New Roman"/>
          <w:b/>
          <w:bCs/>
          <w:sz w:val="21"/>
          <w:szCs w:val="21"/>
        </w:rPr>
        <w:t>）以抵销后净额列示的递延所得税资产或负债</w:t>
      </w:r>
      <w:bookmarkEnd w:id="263"/>
    </w:p>
    <w:p w14:paraId="7907C353"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C011D" w:rsidRPr="005A284F" w14:paraId="68F09177"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9DD523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AA80CF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递延所得税资产和负债期末互抵金额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C06BC7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抵销后递延所得税资产或负债期末余额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97925E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递延所得税资产和负债期初互抵金额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7B0E93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抵销后递延所得税资产或负债期初余额</w:t>
            </w:r>
          </w:p>
        </w:tc>
      </w:tr>
      <w:tr w:rsidR="006C011D" w:rsidRPr="005A284F" w14:paraId="21179F62"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00966EE"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递延所得税资产</w:t>
            </w:r>
          </w:p>
        </w:tc>
        <w:tc>
          <w:tcPr>
            <w:tcW w:w="1928" w:type="dxa"/>
            <w:tcBorders>
              <w:top w:val="single" w:sz="2" w:space="0" w:color="auto"/>
              <w:left w:val="single" w:sz="2" w:space="0" w:color="auto"/>
              <w:bottom w:val="single" w:sz="2" w:space="0" w:color="auto"/>
              <w:right w:val="single" w:sz="2" w:space="0" w:color="auto"/>
            </w:tcBorders>
            <w:vAlign w:val="center"/>
          </w:tcPr>
          <w:p w14:paraId="33BEBD7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17,030,998.25</w:t>
            </w:r>
          </w:p>
        </w:tc>
        <w:tc>
          <w:tcPr>
            <w:tcW w:w="1928" w:type="dxa"/>
            <w:tcBorders>
              <w:top w:val="single" w:sz="2" w:space="0" w:color="auto"/>
              <w:left w:val="single" w:sz="2" w:space="0" w:color="auto"/>
              <w:bottom w:val="single" w:sz="2" w:space="0" w:color="auto"/>
              <w:right w:val="single" w:sz="2" w:space="0" w:color="auto"/>
            </w:tcBorders>
            <w:vAlign w:val="center"/>
          </w:tcPr>
          <w:p w14:paraId="37771B3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11,572,115.55</w:t>
            </w:r>
          </w:p>
        </w:tc>
        <w:tc>
          <w:tcPr>
            <w:tcW w:w="1928" w:type="dxa"/>
            <w:tcBorders>
              <w:top w:val="single" w:sz="2" w:space="0" w:color="auto"/>
              <w:left w:val="single" w:sz="2" w:space="0" w:color="auto"/>
              <w:bottom w:val="single" w:sz="2" w:space="0" w:color="auto"/>
              <w:right w:val="single" w:sz="2" w:space="0" w:color="auto"/>
            </w:tcBorders>
            <w:vAlign w:val="center"/>
          </w:tcPr>
          <w:p w14:paraId="6F5C653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17,073,736.02</w:t>
            </w:r>
          </w:p>
        </w:tc>
        <w:tc>
          <w:tcPr>
            <w:tcW w:w="1928" w:type="dxa"/>
            <w:tcBorders>
              <w:top w:val="single" w:sz="2" w:space="0" w:color="auto"/>
              <w:left w:val="single" w:sz="2" w:space="0" w:color="auto"/>
              <w:bottom w:val="single" w:sz="2" w:space="0" w:color="auto"/>
              <w:right w:val="single" w:sz="2" w:space="0" w:color="auto"/>
            </w:tcBorders>
            <w:vAlign w:val="center"/>
          </w:tcPr>
          <w:p w14:paraId="46A41DC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12,724,135.86</w:t>
            </w:r>
          </w:p>
        </w:tc>
      </w:tr>
      <w:tr w:rsidR="006C011D" w:rsidRPr="005A284F" w14:paraId="35DD3396"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24A33A4"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递延所得税负债</w:t>
            </w:r>
          </w:p>
        </w:tc>
        <w:tc>
          <w:tcPr>
            <w:tcW w:w="1928" w:type="dxa"/>
            <w:tcBorders>
              <w:top w:val="single" w:sz="2" w:space="0" w:color="auto"/>
              <w:left w:val="single" w:sz="2" w:space="0" w:color="auto"/>
              <w:bottom w:val="single" w:sz="2" w:space="0" w:color="auto"/>
              <w:right w:val="single" w:sz="2" w:space="0" w:color="auto"/>
            </w:tcBorders>
            <w:vAlign w:val="center"/>
          </w:tcPr>
          <w:p w14:paraId="13ABE78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17,030,998.25</w:t>
            </w:r>
          </w:p>
        </w:tc>
        <w:tc>
          <w:tcPr>
            <w:tcW w:w="1928" w:type="dxa"/>
            <w:tcBorders>
              <w:top w:val="single" w:sz="2" w:space="0" w:color="auto"/>
              <w:left w:val="single" w:sz="2" w:space="0" w:color="auto"/>
              <w:bottom w:val="single" w:sz="2" w:space="0" w:color="auto"/>
              <w:right w:val="single" w:sz="2" w:space="0" w:color="auto"/>
            </w:tcBorders>
            <w:vAlign w:val="center"/>
          </w:tcPr>
          <w:p w14:paraId="44DE14C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1,773,983.57</w:t>
            </w:r>
          </w:p>
        </w:tc>
        <w:tc>
          <w:tcPr>
            <w:tcW w:w="1928" w:type="dxa"/>
            <w:tcBorders>
              <w:top w:val="single" w:sz="2" w:space="0" w:color="auto"/>
              <w:left w:val="single" w:sz="2" w:space="0" w:color="auto"/>
              <w:bottom w:val="single" w:sz="2" w:space="0" w:color="auto"/>
              <w:right w:val="single" w:sz="2" w:space="0" w:color="auto"/>
            </w:tcBorders>
            <w:vAlign w:val="center"/>
          </w:tcPr>
          <w:p w14:paraId="16D04EB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17,073,736.02</w:t>
            </w:r>
          </w:p>
        </w:tc>
        <w:tc>
          <w:tcPr>
            <w:tcW w:w="1928" w:type="dxa"/>
            <w:tcBorders>
              <w:top w:val="single" w:sz="2" w:space="0" w:color="auto"/>
              <w:left w:val="single" w:sz="2" w:space="0" w:color="auto"/>
              <w:bottom w:val="single" w:sz="2" w:space="0" w:color="auto"/>
              <w:right w:val="single" w:sz="2" w:space="0" w:color="auto"/>
            </w:tcBorders>
            <w:vAlign w:val="center"/>
          </w:tcPr>
          <w:p w14:paraId="5067B6D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1,779,739.47</w:t>
            </w:r>
          </w:p>
        </w:tc>
      </w:tr>
    </w:tbl>
    <w:p w14:paraId="0210DC29" w14:textId="620DBD29"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64" w:name="_Toc989192"/>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4</w:t>
      </w:r>
      <w:r w:rsidRPr="005A284F">
        <w:rPr>
          <w:rFonts w:ascii="Times New Roman" w:eastAsia="宋体" w:hAnsi="Times New Roman" w:cs="Times New Roman"/>
          <w:b/>
          <w:bCs/>
          <w:sz w:val="21"/>
          <w:szCs w:val="21"/>
        </w:rPr>
        <w:t>）未确认递延所得税资产明细</w:t>
      </w:r>
      <w:bookmarkEnd w:id="264"/>
    </w:p>
    <w:p w14:paraId="5BDABC20"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2BAB0AE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70106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32757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D24B9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r>
      <w:tr w:rsidR="006C011D" w:rsidRPr="005A284F" w14:paraId="4B08CB3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CEA738"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可抵扣暂时性差异</w:t>
            </w:r>
          </w:p>
        </w:tc>
        <w:tc>
          <w:tcPr>
            <w:tcW w:w="3213" w:type="dxa"/>
            <w:tcBorders>
              <w:top w:val="single" w:sz="2" w:space="0" w:color="auto"/>
              <w:left w:val="single" w:sz="2" w:space="0" w:color="auto"/>
              <w:bottom w:val="single" w:sz="2" w:space="0" w:color="auto"/>
              <w:right w:val="single" w:sz="2" w:space="0" w:color="auto"/>
            </w:tcBorders>
            <w:vAlign w:val="center"/>
          </w:tcPr>
          <w:p w14:paraId="21F204F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218,632,539.83</w:t>
            </w:r>
          </w:p>
        </w:tc>
        <w:tc>
          <w:tcPr>
            <w:tcW w:w="3213" w:type="dxa"/>
            <w:tcBorders>
              <w:top w:val="single" w:sz="2" w:space="0" w:color="auto"/>
              <w:left w:val="single" w:sz="2" w:space="0" w:color="auto"/>
              <w:bottom w:val="single" w:sz="2" w:space="0" w:color="auto"/>
              <w:right w:val="single" w:sz="2" w:space="0" w:color="auto"/>
            </w:tcBorders>
            <w:vAlign w:val="center"/>
          </w:tcPr>
          <w:p w14:paraId="5CB5F1C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219,631,986.83</w:t>
            </w:r>
          </w:p>
        </w:tc>
      </w:tr>
      <w:tr w:rsidR="006C011D" w:rsidRPr="005A284F" w14:paraId="0266773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68BCBF"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可抵扣亏损</w:t>
            </w:r>
          </w:p>
        </w:tc>
        <w:tc>
          <w:tcPr>
            <w:tcW w:w="3213" w:type="dxa"/>
            <w:tcBorders>
              <w:top w:val="single" w:sz="2" w:space="0" w:color="auto"/>
              <w:left w:val="single" w:sz="2" w:space="0" w:color="auto"/>
              <w:bottom w:val="single" w:sz="2" w:space="0" w:color="auto"/>
              <w:right w:val="single" w:sz="2" w:space="0" w:color="auto"/>
            </w:tcBorders>
            <w:vAlign w:val="center"/>
          </w:tcPr>
          <w:p w14:paraId="6C1DB4F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1,876,433,837.57</w:t>
            </w:r>
          </w:p>
        </w:tc>
        <w:tc>
          <w:tcPr>
            <w:tcW w:w="3213" w:type="dxa"/>
            <w:tcBorders>
              <w:top w:val="single" w:sz="2" w:space="0" w:color="auto"/>
              <w:left w:val="single" w:sz="2" w:space="0" w:color="auto"/>
              <w:bottom w:val="single" w:sz="2" w:space="0" w:color="auto"/>
              <w:right w:val="single" w:sz="2" w:space="0" w:color="auto"/>
            </w:tcBorders>
            <w:vAlign w:val="center"/>
          </w:tcPr>
          <w:p w14:paraId="4AB44FC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1,768,298,529.18</w:t>
            </w:r>
          </w:p>
        </w:tc>
      </w:tr>
      <w:tr w:rsidR="006C011D" w:rsidRPr="005A284F" w14:paraId="4F98D90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F8499B"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632C83D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2,095,066,377.40</w:t>
            </w:r>
          </w:p>
        </w:tc>
        <w:tc>
          <w:tcPr>
            <w:tcW w:w="3213" w:type="dxa"/>
            <w:tcBorders>
              <w:top w:val="single" w:sz="2" w:space="0" w:color="auto"/>
              <w:left w:val="single" w:sz="2" w:space="0" w:color="auto"/>
              <w:bottom w:val="single" w:sz="2" w:space="0" w:color="auto"/>
              <w:right w:val="single" w:sz="2" w:space="0" w:color="auto"/>
            </w:tcBorders>
            <w:vAlign w:val="center"/>
          </w:tcPr>
          <w:p w14:paraId="3DCBD43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1,987,930,516.01</w:t>
            </w:r>
          </w:p>
        </w:tc>
      </w:tr>
    </w:tbl>
    <w:p w14:paraId="35CBEC31" w14:textId="441EB825"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65" w:name="_Toc989193"/>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5</w:t>
      </w:r>
      <w:r w:rsidRPr="005A284F">
        <w:rPr>
          <w:rFonts w:ascii="Times New Roman" w:eastAsia="宋体" w:hAnsi="Times New Roman" w:cs="Times New Roman"/>
          <w:b/>
          <w:bCs/>
          <w:sz w:val="21"/>
          <w:szCs w:val="21"/>
        </w:rPr>
        <w:t>）未确认递延所得税资产的可抵扣亏损将于以下年度到期</w:t>
      </w:r>
      <w:bookmarkEnd w:id="265"/>
    </w:p>
    <w:p w14:paraId="6B30E22C"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6C011D" w:rsidRPr="005A284F" w14:paraId="6FD2B959"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D61B20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年份</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7F7ED7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期末金额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D5CF0A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期初金额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189000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备注</w:t>
            </w:r>
          </w:p>
        </w:tc>
      </w:tr>
      <w:tr w:rsidR="006C011D" w:rsidRPr="005A284F" w14:paraId="4C12EB76"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021D7D01" w14:textId="77777777" w:rsidR="006C011D" w:rsidRPr="005A284F" w:rsidRDefault="00000000" w:rsidP="009F64DD">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p>
        </w:tc>
        <w:tc>
          <w:tcPr>
            <w:tcW w:w="2410" w:type="dxa"/>
            <w:tcBorders>
              <w:top w:val="single" w:sz="2" w:space="0" w:color="auto"/>
              <w:left w:val="single" w:sz="2" w:space="0" w:color="auto"/>
              <w:bottom w:val="single" w:sz="2" w:space="0" w:color="auto"/>
              <w:right w:val="single" w:sz="2" w:space="0" w:color="auto"/>
            </w:tcBorders>
            <w:vAlign w:val="center"/>
          </w:tcPr>
          <w:p w14:paraId="4051319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31,494,127.97</w:t>
            </w:r>
          </w:p>
        </w:tc>
        <w:tc>
          <w:tcPr>
            <w:tcW w:w="2410" w:type="dxa"/>
            <w:tcBorders>
              <w:top w:val="single" w:sz="2" w:space="0" w:color="auto"/>
              <w:left w:val="single" w:sz="2" w:space="0" w:color="auto"/>
              <w:bottom w:val="single" w:sz="2" w:space="0" w:color="auto"/>
              <w:right w:val="single" w:sz="2" w:space="0" w:color="auto"/>
            </w:tcBorders>
            <w:vAlign w:val="center"/>
          </w:tcPr>
          <w:p w14:paraId="05E8E18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31,494,127.97</w:t>
            </w:r>
          </w:p>
        </w:tc>
        <w:tc>
          <w:tcPr>
            <w:tcW w:w="2410" w:type="dxa"/>
            <w:tcBorders>
              <w:top w:val="single" w:sz="2" w:space="0" w:color="auto"/>
              <w:left w:val="single" w:sz="2" w:space="0" w:color="auto"/>
              <w:bottom w:val="single" w:sz="2" w:space="0" w:color="auto"/>
              <w:right w:val="single" w:sz="2" w:space="0" w:color="auto"/>
            </w:tcBorders>
            <w:vAlign w:val="center"/>
          </w:tcPr>
          <w:p w14:paraId="5220B6D5" w14:textId="77777777" w:rsidR="006C011D" w:rsidRPr="005A284F" w:rsidRDefault="006C011D">
            <w:pPr>
              <w:spacing w:after="0" w:line="240" w:lineRule="exact"/>
              <w:rPr>
                <w:rFonts w:ascii="Times New Roman" w:eastAsia="宋体" w:hAnsi="Times New Roman" w:cs="Times New Roman"/>
                <w:sz w:val="18"/>
                <w:szCs w:val="18"/>
              </w:rPr>
            </w:pPr>
          </w:p>
        </w:tc>
      </w:tr>
      <w:tr w:rsidR="006C011D" w:rsidRPr="005A284F" w14:paraId="6DB62F8E"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0CDFDECB" w14:textId="77777777" w:rsidR="006C011D" w:rsidRPr="005A284F" w:rsidRDefault="00000000" w:rsidP="009F64DD">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2026</w:t>
            </w:r>
            <w:r w:rsidRPr="005A284F">
              <w:rPr>
                <w:rFonts w:ascii="Times New Roman" w:eastAsia="宋体" w:hAnsi="Times New Roman" w:cs="Times New Roman"/>
                <w:sz w:val="18"/>
                <w:szCs w:val="18"/>
              </w:rPr>
              <w:t>年</w:t>
            </w:r>
          </w:p>
        </w:tc>
        <w:tc>
          <w:tcPr>
            <w:tcW w:w="2410" w:type="dxa"/>
            <w:tcBorders>
              <w:top w:val="single" w:sz="2" w:space="0" w:color="auto"/>
              <w:left w:val="single" w:sz="2" w:space="0" w:color="auto"/>
              <w:bottom w:val="single" w:sz="2" w:space="0" w:color="auto"/>
              <w:right w:val="single" w:sz="2" w:space="0" w:color="auto"/>
            </w:tcBorders>
            <w:vAlign w:val="center"/>
          </w:tcPr>
          <w:p w14:paraId="0372CBD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375,381,168.95</w:t>
            </w:r>
          </w:p>
        </w:tc>
        <w:tc>
          <w:tcPr>
            <w:tcW w:w="2410" w:type="dxa"/>
            <w:tcBorders>
              <w:top w:val="single" w:sz="2" w:space="0" w:color="auto"/>
              <w:left w:val="single" w:sz="2" w:space="0" w:color="auto"/>
              <w:bottom w:val="single" w:sz="2" w:space="0" w:color="auto"/>
              <w:right w:val="single" w:sz="2" w:space="0" w:color="auto"/>
            </w:tcBorders>
            <w:vAlign w:val="center"/>
          </w:tcPr>
          <w:p w14:paraId="6601E1F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386,450,573.17</w:t>
            </w:r>
          </w:p>
        </w:tc>
        <w:tc>
          <w:tcPr>
            <w:tcW w:w="2410" w:type="dxa"/>
            <w:tcBorders>
              <w:top w:val="single" w:sz="2" w:space="0" w:color="auto"/>
              <w:left w:val="single" w:sz="2" w:space="0" w:color="auto"/>
              <w:bottom w:val="single" w:sz="2" w:space="0" w:color="auto"/>
              <w:right w:val="single" w:sz="2" w:space="0" w:color="auto"/>
            </w:tcBorders>
            <w:vAlign w:val="center"/>
          </w:tcPr>
          <w:p w14:paraId="7147E201" w14:textId="77777777" w:rsidR="006C011D" w:rsidRPr="005A284F" w:rsidRDefault="006C011D">
            <w:pPr>
              <w:spacing w:after="0" w:line="240" w:lineRule="exact"/>
              <w:rPr>
                <w:rFonts w:ascii="Times New Roman" w:eastAsia="宋体" w:hAnsi="Times New Roman" w:cs="Times New Roman"/>
                <w:sz w:val="18"/>
                <w:szCs w:val="18"/>
              </w:rPr>
            </w:pPr>
          </w:p>
        </w:tc>
      </w:tr>
      <w:tr w:rsidR="006C011D" w:rsidRPr="005A284F" w14:paraId="4C65000C"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014B49B5" w14:textId="77777777" w:rsidR="006C011D" w:rsidRPr="005A284F" w:rsidRDefault="00000000" w:rsidP="009F64DD">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2027</w:t>
            </w:r>
            <w:r w:rsidRPr="005A284F">
              <w:rPr>
                <w:rFonts w:ascii="Times New Roman" w:eastAsia="宋体" w:hAnsi="Times New Roman" w:cs="Times New Roman"/>
                <w:sz w:val="18"/>
                <w:szCs w:val="18"/>
              </w:rPr>
              <w:t>年</w:t>
            </w:r>
          </w:p>
        </w:tc>
        <w:tc>
          <w:tcPr>
            <w:tcW w:w="2410" w:type="dxa"/>
            <w:tcBorders>
              <w:top w:val="single" w:sz="2" w:space="0" w:color="auto"/>
              <w:left w:val="single" w:sz="2" w:space="0" w:color="auto"/>
              <w:bottom w:val="single" w:sz="2" w:space="0" w:color="auto"/>
              <w:right w:val="single" w:sz="2" w:space="0" w:color="auto"/>
            </w:tcBorders>
            <w:vAlign w:val="center"/>
          </w:tcPr>
          <w:p w14:paraId="4057669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401,546,542.67</w:t>
            </w:r>
          </w:p>
        </w:tc>
        <w:tc>
          <w:tcPr>
            <w:tcW w:w="2410" w:type="dxa"/>
            <w:tcBorders>
              <w:top w:val="single" w:sz="2" w:space="0" w:color="auto"/>
              <w:left w:val="single" w:sz="2" w:space="0" w:color="auto"/>
              <w:bottom w:val="single" w:sz="2" w:space="0" w:color="auto"/>
              <w:right w:val="single" w:sz="2" w:space="0" w:color="auto"/>
            </w:tcBorders>
            <w:vAlign w:val="center"/>
          </w:tcPr>
          <w:p w14:paraId="7408884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402,086,062.99</w:t>
            </w:r>
          </w:p>
        </w:tc>
        <w:tc>
          <w:tcPr>
            <w:tcW w:w="2410" w:type="dxa"/>
            <w:tcBorders>
              <w:top w:val="single" w:sz="2" w:space="0" w:color="auto"/>
              <w:left w:val="single" w:sz="2" w:space="0" w:color="auto"/>
              <w:bottom w:val="single" w:sz="2" w:space="0" w:color="auto"/>
              <w:right w:val="single" w:sz="2" w:space="0" w:color="auto"/>
            </w:tcBorders>
            <w:vAlign w:val="center"/>
          </w:tcPr>
          <w:p w14:paraId="0660D8AC" w14:textId="77777777" w:rsidR="006C011D" w:rsidRPr="005A284F" w:rsidRDefault="006C011D">
            <w:pPr>
              <w:spacing w:after="0" w:line="240" w:lineRule="exact"/>
              <w:rPr>
                <w:rFonts w:ascii="Times New Roman" w:eastAsia="宋体" w:hAnsi="Times New Roman" w:cs="Times New Roman"/>
                <w:sz w:val="18"/>
                <w:szCs w:val="18"/>
              </w:rPr>
            </w:pPr>
          </w:p>
        </w:tc>
      </w:tr>
      <w:tr w:rsidR="006C011D" w:rsidRPr="005A284F" w14:paraId="4ECDC028"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59BFA3B9" w14:textId="77777777" w:rsidR="006C011D" w:rsidRPr="005A284F" w:rsidRDefault="00000000" w:rsidP="009F64DD">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2028</w:t>
            </w:r>
            <w:r w:rsidRPr="005A284F">
              <w:rPr>
                <w:rFonts w:ascii="Times New Roman" w:eastAsia="宋体" w:hAnsi="Times New Roman" w:cs="Times New Roman"/>
                <w:sz w:val="18"/>
                <w:szCs w:val="18"/>
              </w:rPr>
              <w:t>年</w:t>
            </w:r>
          </w:p>
        </w:tc>
        <w:tc>
          <w:tcPr>
            <w:tcW w:w="2410" w:type="dxa"/>
            <w:tcBorders>
              <w:top w:val="single" w:sz="2" w:space="0" w:color="auto"/>
              <w:left w:val="single" w:sz="2" w:space="0" w:color="auto"/>
              <w:bottom w:val="single" w:sz="2" w:space="0" w:color="auto"/>
              <w:right w:val="single" w:sz="2" w:space="0" w:color="auto"/>
            </w:tcBorders>
            <w:vAlign w:val="center"/>
          </w:tcPr>
          <w:p w14:paraId="27F8E87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778,615,859.63</w:t>
            </w:r>
          </w:p>
        </w:tc>
        <w:tc>
          <w:tcPr>
            <w:tcW w:w="2410" w:type="dxa"/>
            <w:tcBorders>
              <w:top w:val="single" w:sz="2" w:space="0" w:color="auto"/>
              <w:left w:val="single" w:sz="2" w:space="0" w:color="auto"/>
              <w:bottom w:val="single" w:sz="2" w:space="0" w:color="auto"/>
              <w:right w:val="single" w:sz="2" w:space="0" w:color="auto"/>
            </w:tcBorders>
            <w:vAlign w:val="center"/>
          </w:tcPr>
          <w:p w14:paraId="12FB0B8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833,406,492.33</w:t>
            </w:r>
          </w:p>
        </w:tc>
        <w:tc>
          <w:tcPr>
            <w:tcW w:w="2410" w:type="dxa"/>
            <w:tcBorders>
              <w:top w:val="single" w:sz="2" w:space="0" w:color="auto"/>
              <w:left w:val="single" w:sz="2" w:space="0" w:color="auto"/>
              <w:bottom w:val="single" w:sz="2" w:space="0" w:color="auto"/>
              <w:right w:val="single" w:sz="2" w:space="0" w:color="auto"/>
            </w:tcBorders>
            <w:vAlign w:val="center"/>
          </w:tcPr>
          <w:p w14:paraId="43F5FBE8" w14:textId="77777777" w:rsidR="006C011D" w:rsidRPr="005A284F" w:rsidRDefault="006C011D">
            <w:pPr>
              <w:spacing w:after="0" w:line="240" w:lineRule="exact"/>
              <w:rPr>
                <w:rFonts w:ascii="Times New Roman" w:eastAsia="宋体" w:hAnsi="Times New Roman" w:cs="Times New Roman"/>
                <w:sz w:val="18"/>
                <w:szCs w:val="18"/>
              </w:rPr>
            </w:pPr>
          </w:p>
        </w:tc>
      </w:tr>
      <w:tr w:rsidR="006C011D" w:rsidRPr="005A284F" w14:paraId="517C680A"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4651A64F" w14:textId="77777777" w:rsidR="006C011D" w:rsidRPr="005A284F" w:rsidRDefault="00000000" w:rsidP="009F64DD">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2029</w:t>
            </w:r>
            <w:r w:rsidRPr="005A284F">
              <w:rPr>
                <w:rFonts w:ascii="Times New Roman" w:eastAsia="宋体" w:hAnsi="Times New Roman" w:cs="Times New Roman"/>
                <w:sz w:val="18"/>
                <w:szCs w:val="18"/>
              </w:rPr>
              <w:t>年</w:t>
            </w:r>
          </w:p>
        </w:tc>
        <w:tc>
          <w:tcPr>
            <w:tcW w:w="2410" w:type="dxa"/>
            <w:tcBorders>
              <w:top w:val="single" w:sz="2" w:space="0" w:color="auto"/>
              <w:left w:val="single" w:sz="2" w:space="0" w:color="auto"/>
              <w:bottom w:val="single" w:sz="2" w:space="0" w:color="auto"/>
              <w:right w:val="single" w:sz="2" w:space="0" w:color="auto"/>
            </w:tcBorders>
            <w:vAlign w:val="center"/>
          </w:tcPr>
          <w:p w14:paraId="4565EE2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135,373,802.00</w:t>
            </w:r>
          </w:p>
        </w:tc>
        <w:tc>
          <w:tcPr>
            <w:tcW w:w="2410" w:type="dxa"/>
            <w:tcBorders>
              <w:top w:val="single" w:sz="2" w:space="0" w:color="auto"/>
              <w:left w:val="single" w:sz="2" w:space="0" w:color="auto"/>
              <w:bottom w:val="single" w:sz="2" w:space="0" w:color="auto"/>
              <w:right w:val="single" w:sz="2" w:space="0" w:color="auto"/>
            </w:tcBorders>
            <w:vAlign w:val="center"/>
          </w:tcPr>
          <w:p w14:paraId="726D422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114,861,272.72</w:t>
            </w:r>
          </w:p>
        </w:tc>
        <w:tc>
          <w:tcPr>
            <w:tcW w:w="2410" w:type="dxa"/>
            <w:tcBorders>
              <w:top w:val="single" w:sz="2" w:space="0" w:color="auto"/>
              <w:left w:val="single" w:sz="2" w:space="0" w:color="auto"/>
              <w:bottom w:val="single" w:sz="2" w:space="0" w:color="auto"/>
              <w:right w:val="single" w:sz="2" w:space="0" w:color="auto"/>
            </w:tcBorders>
            <w:vAlign w:val="center"/>
          </w:tcPr>
          <w:p w14:paraId="648EB32B" w14:textId="77777777" w:rsidR="006C011D" w:rsidRPr="005A284F" w:rsidRDefault="006C011D">
            <w:pPr>
              <w:spacing w:after="0" w:line="240" w:lineRule="exact"/>
              <w:rPr>
                <w:rFonts w:ascii="Times New Roman" w:eastAsia="宋体" w:hAnsi="Times New Roman" w:cs="Times New Roman"/>
                <w:sz w:val="18"/>
                <w:szCs w:val="18"/>
              </w:rPr>
            </w:pPr>
          </w:p>
        </w:tc>
      </w:tr>
      <w:tr w:rsidR="006C011D" w:rsidRPr="005A284F" w14:paraId="0F42394E"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2CB0254B" w14:textId="77777777" w:rsidR="006C011D" w:rsidRPr="005A284F" w:rsidRDefault="00000000" w:rsidP="009F64DD">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2030</w:t>
            </w:r>
            <w:r w:rsidRPr="005A284F">
              <w:rPr>
                <w:rFonts w:ascii="Times New Roman" w:eastAsia="宋体" w:hAnsi="Times New Roman" w:cs="Times New Roman"/>
                <w:sz w:val="18"/>
                <w:szCs w:val="18"/>
              </w:rPr>
              <w:t>年</w:t>
            </w:r>
          </w:p>
        </w:tc>
        <w:tc>
          <w:tcPr>
            <w:tcW w:w="2410" w:type="dxa"/>
            <w:tcBorders>
              <w:top w:val="single" w:sz="2" w:space="0" w:color="auto"/>
              <w:left w:val="single" w:sz="2" w:space="0" w:color="auto"/>
              <w:bottom w:val="single" w:sz="2" w:space="0" w:color="auto"/>
              <w:right w:val="single" w:sz="2" w:space="0" w:color="auto"/>
            </w:tcBorders>
            <w:vAlign w:val="center"/>
          </w:tcPr>
          <w:p w14:paraId="7C938A0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154,022,336.35</w:t>
            </w:r>
          </w:p>
        </w:tc>
        <w:tc>
          <w:tcPr>
            <w:tcW w:w="2410" w:type="dxa"/>
            <w:tcBorders>
              <w:top w:val="single" w:sz="2" w:space="0" w:color="auto"/>
              <w:left w:val="single" w:sz="2" w:space="0" w:color="auto"/>
              <w:bottom w:val="single" w:sz="2" w:space="0" w:color="auto"/>
              <w:right w:val="single" w:sz="2" w:space="0" w:color="auto"/>
            </w:tcBorders>
            <w:vAlign w:val="center"/>
          </w:tcPr>
          <w:p w14:paraId="4323424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3AB3654E" w14:textId="77777777" w:rsidR="006C011D" w:rsidRPr="005A284F" w:rsidRDefault="006C011D">
            <w:pPr>
              <w:spacing w:after="0" w:line="240" w:lineRule="exact"/>
              <w:rPr>
                <w:rFonts w:ascii="Times New Roman" w:eastAsia="宋体" w:hAnsi="Times New Roman" w:cs="Times New Roman"/>
                <w:sz w:val="18"/>
                <w:szCs w:val="18"/>
              </w:rPr>
            </w:pPr>
          </w:p>
        </w:tc>
      </w:tr>
      <w:tr w:rsidR="006C011D" w:rsidRPr="005A284F" w14:paraId="34BE20F3"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A9D2240" w14:textId="77777777" w:rsidR="006C011D" w:rsidRPr="005A284F" w:rsidRDefault="00000000" w:rsidP="009F64DD">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7937E4F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1,876,433,837.57</w:t>
            </w:r>
          </w:p>
        </w:tc>
        <w:tc>
          <w:tcPr>
            <w:tcW w:w="2410" w:type="dxa"/>
            <w:tcBorders>
              <w:top w:val="single" w:sz="2" w:space="0" w:color="auto"/>
              <w:left w:val="single" w:sz="2" w:space="0" w:color="auto"/>
              <w:bottom w:val="single" w:sz="2" w:space="0" w:color="auto"/>
              <w:right w:val="single" w:sz="2" w:space="0" w:color="auto"/>
            </w:tcBorders>
            <w:vAlign w:val="center"/>
          </w:tcPr>
          <w:p w14:paraId="7056B66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1,768,298,529.18</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9A0B149" w14:textId="77777777" w:rsidR="006C011D" w:rsidRPr="005A284F" w:rsidRDefault="006C011D">
            <w:pPr>
              <w:rPr>
                <w:rFonts w:ascii="Times New Roman" w:eastAsia="宋体" w:hAnsi="Times New Roman" w:cs="Times New Roman"/>
              </w:rPr>
            </w:pPr>
          </w:p>
        </w:tc>
      </w:tr>
    </w:tbl>
    <w:p w14:paraId="7D02E589"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w:t>
      </w:r>
    </w:p>
    <w:p w14:paraId="732CC21C" w14:textId="77777777" w:rsidR="000309B5" w:rsidRPr="005A284F" w:rsidRDefault="00000000">
      <w:pPr>
        <w:pStyle w:val="a3"/>
        <w:divId w:val="696734729"/>
        <w:rPr>
          <w:rFonts w:ascii="Times New Roman" w:hAnsi="Times New Roman" w:cs="Times New Roman"/>
          <w:sz w:val="18"/>
          <w:szCs w:val="18"/>
        </w:rPr>
      </w:pPr>
      <w:r w:rsidRPr="005A284F">
        <w:rPr>
          <w:rFonts w:ascii="Times New Roman" w:hAnsi="Times New Roman" w:cs="Times New Roman"/>
          <w:sz w:val="18"/>
          <w:szCs w:val="18"/>
        </w:rPr>
        <w:t>无</w:t>
      </w:r>
    </w:p>
    <w:p w14:paraId="171FAA6E" w14:textId="77777777" w:rsidR="006C011D" w:rsidRPr="005A284F" w:rsidRDefault="00000000">
      <w:pPr>
        <w:pStyle w:val="3"/>
        <w:spacing w:line="280" w:lineRule="exact"/>
        <w:jc w:val="left"/>
        <w:rPr>
          <w:rFonts w:ascii="Times New Roman" w:hAnsi="Times New Roman" w:cs="Times New Roman"/>
          <w:b/>
          <w:bCs/>
        </w:rPr>
      </w:pPr>
      <w:bookmarkStart w:id="266" w:name="_Toc989194"/>
      <w:r w:rsidRPr="005A284F">
        <w:rPr>
          <w:rFonts w:ascii="Times New Roman" w:hAnsi="Times New Roman" w:cs="Times New Roman"/>
          <w:b/>
          <w:bCs/>
        </w:rPr>
        <w:t>30</w:t>
      </w:r>
      <w:r w:rsidRPr="005A284F">
        <w:rPr>
          <w:rFonts w:ascii="Times New Roman" w:hAnsi="Times New Roman" w:cs="Times New Roman"/>
          <w:b/>
          <w:bCs/>
        </w:rPr>
        <w:t>、其他非流动资产</w:t>
      </w:r>
      <w:bookmarkEnd w:id="266"/>
    </w:p>
    <w:p w14:paraId="1B3CA18A" w14:textId="77777777" w:rsidR="009F64DD" w:rsidRDefault="009F64DD">
      <w:pPr>
        <w:spacing w:before="40" w:after="40" w:line="240" w:lineRule="exact"/>
        <w:jc w:val="right"/>
        <w:rPr>
          <w:rFonts w:ascii="Times New Roman" w:eastAsia="宋体" w:hAnsi="Times New Roman" w:cs="Times New Roman"/>
          <w:sz w:val="18"/>
          <w:szCs w:val="18"/>
        </w:rPr>
      </w:pPr>
    </w:p>
    <w:p w14:paraId="33F020FE" w14:textId="77777777" w:rsidR="009F64DD" w:rsidRDefault="009F64DD">
      <w:pPr>
        <w:spacing w:before="40" w:after="40" w:line="240" w:lineRule="exact"/>
        <w:jc w:val="right"/>
        <w:rPr>
          <w:rFonts w:ascii="Times New Roman" w:eastAsia="宋体" w:hAnsi="Times New Roman" w:cs="Times New Roman"/>
          <w:sz w:val="18"/>
          <w:szCs w:val="18"/>
        </w:rPr>
      </w:pPr>
    </w:p>
    <w:p w14:paraId="34D9F3FC" w14:textId="000DFEAF"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6C011D" w:rsidRPr="005A284F" w14:paraId="3DC315AE"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871E2F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341CDE1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528119A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r>
      <w:tr w:rsidR="006C011D" w:rsidRPr="005A284F" w14:paraId="00A3BC7C"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0239C84" w14:textId="77777777" w:rsidR="006C011D" w:rsidRPr="005A284F" w:rsidRDefault="006C011D">
            <w:pPr>
              <w:rPr>
                <w:rFonts w:ascii="Times New Roman" w:eastAsia="宋体" w:hAnsi="Times New Roman" w:cs="Times New Roman"/>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138216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16782F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B18AF6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D0CC7B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E55DEF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F587C4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账面价值</w:t>
            </w:r>
          </w:p>
        </w:tc>
      </w:tr>
      <w:tr w:rsidR="006C011D" w:rsidRPr="005A284F" w14:paraId="47177799"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24827FB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预付设备工程款</w:t>
            </w:r>
          </w:p>
        </w:tc>
        <w:tc>
          <w:tcPr>
            <w:tcW w:w="1377" w:type="dxa"/>
            <w:tcBorders>
              <w:top w:val="single" w:sz="2" w:space="0" w:color="auto"/>
              <w:left w:val="single" w:sz="2" w:space="0" w:color="auto"/>
              <w:bottom w:val="single" w:sz="2" w:space="0" w:color="auto"/>
              <w:right w:val="single" w:sz="2" w:space="0" w:color="auto"/>
            </w:tcBorders>
            <w:vAlign w:val="center"/>
          </w:tcPr>
          <w:p w14:paraId="3D698E4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23,521,592.28</w:t>
            </w:r>
          </w:p>
        </w:tc>
        <w:tc>
          <w:tcPr>
            <w:tcW w:w="1377" w:type="dxa"/>
            <w:tcBorders>
              <w:top w:val="single" w:sz="2" w:space="0" w:color="auto"/>
              <w:left w:val="single" w:sz="2" w:space="0" w:color="auto"/>
              <w:bottom w:val="single" w:sz="2" w:space="0" w:color="auto"/>
              <w:right w:val="single" w:sz="2" w:space="0" w:color="auto"/>
            </w:tcBorders>
            <w:vAlign w:val="center"/>
          </w:tcPr>
          <w:p w14:paraId="158525F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00EF60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23,521,592.28</w:t>
            </w:r>
          </w:p>
        </w:tc>
        <w:tc>
          <w:tcPr>
            <w:tcW w:w="1377" w:type="dxa"/>
            <w:tcBorders>
              <w:top w:val="single" w:sz="2" w:space="0" w:color="auto"/>
              <w:left w:val="single" w:sz="2" w:space="0" w:color="auto"/>
              <w:bottom w:val="single" w:sz="2" w:space="0" w:color="auto"/>
              <w:right w:val="single" w:sz="2" w:space="0" w:color="auto"/>
            </w:tcBorders>
            <w:vAlign w:val="center"/>
          </w:tcPr>
          <w:p w14:paraId="490187A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21,616,790.87</w:t>
            </w:r>
          </w:p>
        </w:tc>
        <w:tc>
          <w:tcPr>
            <w:tcW w:w="1377" w:type="dxa"/>
            <w:tcBorders>
              <w:top w:val="single" w:sz="2" w:space="0" w:color="auto"/>
              <w:left w:val="single" w:sz="2" w:space="0" w:color="auto"/>
              <w:bottom w:val="single" w:sz="2" w:space="0" w:color="auto"/>
              <w:right w:val="single" w:sz="2" w:space="0" w:color="auto"/>
            </w:tcBorders>
            <w:vAlign w:val="center"/>
          </w:tcPr>
          <w:p w14:paraId="5ABE812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96D09A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21,616,790.87</w:t>
            </w:r>
          </w:p>
        </w:tc>
      </w:tr>
      <w:tr w:rsidR="006C011D" w:rsidRPr="005A284F" w14:paraId="58190450"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6A540A1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增值税留抵税额</w:t>
            </w:r>
          </w:p>
        </w:tc>
        <w:tc>
          <w:tcPr>
            <w:tcW w:w="1377" w:type="dxa"/>
            <w:tcBorders>
              <w:top w:val="single" w:sz="2" w:space="0" w:color="auto"/>
              <w:left w:val="single" w:sz="2" w:space="0" w:color="auto"/>
              <w:bottom w:val="single" w:sz="2" w:space="0" w:color="auto"/>
              <w:right w:val="single" w:sz="2" w:space="0" w:color="auto"/>
            </w:tcBorders>
            <w:vAlign w:val="center"/>
          </w:tcPr>
          <w:p w14:paraId="3512EDB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457,440,695.11</w:t>
            </w:r>
          </w:p>
        </w:tc>
        <w:tc>
          <w:tcPr>
            <w:tcW w:w="1377" w:type="dxa"/>
            <w:tcBorders>
              <w:top w:val="single" w:sz="2" w:space="0" w:color="auto"/>
              <w:left w:val="single" w:sz="2" w:space="0" w:color="auto"/>
              <w:bottom w:val="single" w:sz="2" w:space="0" w:color="auto"/>
              <w:right w:val="single" w:sz="2" w:space="0" w:color="auto"/>
            </w:tcBorders>
            <w:vAlign w:val="center"/>
          </w:tcPr>
          <w:p w14:paraId="3236608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B219C6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457,440,695.11</w:t>
            </w:r>
          </w:p>
        </w:tc>
        <w:tc>
          <w:tcPr>
            <w:tcW w:w="1377" w:type="dxa"/>
            <w:tcBorders>
              <w:top w:val="single" w:sz="2" w:space="0" w:color="auto"/>
              <w:left w:val="single" w:sz="2" w:space="0" w:color="auto"/>
              <w:bottom w:val="single" w:sz="2" w:space="0" w:color="auto"/>
              <w:right w:val="single" w:sz="2" w:space="0" w:color="auto"/>
            </w:tcBorders>
            <w:vAlign w:val="center"/>
          </w:tcPr>
          <w:p w14:paraId="03798C8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447,635,995.33</w:t>
            </w:r>
          </w:p>
        </w:tc>
        <w:tc>
          <w:tcPr>
            <w:tcW w:w="1377" w:type="dxa"/>
            <w:tcBorders>
              <w:top w:val="single" w:sz="2" w:space="0" w:color="auto"/>
              <w:left w:val="single" w:sz="2" w:space="0" w:color="auto"/>
              <w:bottom w:val="single" w:sz="2" w:space="0" w:color="auto"/>
              <w:right w:val="single" w:sz="2" w:space="0" w:color="auto"/>
            </w:tcBorders>
            <w:vAlign w:val="center"/>
          </w:tcPr>
          <w:p w14:paraId="69102B8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C62746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447,635,995.33</w:t>
            </w:r>
          </w:p>
        </w:tc>
      </w:tr>
      <w:tr w:rsidR="006C011D" w:rsidRPr="005A284F" w14:paraId="471AD35B"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2C749ED"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426BF34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480,962,287.39</w:t>
            </w:r>
          </w:p>
        </w:tc>
        <w:tc>
          <w:tcPr>
            <w:tcW w:w="1377" w:type="dxa"/>
            <w:tcBorders>
              <w:top w:val="single" w:sz="2" w:space="0" w:color="auto"/>
              <w:left w:val="single" w:sz="2" w:space="0" w:color="auto"/>
              <w:bottom w:val="single" w:sz="2" w:space="0" w:color="auto"/>
              <w:right w:val="single" w:sz="2" w:space="0" w:color="auto"/>
            </w:tcBorders>
            <w:vAlign w:val="center"/>
          </w:tcPr>
          <w:p w14:paraId="426086A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C1B177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480,962,287.39</w:t>
            </w:r>
          </w:p>
        </w:tc>
        <w:tc>
          <w:tcPr>
            <w:tcW w:w="1377" w:type="dxa"/>
            <w:tcBorders>
              <w:top w:val="single" w:sz="2" w:space="0" w:color="auto"/>
              <w:left w:val="single" w:sz="2" w:space="0" w:color="auto"/>
              <w:bottom w:val="single" w:sz="2" w:space="0" w:color="auto"/>
              <w:right w:val="single" w:sz="2" w:space="0" w:color="auto"/>
            </w:tcBorders>
            <w:vAlign w:val="center"/>
          </w:tcPr>
          <w:p w14:paraId="0660767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469,252,786.20</w:t>
            </w:r>
          </w:p>
        </w:tc>
        <w:tc>
          <w:tcPr>
            <w:tcW w:w="1377" w:type="dxa"/>
            <w:tcBorders>
              <w:top w:val="single" w:sz="2" w:space="0" w:color="auto"/>
              <w:left w:val="single" w:sz="2" w:space="0" w:color="auto"/>
              <w:bottom w:val="single" w:sz="2" w:space="0" w:color="auto"/>
              <w:right w:val="single" w:sz="2" w:space="0" w:color="auto"/>
            </w:tcBorders>
            <w:vAlign w:val="center"/>
          </w:tcPr>
          <w:p w14:paraId="3DAE8B1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C1A46C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469,252,786.20</w:t>
            </w:r>
          </w:p>
        </w:tc>
      </w:tr>
    </w:tbl>
    <w:p w14:paraId="6B2B1C67"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w:t>
      </w:r>
    </w:p>
    <w:p w14:paraId="6FED8D28" w14:textId="77777777" w:rsidR="000309B5" w:rsidRPr="005A284F" w:rsidRDefault="00000000">
      <w:pPr>
        <w:pStyle w:val="a3"/>
        <w:divId w:val="779033652"/>
        <w:rPr>
          <w:rFonts w:ascii="Times New Roman" w:hAnsi="Times New Roman" w:cs="Times New Roman"/>
          <w:sz w:val="18"/>
          <w:szCs w:val="18"/>
        </w:rPr>
      </w:pPr>
      <w:r w:rsidRPr="005A284F">
        <w:rPr>
          <w:rFonts w:ascii="Times New Roman" w:hAnsi="Times New Roman" w:cs="Times New Roman"/>
          <w:sz w:val="18"/>
          <w:szCs w:val="18"/>
        </w:rPr>
        <w:t>无</w:t>
      </w:r>
    </w:p>
    <w:p w14:paraId="074D2D8C" w14:textId="77777777" w:rsidR="006C011D" w:rsidRPr="005A284F" w:rsidRDefault="00000000">
      <w:pPr>
        <w:pStyle w:val="3"/>
        <w:spacing w:line="280" w:lineRule="exact"/>
        <w:jc w:val="left"/>
        <w:rPr>
          <w:rFonts w:ascii="Times New Roman" w:hAnsi="Times New Roman" w:cs="Times New Roman"/>
          <w:b/>
          <w:bCs/>
        </w:rPr>
      </w:pPr>
      <w:bookmarkStart w:id="267" w:name="_Toc989195"/>
      <w:r w:rsidRPr="005A284F">
        <w:rPr>
          <w:rFonts w:ascii="Times New Roman" w:hAnsi="Times New Roman" w:cs="Times New Roman"/>
          <w:b/>
          <w:bCs/>
        </w:rPr>
        <w:t>31</w:t>
      </w:r>
      <w:r w:rsidRPr="005A284F">
        <w:rPr>
          <w:rFonts w:ascii="Times New Roman" w:hAnsi="Times New Roman" w:cs="Times New Roman"/>
          <w:b/>
          <w:bCs/>
        </w:rPr>
        <w:t>、所有权或使用权受到限制的资产</w:t>
      </w:r>
      <w:bookmarkEnd w:id="267"/>
    </w:p>
    <w:p w14:paraId="36D90AA2"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886" w:type="dxa"/>
        <w:tblInd w:w="-1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0" w:type="dxa"/>
          <w:right w:w="0" w:type="dxa"/>
        </w:tblCellMar>
        <w:tblLook w:val="04A0" w:firstRow="1" w:lastRow="0" w:firstColumn="1" w:lastColumn="0" w:noHBand="0" w:noVBand="1"/>
      </w:tblPr>
      <w:tblGrid>
        <w:gridCol w:w="956"/>
        <w:gridCol w:w="1313"/>
        <w:gridCol w:w="1191"/>
        <w:gridCol w:w="1071"/>
        <w:gridCol w:w="856"/>
        <w:gridCol w:w="1276"/>
        <w:gridCol w:w="1276"/>
        <w:gridCol w:w="992"/>
        <w:gridCol w:w="955"/>
      </w:tblGrid>
      <w:tr w:rsidR="006C011D" w:rsidRPr="005A284F" w14:paraId="02DBEA26" w14:textId="77777777" w:rsidTr="00E94D55">
        <w:trPr>
          <w:trHeight w:val="240"/>
        </w:trPr>
        <w:tc>
          <w:tcPr>
            <w:tcW w:w="95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F79BA3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4431"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3BEA009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w:t>
            </w:r>
          </w:p>
        </w:tc>
        <w:tc>
          <w:tcPr>
            <w:tcW w:w="4499"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1B25593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w:t>
            </w:r>
          </w:p>
        </w:tc>
      </w:tr>
      <w:tr w:rsidR="006C011D" w:rsidRPr="005A284F" w14:paraId="750547A6" w14:textId="77777777" w:rsidTr="00E94D55">
        <w:trPr>
          <w:trHeight w:val="240"/>
        </w:trPr>
        <w:tc>
          <w:tcPr>
            <w:tcW w:w="95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9B26781" w14:textId="77777777" w:rsidR="006C011D" w:rsidRPr="005A284F" w:rsidRDefault="006C011D">
            <w:pPr>
              <w:rPr>
                <w:rFonts w:ascii="Times New Roman" w:eastAsia="宋体" w:hAnsi="Times New Roman" w:cs="Times New Roman"/>
              </w:rPr>
            </w:pPr>
          </w:p>
        </w:tc>
        <w:tc>
          <w:tcPr>
            <w:tcW w:w="1313" w:type="dxa"/>
            <w:tcBorders>
              <w:top w:val="single" w:sz="2" w:space="0" w:color="auto"/>
              <w:left w:val="single" w:sz="2" w:space="0" w:color="auto"/>
              <w:bottom w:val="single" w:sz="2" w:space="0" w:color="auto"/>
              <w:right w:val="single" w:sz="2" w:space="0" w:color="auto"/>
            </w:tcBorders>
            <w:shd w:val="clear" w:color="auto" w:fill="D3D3D3"/>
            <w:vAlign w:val="center"/>
          </w:tcPr>
          <w:p w14:paraId="5C39A67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账面余额</w:t>
            </w:r>
          </w:p>
        </w:tc>
        <w:tc>
          <w:tcPr>
            <w:tcW w:w="1191" w:type="dxa"/>
            <w:tcBorders>
              <w:top w:val="single" w:sz="2" w:space="0" w:color="auto"/>
              <w:left w:val="single" w:sz="2" w:space="0" w:color="auto"/>
              <w:bottom w:val="single" w:sz="2" w:space="0" w:color="auto"/>
              <w:right w:val="single" w:sz="2" w:space="0" w:color="auto"/>
            </w:tcBorders>
            <w:shd w:val="clear" w:color="auto" w:fill="D3D3D3"/>
            <w:vAlign w:val="center"/>
          </w:tcPr>
          <w:p w14:paraId="2AB3211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账面价值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508E8E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受限类型</w:t>
            </w:r>
          </w:p>
        </w:tc>
        <w:tc>
          <w:tcPr>
            <w:tcW w:w="856" w:type="dxa"/>
            <w:tcBorders>
              <w:top w:val="single" w:sz="2" w:space="0" w:color="auto"/>
              <w:left w:val="single" w:sz="2" w:space="0" w:color="auto"/>
              <w:bottom w:val="single" w:sz="2" w:space="0" w:color="auto"/>
              <w:right w:val="single" w:sz="2" w:space="0" w:color="auto"/>
            </w:tcBorders>
            <w:shd w:val="clear" w:color="auto" w:fill="D3D3D3"/>
            <w:vAlign w:val="center"/>
          </w:tcPr>
          <w:p w14:paraId="31DC1B0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受限情况</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640569A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账面余额</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3EB2250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账面价值</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5343215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受限类型</w:t>
            </w:r>
          </w:p>
        </w:tc>
        <w:tc>
          <w:tcPr>
            <w:tcW w:w="955" w:type="dxa"/>
            <w:tcBorders>
              <w:top w:val="single" w:sz="2" w:space="0" w:color="auto"/>
              <w:left w:val="single" w:sz="2" w:space="0" w:color="auto"/>
              <w:bottom w:val="single" w:sz="2" w:space="0" w:color="auto"/>
              <w:right w:val="single" w:sz="2" w:space="0" w:color="auto"/>
            </w:tcBorders>
            <w:shd w:val="clear" w:color="auto" w:fill="D3D3D3"/>
            <w:vAlign w:val="center"/>
          </w:tcPr>
          <w:p w14:paraId="5163998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受限情况</w:t>
            </w:r>
          </w:p>
        </w:tc>
      </w:tr>
      <w:tr w:rsidR="006C011D" w:rsidRPr="005A284F" w14:paraId="041BE58F" w14:textId="77777777" w:rsidTr="00E94D55">
        <w:trPr>
          <w:trHeight w:val="240"/>
        </w:trPr>
        <w:tc>
          <w:tcPr>
            <w:tcW w:w="956" w:type="dxa"/>
            <w:tcBorders>
              <w:top w:val="single" w:sz="2" w:space="0" w:color="auto"/>
              <w:left w:val="single" w:sz="2" w:space="0" w:color="auto"/>
              <w:bottom w:val="single" w:sz="2" w:space="0" w:color="auto"/>
              <w:right w:val="single" w:sz="2" w:space="0" w:color="auto"/>
            </w:tcBorders>
            <w:shd w:val="clear" w:color="auto" w:fill="D3D3D3"/>
            <w:vAlign w:val="center"/>
          </w:tcPr>
          <w:p w14:paraId="669A9E51"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货币资金</w:t>
            </w:r>
          </w:p>
        </w:tc>
        <w:tc>
          <w:tcPr>
            <w:tcW w:w="1313" w:type="dxa"/>
            <w:tcBorders>
              <w:top w:val="single" w:sz="2" w:space="0" w:color="auto"/>
              <w:left w:val="single" w:sz="2" w:space="0" w:color="auto"/>
              <w:bottom w:val="single" w:sz="2" w:space="0" w:color="auto"/>
              <w:right w:val="single" w:sz="2" w:space="0" w:color="auto"/>
            </w:tcBorders>
            <w:vAlign w:val="center"/>
          </w:tcPr>
          <w:p w14:paraId="54B882B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322,053,030.43</w:t>
            </w:r>
          </w:p>
        </w:tc>
        <w:tc>
          <w:tcPr>
            <w:tcW w:w="1191" w:type="dxa"/>
            <w:tcBorders>
              <w:top w:val="single" w:sz="2" w:space="0" w:color="auto"/>
              <w:left w:val="single" w:sz="2" w:space="0" w:color="auto"/>
              <w:bottom w:val="single" w:sz="2" w:space="0" w:color="auto"/>
              <w:right w:val="single" w:sz="2" w:space="0" w:color="auto"/>
            </w:tcBorders>
            <w:vAlign w:val="center"/>
          </w:tcPr>
          <w:p w14:paraId="457C430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322,053,030.43</w:t>
            </w:r>
          </w:p>
        </w:tc>
        <w:tc>
          <w:tcPr>
            <w:tcW w:w="1071" w:type="dxa"/>
            <w:tcBorders>
              <w:top w:val="single" w:sz="2" w:space="0" w:color="auto"/>
              <w:left w:val="single" w:sz="2" w:space="0" w:color="auto"/>
              <w:bottom w:val="single" w:sz="2" w:space="0" w:color="auto"/>
              <w:right w:val="single" w:sz="2" w:space="0" w:color="auto"/>
            </w:tcBorders>
            <w:vAlign w:val="center"/>
          </w:tcPr>
          <w:p w14:paraId="4B256B5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保证金、未决诉讼</w:t>
            </w:r>
          </w:p>
        </w:tc>
        <w:tc>
          <w:tcPr>
            <w:tcW w:w="856" w:type="dxa"/>
            <w:tcBorders>
              <w:top w:val="single" w:sz="2" w:space="0" w:color="auto"/>
              <w:left w:val="single" w:sz="2" w:space="0" w:color="auto"/>
              <w:bottom w:val="single" w:sz="2" w:space="0" w:color="auto"/>
              <w:right w:val="single" w:sz="2" w:space="0" w:color="auto"/>
            </w:tcBorders>
            <w:vAlign w:val="center"/>
          </w:tcPr>
          <w:p w14:paraId="7593E11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汇票及信用证保证金、未决诉讼等</w:t>
            </w:r>
          </w:p>
        </w:tc>
        <w:tc>
          <w:tcPr>
            <w:tcW w:w="1276" w:type="dxa"/>
            <w:tcBorders>
              <w:top w:val="single" w:sz="2" w:space="0" w:color="auto"/>
              <w:left w:val="single" w:sz="2" w:space="0" w:color="auto"/>
              <w:bottom w:val="single" w:sz="2" w:space="0" w:color="auto"/>
              <w:right w:val="single" w:sz="2" w:space="0" w:color="auto"/>
            </w:tcBorders>
            <w:vAlign w:val="center"/>
          </w:tcPr>
          <w:p w14:paraId="452F0C3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352,052,563.80</w:t>
            </w:r>
          </w:p>
        </w:tc>
        <w:tc>
          <w:tcPr>
            <w:tcW w:w="1276" w:type="dxa"/>
            <w:tcBorders>
              <w:top w:val="single" w:sz="2" w:space="0" w:color="auto"/>
              <w:left w:val="single" w:sz="2" w:space="0" w:color="auto"/>
              <w:bottom w:val="single" w:sz="2" w:space="0" w:color="auto"/>
              <w:right w:val="single" w:sz="2" w:space="0" w:color="auto"/>
            </w:tcBorders>
            <w:vAlign w:val="center"/>
          </w:tcPr>
          <w:p w14:paraId="38F38FB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352,052,563.80</w:t>
            </w:r>
          </w:p>
        </w:tc>
        <w:tc>
          <w:tcPr>
            <w:tcW w:w="992" w:type="dxa"/>
            <w:tcBorders>
              <w:top w:val="single" w:sz="2" w:space="0" w:color="auto"/>
              <w:left w:val="single" w:sz="2" w:space="0" w:color="auto"/>
              <w:bottom w:val="single" w:sz="2" w:space="0" w:color="auto"/>
              <w:right w:val="single" w:sz="2" w:space="0" w:color="auto"/>
            </w:tcBorders>
            <w:vAlign w:val="center"/>
          </w:tcPr>
          <w:p w14:paraId="72DE1AA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保证金、未决诉讼</w:t>
            </w:r>
          </w:p>
        </w:tc>
        <w:tc>
          <w:tcPr>
            <w:tcW w:w="955" w:type="dxa"/>
            <w:tcBorders>
              <w:top w:val="single" w:sz="2" w:space="0" w:color="auto"/>
              <w:left w:val="single" w:sz="2" w:space="0" w:color="auto"/>
              <w:bottom w:val="single" w:sz="2" w:space="0" w:color="auto"/>
              <w:right w:val="single" w:sz="2" w:space="0" w:color="auto"/>
            </w:tcBorders>
            <w:vAlign w:val="center"/>
          </w:tcPr>
          <w:p w14:paraId="4DB06B9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汇票及信用证保证金、未决诉讼等</w:t>
            </w:r>
          </w:p>
        </w:tc>
      </w:tr>
      <w:tr w:rsidR="006C011D" w:rsidRPr="005A284F" w14:paraId="14CF125A" w14:textId="77777777" w:rsidTr="00E94D55">
        <w:trPr>
          <w:trHeight w:val="240"/>
        </w:trPr>
        <w:tc>
          <w:tcPr>
            <w:tcW w:w="956" w:type="dxa"/>
            <w:tcBorders>
              <w:top w:val="single" w:sz="2" w:space="0" w:color="auto"/>
              <w:left w:val="single" w:sz="2" w:space="0" w:color="auto"/>
              <w:bottom w:val="single" w:sz="2" w:space="0" w:color="auto"/>
              <w:right w:val="single" w:sz="2" w:space="0" w:color="auto"/>
            </w:tcBorders>
            <w:shd w:val="clear" w:color="auto" w:fill="D3D3D3"/>
            <w:vAlign w:val="center"/>
          </w:tcPr>
          <w:p w14:paraId="3D425BCB"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固定资产</w:t>
            </w:r>
          </w:p>
        </w:tc>
        <w:tc>
          <w:tcPr>
            <w:tcW w:w="1313" w:type="dxa"/>
            <w:tcBorders>
              <w:top w:val="single" w:sz="2" w:space="0" w:color="auto"/>
              <w:left w:val="single" w:sz="2" w:space="0" w:color="auto"/>
              <w:bottom w:val="single" w:sz="2" w:space="0" w:color="auto"/>
              <w:right w:val="single" w:sz="2" w:space="0" w:color="auto"/>
            </w:tcBorders>
            <w:vAlign w:val="center"/>
          </w:tcPr>
          <w:p w14:paraId="35C8411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440,451,461.48</w:t>
            </w:r>
          </w:p>
        </w:tc>
        <w:tc>
          <w:tcPr>
            <w:tcW w:w="1191" w:type="dxa"/>
            <w:tcBorders>
              <w:top w:val="single" w:sz="2" w:space="0" w:color="auto"/>
              <w:left w:val="single" w:sz="2" w:space="0" w:color="auto"/>
              <w:bottom w:val="single" w:sz="2" w:space="0" w:color="auto"/>
              <w:right w:val="single" w:sz="2" w:space="0" w:color="auto"/>
            </w:tcBorders>
            <w:vAlign w:val="center"/>
          </w:tcPr>
          <w:p w14:paraId="5E7671C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440,451,461.48</w:t>
            </w:r>
          </w:p>
        </w:tc>
        <w:tc>
          <w:tcPr>
            <w:tcW w:w="1071" w:type="dxa"/>
            <w:tcBorders>
              <w:top w:val="single" w:sz="2" w:space="0" w:color="auto"/>
              <w:left w:val="single" w:sz="2" w:space="0" w:color="auto"/>
              <w:bottom w:val="single" w:sz="2" w:space="0" w:color="auto"/>
              <w:right w:val="single" w:sz="2" w:space="0" w:color="auto"/>
            </w:tcBorders>
            <w:vAlign w:val="center"/>
          </w:tcPr>
          <w:p w14:paraId="00F8291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抵押</w:t>
            </w:r>
          </w:p>
        </w:tc>
        <w:tc>
          <w:tcPr>
            <w:tcW w:w="856" w:type="dxa"/>
            <w:tcBorders>
              <w:top w:val="single" w:sz="2" w:space="0" w:color="auto"/>
              <w:left w:val="single" w:sz="2" w:space="0" w:color="auto"/>
              <w:bottom w:val="single" w:sz="2" w:space="0" w:color="auto"/>
              <w:right w:val="single" w:sz="2" w:space="0" w:color="auto"/>
            </w:tcBorders>
            <w:vAlign w:val="center"/>
          </w:tcPr>
          <w:p w14:paraId="4B4C9DC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借款抵押</w:t>
            </w:r>
          </w:p>
        </w:tc>
        <w:tc>
          <w:tcPr>
            <w:tcW w:w="1276" w:type="dxa"/>
            <w:tcBorders>
              <w:top w:val="single" w:sz="2" w:space="0" w:color="auto"/>
              <w:left w:val="single" w:sz="2" w:space="0" w:color="auto"/>
              <w:bottom w:val="single" w:sz="2" w:space="0" w:color="auto"/>
              <w:right w:val="single" w:sz="2" w:space="0" w:color="auto"/>
            </w:tcBorders>
            <w:vAlign w:val="center"/>
          </w:tcPr>
          <w:p w14:paraId="554EFB3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454,773,802.16</w:t>
            </w:r>
          </w:p>
        </w:tc>
        <w:tc>
          <w:tcPr>
            <w:tcW w:w="1276" w:type="dxa"/>
            <w:tcBorders>
              <w:top w:val="single" w:sz="2" w:space="0" w:color="auto"/>
              <w:left w:val="single" w:sz="2" w:space="0" w:color="auto"/>
              <w:bottom w:val="single" w:sz="2" w:space="0" w:color="auto"/>
              <w:right w:val="single" w:sz="2" w:space="0" w:color="auto"/>
            </w:tcBorders>
            <w:vAlign w:val="center"/>
          </w:tcPr>
          <w:p w14:paraId="520883A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454,773,802.16</w:t>
            </w:r>
          </w:p>
        </w:tc>
        <w:tc>
          <w:tcPr>
            <w:tcW w:w="992" w:type="dxa"/>
            <w:tcBorders>
              <w:top w:val="single" w:sz="2" w:space="0" w:color="auto"/>
              <w:left w:val="single" w:sz="2" w:space="0" w:color="auto"/>
              <w:bottom w:val="single" w:sz="2" w:space="0" w:color="auto"/>
              <w:right w:val="single" w:sz="2" w:space="0" w:color="auto"/>
            </w:tcBorders>
            <w:vAlign w:val="center"/>
          </w:tcPr>
          <w:p w14:paraId="2BAFCEF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抵押</w:t>
            </w:r>
          </w:p>
        </w:tc>
        <w:tc>
          <w:tcPr>
            <w:tcW w:w="955" w:type="dxa"/>
            <w:tcBorders>
              <w:top w:val="single" w:sz="2" w:space="0" w:color="auto"/>
              <w:left w:val="single" w:sz="2" w:space="0" w:color="auto"/>
              <w:bottom w:val="single" w:sz="2" w:space="0" w:color="auto"/>
              <w:right w:val="single" w:sz="2" w:space="0" w:color="auto"/>
            </w:tcBorders>
            <w:vAlign w:val="center"/>
          </w:tcPr>
          <w:p w14:paraId="12A310F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借款抵押</w:t>
            </w:r>
          </w:p>
        </w:tc>
      </w:tr>
      <w:tr w:rsidR="006C011D" w:rsidRPr="005A284F" w14:paraId="391BB61E" w14:textId="77777777" w:rsidTr="00E94D55">
        <w:trPr>
          <w:trHeight w:val="240"/>
        </w:trPr>
        <w:tc>
          <w:tcPr>
            <w:tcW w:w="956" w:type="dxa"/>
            <w:tcBorders>
              <w:top w:val="single" w:sz="2" w:space="0" w:color="auto"/>
              <w:left w:val="single" w:sz="2" w:space="0" w:color="auto"/>
              <w:bottom w:val="single" w:sz="2" w:space="0" w:color="auto"/>
              <w:right w:val="single" w:sz="2" w:space="0" w:color="auto"/>
            </w:tcBorders>
            <w:shd w:val="clear" w:color="auto" w:fill="D3D3D3"/>
            <w:vAlign w:val="center"/>
          </w:tcPr>
          <w:p w14:paraId="66FFBDC4"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无形资产</w:t>
            </w:r>
          </w:p>
        </w:tc>
        <w:tc>
          <w:tcPr>
            <w:tcW w:w="1313" w:type="dxa"/>
            <w:tcBorders>
              <w:top w:val="single" w:sz="2" w:space="0" w:color="auto"/>
              <w:left w:val="single" w:sz="2" w:space="0" w:color="auto"/>
              <w:bottom w:val="single" w:sz="2" w:space="0" w:color="auto"/>
              <w:right w:val="single" w:sz="2" w:space="0" w:color="auto"/>
            </w:tcBorders>
            <w:vAlign w:val="center"/>
          </w:tcPr>
          <w:p w14:paraId="7C1FF57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43,301,493.42</w:t>
            </w:r>
          </w:p>
        </w:tc>
        <w:tc>
          <w:tcPr>
            <w:tcW w:w="1191" w:type="dxa"/>
            <w:tcBorders>
              <w:top w:val="single" w:sz="2" w:space="0" w:color="auto"/>
              <w:left w:val="single" w:sz="2" w:space="0" w:color="auto"/>
              <w:bottom w:val="single" w:sz="2" w:space="0" w:color="auto"/>
              <w:right w:val="single" w:sz="2" w:space="0" w:color="auto"/>
            </w:tcBorders>
            <w:vAlign w:val="center"/>
          </w:tcPr>
          <w:p w14:paraId="7118102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43,301,493.42</w:t>
            </w:r>
          </w:p>
        </w:tc>
        <w:tc>
          <w:tcPr>
            <w:tcW w:w="1071" w:type="dxa"/>
            <w:tcBorders>
              <w:top w:val="single" w:sz="2" w:space="0" w:color="auto"/>
              <w:left w:val="single" w:sz="2" w:space="0" w:color="auto"/>
              <w:bottom w:val="single" w:sz="2" w:space="0" w:color="auto"/>
              <w:right w:val="single" w:sz="2" w:space="0" w:color="auto"/>
            </w:tcBorders>
            <w:vAlign w:val="center"/>
          </w:tcPr>
          <w:p w14:paraId="4331484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抵押</w:t>
            </w:r>
          </w:p>
        </w:tc>
        <w:tc>
          <w:tcPr>
            <w:tcW w:w="856" w:type="dxa"/>
            <w:tcBorders>
              <w:top w:val="single" w:sz="2" w:space="0" w:color="auto"/>
              <w:left w:val="single" w:sz="2" w:space="0" w:color="auto"/>
              <w:bottom w:val="single" w:sz="2" w:space="0" w:color="auto"/>
              <w:right w:val="single" w:sz="2" w:space="0" w:color="auto"/>
            </w:tcBorders>
            <w:vAlign w:val="center"/>
          </w:tcPr>
          <w:p w14:paraId="54AE424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借款抵押</w:t>
            </w:r>
          </w:p>
        </w:tc>
        <w:tc>
          <w:tcPr>
            <w:tcW w:w="1276" w:type="dxa"/>
            <w:tcBorders>
              <w:top w:val="single" w:sz="2" w:space="0" w:color="auto"/>
              <w:left w:val="single" w:sz="2" w:space="0" w:color="auto"/>
              <w:bottom w:val="single" w:sz="2" w:space="0" w:color="auto"/>
              <w:right w:val="single" w:sz="2" w:space="0" w:color="auto"/>
            </w:tcBorders>
            <w:vAlign w:val="center"/>
          </w:tcPr>
          <w:p w14:paraId="3C31750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43,853,129.28</w:t>
            </w:r>
          </w:p>
        </w:tc>
        <w:tc>
          <w:tcPr>
            <w:tcW w:w="1276" w:type="dxa"/>
            <w:tcBorders>
              <w:top w:val="single" w:sz="2" w:space="0" w:color="auto"/>
              <w:left w:val="single" w:sz="2" w:space="0" w:color="auto"/>
              <w:bottom w:val="single" w:sz="2" w:space="0" w:color="auto"/>
              <w:right w:val="single" w:sz="2" w:space="0" w:color="auto"/>
            </w:tcBorders>
            <w:vAlign w:val="center"/>
          </w:tcPr>
          <w:p w14:paraId="5062B80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43,853,129.28</w:t>
            </w:r>
          </w:p>
        </w:tc>
        <w:tc>
          <w:tcPr>
            <w:tcW w:w="992" w:type="dxa"/>
            <w:tcBorders>
              <w:top w:val="single" w:sz="2" w:space="0" w:color="auto"/>
              <w:left w:val="single" w:sz="2" w:space="0" w:color="auto"/>
              <w:bottom w:val="single" w:sz="2" w:space="0" w:color="auto"/>
              <w:right w:val="single" w:sz="2" w:space="0" w:color="auto"/>
            </w:tcBorders>
            <w:vAlign w:val="center"/>
          </w:tcPr>
          <w:p w14:paraId="763B9AE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抵押</w:t>
            </w:r>
          </w:p>
        </w:tc>
        <w:tc>
          <w:tcPr>
            <w:tcW w:w="955" w:type="dxa"/>
            <w:tcBorders>
              <w:top w:val="single" w:sz="2" w:space="0" w:color="auto"/>
              <w:left w:val="single" w:sz="2" w:space="0" w:color="auto"/>
              <w:bottom w:val="single" w:sz="2" w:space="0" w:color="auto"/>
              <w:right w:val="single" w:sz="2" w:space="0" w:color="auto"/>
            </w:tcBorders>
            <w:vAlign w:val="center"/>
          </w:tcPr>
          <w:p w14:paraId="67B22AA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借款抵押</w:t>
            </w:r>
          </w:p>
        </w:tc>
      </w:tr>
      <w:tr w:rsidR="006C011D" w:rsidRPr="005A284F" w14:paraId="70894A8C" w14:textId="77777777" w:rsidTr="00E94D55">
        <w:trPr>
          <w:trHeight w:val="240"/>
        </w:trPr>
        <w:tc>
          <w:tcPr>
            <w:tcW w:w="956" w:type="dxa"/>
            <w:tcBorders>
              <w:top w:val="single" w:sz="2" w:space="0" w:color="auto"/>
              <w:left w:val="single" w:sz="2" w:space="0" w:color="auto"/>
              <w:bottom w:val="single" w:sz="2" w:space="0" w:color="auto"/>
              <w:right w:val="single" w:sz="2" w:space="0" w:color="auto"/>
            </w:tcBorders>
            <w:vAlign w:val="center"/>
          </w:tcPr>
          <w:p w14:paraId="7726682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在建工程</w:t>
            </w:r>
          </w:p>
        </w:tc>
        <w:tc>
          <w:tcPr>
            <w:tcW w:w="1313" w:type="dxa"/>
            <w:tcBorders>
              <w:top w:val="single" w:sz="2" w:space="0" w:color="auto"/>
              <w:left w:val="single" w:sz="2" w:space="0" w:color="auto"/>
              <w:bottom w:val="single" w:sz="2" w:space="0" w:color="auto"/>
              <w:right w:val="single" w:sz="2" w:space="0" w:color="auto"/>
            </w:tcBorders>
            <w:vAlign w:val="center"/>
          </w:tcPr>
          <w:p w14:paraId="17757B8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157,263,638.79</w:t>
            </w:r>
          </w:p>
        </w:tc>
        <w:tc>
          <w:tcPr>
            <w:tcW w:w="1191" w:type="dxa"/>
            <w:tcBorders>
              <w:top w:val="single" w:sz="2" w:space="0" w:color="auto"/>
              <w:left w:val="single" w:sz="2" w:space="0" w:color="auto"/>
              <w:bottom w:val="single" w:sz="2" w:space="0" w:color="auto"/>
              <w:right w:val="single" w:sz="2" w:space="0" w:color="auto"/>
            </w:tcBorders>
            <w:vAlign w:val="center"/>
          </w:tcPr>
          <w:p w14:paraId="1111A7A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157,263,638.79</w:t>
            </w:r>
          </w:p>
        </w:tc>
        <w:tc>
          <w:tcPr>
            <w:tcW w:w="1071" w:type="dxa"/>
            <w:tcBorders>
              <w:top w:val="single" w:sz="2" w:space="0" w:color="auto"/>
              <w:left w:val="single" w:sz="2" w:space="0" w:color="auto"/>
              <w:bottom w:val="single" w:sz="2" w:space="0" w:color="auto"/>
              <w:right w:val="single" w:sz="2" w:space="0" w:color="auto"/>
            </w:tcBorders>
            <w:vAlign w:val="center"/>
          </w:tcPr>
          <w:p w14:paraId="6D59FD9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抵押</w:t>
            </w:r>
          </w:p>
        </w:tc>
        <w:tc>
          <w:tcPr>
            <w:tcW w:w="856" w:type="dxa"/>
            <w:tcBorders>
              <w:top w:val="single" w:sz="2" w:space="0" w:color="auto"/>
              <w:left w:val="single" w:sz="2" w:space="0" w:color="auto"/>
              <w:bottom w:val="single" w:sz="2" w:space="0" w:color="auto"/>
              <w:right w:val="single" w:sz="2" w:space="0" w:color="auto"/>
            </w:tcBorders>
            <w:vAlign w:val="center"/>
          </w:tcPr>
          <w:p w14:paraId="3063A6F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借款抵押</w:t>
            </w:r>
          </w:p>
        </w:tc>
        <w:tc>
          <w:tcPr>
            <w:tcW w:w="1276" w:type="dxa"/>
            <w:tcBorders>
              <w:top w:val="single" w:sz="2" w:space="0" w:color="auto"/>
              <w:left w:val="single" w:sz="2" w:space="0" w:color="auto"/>
              <w:bottom w:val="single" w:sz="2" w:space="0" w:color="auto"/>
              <w:right w:val="single" w:sz="2" w:space="0" w:color="auto"/>
            </w:tcBorders>
            <w:vAlign w:val="center"/>
          </w:tcPr>
          <w:p w14:paraId="7A08077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153,544,405.44</w:t>
            </w:r>
          </w:p>
        </w:tc>
        <w:tc>
          <w:tcPr>
            <w:tcW w:w="1276" w:type="dxa"/>
            <w:tcBorders>
              <w:top w:val="single" w:sz="2" w:space="0" w:color="auto"/>
              <w:left w:val="single" w:sz="2" w:space="0" w:color="auto"/>
              <w:bottom w:val="single" w:sz="2" w:space="0" w:color="auto"/>
              <w:right w:val="single" w:sz="2" w:space="0" w:color="auto"/>
            </w:tcBorders>
            <w:vAlign w:val="center"/>
          </w:tcPr>
          <w:p w14:paraId="211489D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153,544,405.44</w:t>
            </w:r>
          </w:p>
        </w:tc>
        <w:tc>
          <w:tcPr>
            <w:tcW w:w="992" w:type="dxa"/>
            <w:tcBorders>
              <w:top w:val="single" w:sz="2" w:space="0" w:color="auto"/>
              <w:left w:val="single" w:sz="2" w:space="0" w:color="auto"/>
              <w:bottom w:val="single" w:sz="2" w:space="0" w:color="auto"/>
              <w:right w:val="single" w:sz="2" w:space="0" w:color="auto"/>
            </w:tcBorders>
            <w:vAlign w:val="center"/>
          </w:tcPr>
          <w:p w14:paraId="2BF832B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抵押</w:t>
            </w:r>
          </w:p>
        </w:tc>
        <w:tc>
          <w:tcPr>
            <w:tcW w:w="955" w:type="dxa"/>
            <w:tcBorders>
              <w:top w:val="single" w:sz="2" w:space="0" w:color="auto"/>
              <w:left w:val="single" w:sz="2" w:space="0" w:color="auto"/>
              <w:bottom w:val="single" w:sz="2" w:space="0" w:color="auto"/>
              <w:right w:val="single" w:sz="2" w:space="0" w:color="auto"/>
            </w:tcBorders>
            <w:vAlign w:val="center"/>
          </w:tcPr>
          <w:p w14:paraId="6BBDEF1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借款抵押</w:t>
            </w:r>
          </w:p>
        </w:tc>
      </w:tr>
      <w:tr w:rsidR="006C011D" w:rsidRPr="005A284F" w14:paraId="0D956710" w14:textId="77777777" w:rsidTr="00E94D55">
        <w:trPr>
          <w:trHeight w:val="240"/>
        </w:trPr>
        <w:tc>
          <w:tcPr>
            <w:tcW w:w="956" w:type="dxa"/>
            <w:tcBorders>
              <w:top w:val="single" w:sz="2" w:space="0" w:color="auto"/>
              <w:left w:val="single" w:sz="2" w:space="0" w:color="auto"/>
              <w:bottom w:val="single" w:sz="2" w:space="0" w:color="auto"/>
              <w:right w:val="single" w:sz="2" w:space="0" w:color="auto"/>
            </w:tcBorders>
            <w:shd w:val="clear" w:color="auto" w:fill="D3D3D3"/>
            <w:vAlign w:val="center"/>
          </w:tcPr>
          <w:p w14:paraId="5DFDC1F0"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1313" w:type="dxa"/>
            <w:tcBorders>
              <w:top w:val="single" w:sz="2" w:space="0" w:color="auto"/>
              <w:left w:val="single" w:sz="2" w:space="0" w:color="auto"/>
              <w:bottom w:val="single" w:sz="2" w:space="0" w:color="auto"/>
              <w:right w:val="single" w:sz="2" w:space="0" w:color="auto"/>
            </w:tcBorders>
            <w:vAlign w:val="center"/>
          </w:tcPr>
          <w:p w14:paraId="6B05EF5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963,069,624.12</w:t>
            </w:r>
          </w:p>
        </w:tc>
        <w:tc>
          <w:tcPr>
            <w:tcW w:w="1191" w:type="dxa"/>
            <w:tcBorders>
              <w:top w:val="single" w:sz="2" w:space="0" w:color="auto"/>
              <w:left w:val="single" w:sz="2" w:space="0" w:color="auto"/>
              <w:bottom w:val="single" w:sz="2" w:space="0" w:color="auto"/>
              <w:right w:val="single" w:sz="2" w:space="0" w:color="auto"/>
            </w:tcBorders>
            <w:vAlign w:val="center"/>
          </w:tcPr>
          <w:p w14:paraId="5DBD11E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963,069,624.12</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9640D67" w14:textId="77777777" w:rsidR="006C011D" w:rsidRPr="005A284F" w:rsidRDefault="006C011D">
            <w:pPr>
              <w:rPr>
                <w:rFonts w:ascii="Times New Roman" w:eastAsia="宋体" w:hAnsi="Times New Roman" w:cs="Times New Roman"/>
              </w:rPr>
            </w:pPr>
          </w:p>
        </w:tc>
        <w:tc>
          <w:tcPr>
            <w:tcW w:w="856" w:type="dxa"/>
            <w:tcBorders>
              <w:top w:val="single" w:sz="2" w:space="0" w:color="auto"/>
              <w:left w:val="single" w:sz="2" w:space="0" w:color="auto"/>
              <w:bottom w:val="single" w:sz="2" w:space="0" w:color="auto"/>
              <w:right w:val="single" w:sz="2" w:space="0" w:color="auto"/>
            </w:tcBorders>
            <w:shd w:val="clear" w:color="auto" w:fill="D3D3D3"/>
            <w:vAlign w:val="center"/>
          </w:tcPr>
          <w:p w14:paraId="4E62FD63" w14:textId="77777777" w:rsidR="006C011D" w:rsidRPr="005A284F" w:rsidRDefault="006C011D">
            <w:pPr>
              <w:rPr>
                <w:rFonts w:ascii="Times New Roman" w:eastAsia="宋体" w:hAnsi="Times New Roman" w:cs="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14:paraId="469F980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1,004,223,900.68</w:t>
            </w:r>
          </w:p>
        </w:tc>
        <w:tc>
          <w:tcPr>
            <w:tcW w:w="1276" w:type="dxa"/>
            <w:tcBorders>
              <w:top w:val="single" w:sz="2" w:space="0" w:color="auto"/>
              <w:left w:val="single" w:sz="2" w:space="0" w:color="auto"/>
              <w:bottom w:val="single" w:sz="2" w:space="0" w:color="auto"/>
              <w:right w:val="single" w:sz="2" w:space="0" w:color="auto"/>
            </w:tcBorders>
            <w:vAlign w:val="center"/>
          </w:tcPr>
          <w:p w14:paraId="739929C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1,004,223,900.68</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55E579B5" w14:textId="77777777" w:rsidR="006C011D" w:rsidRPr="005A284F" w:rsidRDefault="006C011D">
            <w:pPr>
              <w:rPr>
                <w:rFonts w:ascii="Times New Roman" w:eastAsia="宋体" w:hAnsi="Times New Roman" w:cs="Times New Roman"/>
              </w:rPr>
            </w:pPr>
          </w:p>
        </w:tc>
        <w:tc>
          <w:tcPr>
            <w:tcW w:w="955" w:type="dxa"/>
            <w:tcBorders>
              <w:top w:val="single" w:sz="2" w:space="0" w:color="auto"/>
              <w:left w:val="single" w:sz="2" w:space="0" w:color="auto"/>
              <w:bottom w:val="single" w:sz="2" w:space="0" w:color="auto"/>
              <w:right w:val="single" w:sz="2" w:space="0" w:color="auto"/>
            </w:tcBorders>
            <w:shd w:val="clear" w:color="auto" w:fill="D3D3D3"/>
            <w:vAlign w:val="center"/>
          </w:tcPr>
          <w:p w14:paraId="5F7B05AB" w14:textId="77777777" w:rsidR="006C011D" w:rsidRPr="005A284F" w:rsidRDefault="006C011D">
            <w:pPr>
              <w:rPr>
                <w:rFonts w:ascii="Times New Roman" w:eastAsia="宋体" w:hAnsi="Times New Roman" w:cs="Times New Roman"/>
              </w:rPr>
            </w:pPr>
          </w:p>
        </w:tc>
      </w:tr>
    </w:tbl>
    <w:p w14:paraId="379F808B"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w:t>
      </w:r>
    </w:p>
    <w:p w14:paraId="7D132304" w14:textId="77777777" w:rsidR="000309B5" w:rsidRPr="005A284F" w:rsidRDefault="00000000">
      <w:pPr>
        <w:pStyle w:val="a3"/>
        <w:divId w:val="320230678"/>
        <w:rPr>
          <w:rFonts w:ascii="Times New Roman" w:hAnsi="Times New Roman" w:cs="Times New Roman"/>
          <w:sz w:val="18"/>
          <w:szCs w:val="18"/>
        </w:rPr>
      </w:pPr>
      <w:r w:rsidRPr="005A284F">
        <w:rPr>
          <w:rFonts w:ascii="Times New Roman" w:hAnsi="Times New Roman" w:cs="Times New Roman"/>
          <w:sz w:val="18"/>
          <w:szCs w:val="18"/>
        </w:rPr>
        <w:t>无</w:t>
      </w:r>
    </w:p>
    <w:p w14:paraId="62335E71" w14:textId="77777777" w:rsidR="006C011D" w:rsidRPr="005A284F" w:rsidRDefault="00000000">
      <w:pPr>
        <w:pStyle w:val="3"/>
        <w:spacing w:line="280" w:lineRule="exact"/>
        <w:jc w:val="left"/>
        <w:rPr>
          <w:rFonts w:ascii="Times New Roman" w:hAnsi="Times New Roman" w:cs="Times New Roman"/>
          <w:b/>
          <w:bCs/>
        </w:rPr>
      </w:pPr>
      <w:bookmarkStart w:id="268" w:name="_Toc989196"/>
      <w:r w:rsidRPr="005A284F">
        <w:rPr>
          <w:rFonts w:ascii="Times New Roman" w:hAnsi="Times New Roman" w:cs="Times New Roman"/>
          <w:b/>
          <w:bCs/>
        </w:rPr>
        <w:t>32</w:t>
      </w:r>
      <w:r w:rsidRPr="005A284F">
        <w:rPr>
          <w:rFonts w:ascii="Times New Roman" w:hAnsi="Times New Roman" w:cs="Times New Roman"/>
          <w:b/>
          <w:bCs/>
        </w:rPr>
        <w:t>、短期借款</w:t>
      </w:r>
      <w:bookmarkEnd w:id="268"/>
    </w:p>
    <w:p w14:paraId="67BAF6FB" w14:textId="77777777"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69" w:name="_Toc989197"/>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1</w:t>
      </w:r>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 xml:space="preserve"> </w:t>
      </w:r>
      <w:r w:rsidRPr="005A284F">
        <w:rPr>
          <w:rFonts w:ascii="Times New Roman" w:eastAsia="宋体" w:hAnsi="Times New Roman" w:cs="Times New Roman"/>
          <w:b/>
          <w:bCs/>
          <w:sz w:val="21"/>
          <w:szCs w:val="21"/>
        </w:rPr>
        <w:t>短期借款分类</w:t>
      </w:r>
      <w:bookmarkEnd w:id="269"/>
    </w:p>
    <w:p w14:paraId="0AA1E489"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7AF6C7F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C91E1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93DBF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69EEB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r>
      <w:tr w:rsidR="006C011D" w:rsidRPr="005A284F" w14:paraId="48D8723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62AD31"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质押借款</w:t>
            </w:r>
          </w:p>
        </w:tc>
        <w:tc>
          <w:tcPr>
            <w:tcW w:w="3213" w:type="dxa"/>
            <w:tcBorders>
              <w:top w:val="single" w:sz="2" w:space="0" w:color="auto"/>
              <w:left w:val="single" w:sz="2" w:space="0" w:color="auto"/>
              <w:bottom w:val="single" w:sz="2" w:space="0" w:color="auto"/>
              <w:right w:val="single" w:sz="2" w:space="0" w:color="auto"/>
            </w:tcBorders>
            <w:vAlign w:val="center"/>
          </w:tcPr>
          <w:p w14:paraId="2C9B244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6CB1B0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9,000,000.00</w:t>
            </w:r>
          </w:p>
        </w:tc>
      </w:tr>
      <w:tr w:rsidR="006C011D" w:rsidRPr="005A284F" w14:paraId="2489071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A3B627"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抵押借款</w:t>
            </w:r>
          </w:p>
        </w:tc>
        <w:tc>
          <w:tcPr>
            <w:tcW w:w="3213" w:type="dxa"/>
            <w:tcBorders>
              <w:top w:val="single" w:sz="2" w:space="0" w:color="auto"/>
              <w:left w:val="single" w:sz="2" w:space="0" w:color="auto"/>
              <w:bottom w:val="single" w:sz="2" w:space="0" w:color="auto"/>
              <w:right w:val="single" w:sz="2" w:space="0" w:color="auto"/>
            </w:tcBorders>
            <w:vAlign w:val="center"/>
          </w:tcPr>
          <w:p w14:paraId="4D8FB2C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349,000,000.00</w:t>
            </w:r>
          </w:p>
        </w:tc>
        <w:tc>
          <w:tcPr>
            <w:tcW w:w="3213" w:type="dxa"/>
            <w:tcBorders>
              <w:top w:val="single" w:sz="2" w:space="0" w:color="auto"/>
              <w:left w:val="single" w:sz="2" w:space="0" w:color="auto"/>
              <w:bottom w:val="single" w:sz="2" w:space="0" w:color="auto"/>
              <w:right w:val="single" w:sz="2" w:space="0" w:color="auto"/>
            </w:tcBorders>
            <w:vAlign w:val="center"/>
          </w:tcPr>
          <w:p w14:paraId="1CCAA0D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350,000,000.00</w:t>
            </w:r>
          </w:p>
        </w:tc>
      </w:tr>
      <w:tr w:rsidR="006C011D" w:rsidRPr="005A284F" w14:paraId="3F4D3C3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E1AC90"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保证借款</w:t>
            </w:r>
          </w:p>
        </w:tc>
        <w:tc>
          <w:tcPr>
            <w:tcW w:w="3213" w:type="dxa"/>
            <w:tcBorders>
              <w:top w:val="single" w:sz="2" w:space="0" w:color="auto"/>
              <w:left w:val="single" w:sz="2" w:space="0" w:color="auto"/>
              <w:bottom w:val="single" w:sz="2" w:space="0" w:color="auto"/>
              <w:right w:val="single" w:sz="2" w:space="0" w:color="auto"/>
            </w:tcBorders>
            <w:vAlign w:val="center"/>
          </w:tcPr>
          <w:p w14:paraId="67A5D46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568,190,000.00</w:t>
            </w:r>
          </w:p>
        </w:tc>
        <w:tc>
          <w:tcPr>
            <w:tcW w:w="3213" w:type="dxa"/>
            <w:tcBorders>
              <w:top w:val="single" w:sz="2" w:space="0" w:color="auto"/>
              <w:left w:val="single" w:sz="2" w:space="0" w:color="auto"/>
              <w:bottom w:val="single" w:sz="2" w:space="0" w:color="auto"/>
              <w:right w:val="single" w:sz="2" w:space="0" w:color="auto"/>
            </w:tcBorders>
            <w:vAlign w:val="center"/>
          </w:tcPr>
          <w:p w14:paraId="5FD3115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592,685,669.91</w:t>
            </w:r>
          </w:p>
        </w:tc>
      </w:tr>
      <w:tr w:rsidR="006C011D" w:rsidRPr="005A284F" w14:paraId="6607E94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0B6B90"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信用借款</w:t>
            </w:r>
          </w:p>
        </w:tc>
        <w:tc>
          <w:tcPr>
            <w:tcW w:w="3213" w:type="dxa"/>
            <w:tcBorders>
              <w:top w:val="single" w:sz="2" w:space="0" w:color="auto"/>
              <w:left w:val="single" w:sz="2" w:space="0" w:color="auto"/>
              <w:bottom w:val="single" w:sz="2" w:space="0" w:color="auto"/>
              <w:right w:val="single" w:sz="2" w:space="0" w:color="auto"/>
            </w:tcBorders>
            <w:vAlign w:val="center"/>
          </w:tcPr>
          <w:p w14:paraId="7E2A308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9,990,000.00</w:t>
            </w:r>
          </w:p>
        </w:tc>
        <w:tc>
          <w:tcPr>
            <w:tcW w:w="3213" w:type="dxa"/>
            <w:tcBorders>
              <w:top w:val="single" w:sz="2" w:space="0" w:color="auto"/>
              <w:left w:val="single" w:sz="2" w:space="0" w:color="auto"/>
              <w:bottom w:val="single" w:sz="2" w:space="0" w:color="auto"/>
              <w:right w:val="single" w:sz="2" w:space="0" w:color="auto"/>
            </w:tcBorders>
            <w:vAlign w:val="center"/>
          </w:tcPr>
          <w:p w14:paraId="3394943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12,990,000.00</w:t>
            </w:r>
          </w:p>
        </w:tc>
      </w:tr>
      <w:tr w:rsidR="006C011D" w:rsidRPr="005A284F" w14:paraId="5CF0860D"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88C87E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应收票据贴现借款</w:t>
            </w:r>
          </w:p>
        </w:tc>
        <w:tc>
          <w:tcPr>
            <w:tcW w:w="3213" w:type="dxa"/>
            <w:tcBorders>
              <w:top w:val="single" w:sz="2" w:space="0" w:color="auto"/>
              <w:left w:val="single" w:sz="2" w:space="0" w:color="auto"/>
              <w:bottom w:val="single" w:sz="2" w:space="0" w:color="auto"/>
              <w:right w:val="single" w:sz="2" w:space="0" w:color="auto"/>
            </w:tcBorders>
            <w:vAlign w:val="center"/>
          </w:tcPr>
          <w:p w14:paraId="22469D9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622,546,571.36</w:t>
            </w:r>
          </w:p>
        </w:tc>
        <w:tc>
          <w:tcPr>
            <w:tcW w:w="3213" w:type="dxa"/>
            <w:tcBorders>
              <w:top w:val="single" w:sz="2" w:space="0" w:color="auto"/>
              <w:left w:val="single" w:sz="2" w:space="0" w:color="auto"/>
              <w:bottom w:val="single" w:sz="2" w:space="0" w:color="auto"/>
              <w:right w:val="single" w:sz="2" w:space="0" w:color="auto"/>
            </w:tcBorders>
            <w:vAlign w:val="center"/>
          </w:tcPr>
          <w:p w14:paraId="0A182FD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664,042,286.13</w:t>
            </w:r>
          </w:p>
        </w:tc>
      </w:tr>
      <w:tr w:rsidR="006C011D" w:rsidRPr="005A284F" w14:paraId="74C2247C"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25381F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应付短期借款利息</w:t>
            </w:r>
          </w:p>
        </w:tc>
        <w:tc>
          <w:tcPr>
            <w:tcW w:w="3213" w:type="dxa"/>
            <w:tcBorders>
              <w:top w:val="single" w:sz="2" w:space="0" w:color="auto"/>
              <w:left w:val="single" w:sz="2" w:space="0" w:color="auto"/>
              <w:bottom w:val="single" w:sz="2" w:space="0" w:color="auto"/>
              <w:right w:val="single" w:sz="2" w:space="0" w:color="auto"/>
            </w:tcBorders>
            <w:vAlign w:val="center"/>
          </w:tcPr>
          <w:p w14:paraId="28AE4B2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1,205,560.59</w:t>
            </w:r>
          </w:p>
        </w:tc>
        <w:tc>
          <w:tcPr>
            <w:tcW w:w="3213" w:type="dxa"/>
            <w:tcBorders>
              <w:top w:val="single" w:sz="2" w:space="0" w:color="auto"/>
              <w:left w:val="single" w:sz="2" w:space="0" w:color="auto"/>
              <w:bottom w:val="single" w:sz="2" w:space="0" w:color="auto"/>
              <w:right w:val="single" w:sz="2" w:space="0" w:color="auto"/>
            </w:tcBorders>
            <w:vAlign w:val="center"/>
          </w:tcPr>
          <w:p w14:paraId="41870B1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1,106,707.43</w:t>
            </w:r>
          </w:p>
        </w:tc>
      </w:tr>
      <w:tr w:rsidR="006C011D" w:rsidRPr="005A284F" w14:paraId="59385E6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FE97C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0120C3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1,550,932,131.95</w:t>
            </w:r>
          </w:p>
        </w:tc>
        <w:tc>
          <w:tcPr>
            <w:tcW w:w="3213" w:type="dxa"/>
            <w:tcBorders>
              <w:top w:val="single" w:sz="2" w:space="0" w:color="auto"/>
              <w:left w:val="single" w:sz="2" w:space="0" w:color="auto"/>
              <w:bottom w:val="single" w:sz="2" w:space="0" w:color="auto"/>
              <w:right w:val="single" w:sz="2" w:space="0" w:color="auto"/>
            </w:tcBorders>
            <w:vAlign w:val="center"/>
          </w:tcPr>
          <w:p w14:paraId="4F6B0F5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1,629,824,663.47</w:t>
            </w:r>
          </w:p>
        </w:tc>
      </w:tr>
    </w:tbl>
    <w:p w14:paraId="6289E503"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短期借款分类的说明：</w:t>
      </w:r>
    </w:p>
    <w:p w14:paraId="5F239741" w14:textId="77777777" w:rsidR="000309B5" w:rsidRPr="005A284F" w:rsidRDefault="00000000">
      <w:pPr>
        <w:pStyle w:val="a3"/>
        <w:divId w:val="51928084"/>
        <w:rPr>
          <w:rFonts w:ascii="Times New Roman" w:hAnsi="Times New Roman" w:cs="Times New Roman"/>
          <w:sz w:val="18"/>
          <w:szCs w:val="18"/>
        </w:rPr>
      </w:pPr>
      <w:r w:rsidRPr="005A284F">
        <w:rPr>
          <w:rFonts w:ascii="Times New Roman" w:hAnsi="Times New Roman" w:cs="Times New Roman"/>
          <w:sz w:val="18"/>
          <w:szCs w:val="18"/>
        </w:rPr>
        <w:t>无</w:t>
      </w:r>
    </w:p>
    <w:p w14:paraId="736E796B" w14:textId="48E1FB97"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70" w:name="_Toc989198"/>
      <w:r w:rsidRPr="005A284F">
        <w:rPr>
          <w:rFonts w:ascii="Times New Roman" w:eastAsia="宋体" w:hAnsi="Times New Roman" w:cs="Times New Roman"/>
          <w:b/>
          <w:bCs/>
          <w:sz w:val="21"/>
          <w:szCs w:val="21"/>
        </w:rPr>
        <w:lastRenderedPageBreak/>
        <w:t>（</w:t>
      </w:r>
      <w:r w:rsidRPr="005A284F">
        <w:rPr>
          <w:rFonts w:ascii="Times New Roman" w:eastAsia="宋体" w:hAnsi="Times New Roman" w:cs="Times New Roman"/>
          <w:b/>
          <w:bCs/>
          <w:sz w:val="21"/>
          <w:szCs w:val="21"/>
        </w:rPr>
        <w:t>2</w:t>
      </w:r>
      <w:r w:rsidRPr="005A284F">
        <w:rPr>
          <w:rFonts w:ascii="Times New Roman" w:eastAsia="宋体" w:hAnsi="Times New Roman" w:cs="Times New Roman"/>
          <w:b/>
          <w:bCs/>
          <w:sz w:val="21"/>
          <w:szCs w:val="21"/>
        </w:rPr>
        <w:t>）已逾期未偿还的短期借款情况</w:t>
      </w:r>
      <w:bookmarkEnd w:id="270"/>
    </w:p>
    <w:p w14:paraId="0D8840B6" w14:textId="77777777" w:rsidR="000309B5" w:rsidRPr="005A284F" w:rsidRDefault="00000000">
      <w:pPr>
        <w:pStyle w:val="a3"/>
        <w:divId w:val="92438220"/>
        <w:rPr>
          <w:rFonts w:ascii="Times New Roman" w:hAnsi="Times New Roman" w:cs="Times New Roman"/>
          <w:sz w:val="18"/>
          <w:szCs w:val="18"/>
        </w:rPr>
      </w:pPr>
      <w:r w:rsidRPr="005A284F">
        <w:rPr>
          <w:rFonts w:ascii="Times New Roman" w:hAnsi="Times New Roman" w:cs="Times New Roman"/>
          <w:sz w:val="18"/>
          <w:szCs w:val="18"/>
        </w:rPr>
        <w:t>无</w:t>
      </w:r>
    </w:p>
    <w:p w14:paraId="3F2736E6" w14:textId="77777777" w:rsidR="006C011D" w:rsidRPr="005A284F" w:rsidRDefault="00000000">
      <w:pPr>
        <w:pStyle w:val="3"/>
        <w:spacing w:line="280" w:lineRule="exact"/>
        <w:jc w:val="left"/>
        <w:rPr>
          <w:rFonts w:ascii="Times New Roman" w:hAnsi="Times New Roman" w:cs="Times New Roman"/>
          <w:b/>
          <w:bCs/>
        </w:rPr>
      </w:pPr>
      <w:bookmarkStart w:id="271" w:name="_Toc989199"/>
      <w:r w:rsidRPr="005A284F">
        <w:rPr>
          <w:rFonts w:ascii="Times New Roman" w:hAnsi="Times New Roman" w:cs="Times New Roman"/>
          <w:b/>
          <w:bCs/>
        </w:rPr>
        <w:t>33</w:t>
      </w:r>
      <w:r w:rsidRPr="005A284F">
        <w:rPr>
          <w:rFonts w:ascii="Times New Roman" w:hAnsi="Times New Roman" w:cs="Times New Roman"/>
          <w:b/>
          <w:bCs/>
        </w:rPr>
        <w:t>、交易性金融负债</w:t>
      </w:r>
      <w:bookmarkEnd w:id="271"/>
    </w:p>
    <w:p w14:paraId="08C52069" w14:textId="77777777" w:rsidR="000309B5" w:rsidRPr="005A284F" w:rsidRDefault="00000000">
      <w:pPr>
        <w:pStyle w:val="a3"/>
        <w:divId w:val="410006053"/>
        <w:rPr>
          <w:rFonts w:ascii="Times New Roman" w:hAnsi="Times New Roman" w:cs="Times New Roman"/>
          <w:sz w:val="18"/>
          <w:szCs w:val="18"/>
        </w:rPr>
      </w:pPr>
      <w:r w:rsidRPr="005A284F">
        <w:rPr>
          <w:rFonts w:ascii="Times New Roman" w:hAnsi="Times New Roman" w:cs="Times New Roman"/>
          <w:sz w:val="18"/>
          <w:szCs w:val="18"/>
        </w:rPr>
        <w:t>无</w:t>
      </w:r>
    </w:p>
    <w:p w14:paraId="0D79226E" w14:textId="77777777" w:rsidR="006C011D" w:rsidRPr="005A284F" w:rsidRDefault="00000000">
      <w:pPr>
        <w:pStyle w:val="3"/>
        <w:spacing w:line="280" w:lineRule="exact"/>
        <w:jc w:val="left"/>
        <w:rPr>
          <w:rFonts w:ascii="Times New Roman" w:hAnsi="Times New Roman" w:cs="Times New Roman"/>
          <w:b/>
          <w:bCs/>
        </w:rPr>
      </w:pPr>
      <w:bookmarkStart w:id="272" w:name="_Toc989200"/>
      <w:r w:rsidRPr="005A284F">
        <w:rPr>
          <w:rFonts w:ascii="Times New Roman" w:hAnsi="Times New Roman" w:cs="Times New Roman"/>
          <w:b/>
          <w:bCs/>
        </w:rPr>
        <w:t>34</w:t>
      </w:r>
      <w:r w:rsidRPr="005A284F">
        <w:rPr>
          <w:rFonts w:ascii="Times New Roman" w:hAnsi="Times New Roman" w:cs="Times New Roman"/>
          <w:b/>
          <w:bCs/>
        </w:rPr>
        <w:t>、衍生金融负债</w:t>
      </w:r>
      <w:bookmarkEnd w:id="272"/>
    </w:p>
    <w:p w14:paraId="2F8F1D9D" w14:textId="77777777" w:rsidR="000309B5" w:rsidRPr="005A284F" w:rsidRDefault="00000000">
      <w:pPr>
        <w:pStyle w:val="a3"/>
        <w:divId w:val="218631415"/>
        <w:rPr>
          <w:rFonts w:ascii="Times New Roman" w:hAnsi="Times New Roman" w:cs="Times New Roman"/>
          <w:sz w:val="18"/>
          <w:szCs w:val="18"/>
        </w:rPr>
      </w:pPr>
      <w:r w:rsidRPr="005A284F">
        <w:rPr>
          <w:rFonts w:ascii="Times New Roman" w:hAnsi="Times New Roman" w:cs="Times New Roman"/>
          <w:sz w:val="18"/>
          <w:szCs w:val="18"/>
        </w:rPr>
        <w:t>无</w:t>
      </w:r>
    </w:p>
    <w:p w14:paraId="206FDAE4" w14:textId="77777777" w:rsidR="006C011D" w:rsidRPr="005A284F" w:rsidRDefault="00000000">
      <w:pPr>
        <w:pStyle w:val="3"/>
        <w:spacing w:line="280" w:lineRule="exact"/>
        <w:jc w:val="left"/>
        <w:rPr>
          <w:rFonts w:ascii="Times New Roman" w:hAnsi="Times New Roman" w:cs="Times New Roman"/>
          <w:b/>
          <w:bCs/>
        </w:rPr>
      </w:pPr>
      <w:bookmarkStart w:id="273" w:name="_Toc989201"/>
      <w:r w:rsidRPr="005A284F">
        <w:rPr>
          <w:rFonts w:ascii="Times New Roman" w:hAnsi="Times New Roman" w:cs="Times New Roman"/>
          <w:b/>
          <w:bCs/>
        </w:rPr>
        <w:t>35</w:t>
      </w:r>
      <w:r w:rsidRPr="005A284F">
        <w:rPr>
          <w:rFonts w:ascii="Times New Roman" w:hAnsi="Times New Roman" w:cs="Times New Roman"/>
          <w:b/>
          <w:bCs/>
        </w:rPr>
        <w:t>、应付票据</w:t>
      </w:r>
      <w:bookmarkEnd w:id="273"/>
    </w:p>
    <w:p w14:paraId="7E2D21E9"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495A1DF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7AD39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种类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15248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25FCA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r>
      <w:tr w:rsidR="006C011D" w:rsidRPr="005A284F" w14:paraId="439D882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3D106F"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商业承兑汇票</w:t>
            </w:r>
          </w:p>
        </w:tc>
        <w:tc>
          <w:tcPr>
            <w:tcW w:w="3213" w:type="dxa"/>
            <w:tcBorders>
              <w:top w:val="single" w:sz="2" w:space="0" w:color="auto"/>
              <w:left w:val="single" w:sz="2" w:space="0" w:color="auto"/>
              <w:bottom w:val="single" w:sz="2" w:space="0" w:color="auto"/>
              <w:right w:val="single" w:sz="2" w:space="0" w:color="auto"/>
            </w:tcBorders>
            <w:vAlign w:val="center"/>
          </w:tcPr>
          <w:p w14:paraId="3EAC3B8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07495A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25,056,257.25</w:t>
            </w:r>
          </w:p>
        </w:tc>
      </w:tr>
      <w:tr w:rsidR="006C011D" w:rsidRPr="005A284F" w14:paraId="19A8464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7BFB7C"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银行承兑汇票</w:t>
            </w:r>
          </w:p>
        </w:tc>
        <w:tc>
          <w:tcPr>
            <w:tcW w:w="3213" w:type="dxa"/>
            <w:tcBorders>
              <w:top w:val="single" w:sz="2" w:space="0" w:color="auto"/>
              <w:left w:val="single" w:sz="2" w:space="0" w:color="auto"/>
              <w:bottom w:val="single" w:sz="2" w:space="0" w:color="auto"/>
              <w:right w:val="single" w:sz="2" w:space="0" w:color="auto"/>
            </w:tcBorders>
            <w:vAlign w:val="center"/>
          </w:tcPr>
          <w:p w14:paraId="686B7EF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180,000,000.00</w:t>
            </w:r>
          </w:p>
        </w:tc>
        <w:tc>
          <w:tcPr>
            <w:tcW w:w="3213" w:type="dxa"/>
            <w:tcBorders>
              <w:top w:val="single" w:sz="2" w:space="0" w:color="auto"/>
              <w:left w:val="single" w:sz="2" w:space="0" w:color="auto"/>
              <w:bottom w:val="single" w:sz="2" w:space="0" w:color="auto"/>
              <w:right w:val="single" w:sz="2" w:space="0" w:color="auto"/>
            </w:tcBorders>
            <w:vAlign w:val="center"/>
          </w:tcPr>
          <w:p w14:paraId="7EF1B48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269,419,792.77</w:t>
            </w:r>
          </w:p>
        </w:tc>
      </w:tr>
      <w:tr w:rsidR="006C011D" w:rsidRPr="005A284F" w14:paraId="2912E3B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9C454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711B16A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180,000,000.00</w:t>
            </w:r>
          </w:p>
        </w:tc>
        <w:tc>
          <w:tcPr>
            <w:tcW w:w="3213" w:type="dxa"/>
            <w:tcBorders>
              <w:top w:val="single" w:sz="2" w:space="0" w:color="auto"/>
              <w:left w:val="single" w:sz="2" w:space="0" w:color="auto"/>
              <w:bottom w:val="single" w:sz="2" w:space="0" w:color="auto"/>
              <w:right w:val="single" w:sz="2" w:space="0" w:color="auto"/>
            </w:tcBorders>
            <w:vAlign w:val="center"/>
          </w:tcPr>
          <w:p w14:paraId="373FE3C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294,476,050.02</w:t>
            </w:r>
          </w:p>
        </w:tc>
      </w:tr>
    </w:tbl>
    <w:p w14:paraId="54B614A8" w14:textId="029942AD"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本期末已到期未支付的应付票据总额为</w:t>
      </w:r>
      <w:r w:rsidRPr="005A284F">
        <w:rPr>
          <w:rFonts w:ascii="Times New Roman" w:eastAsia="宋体" w:hAnsi="Times New Roman" w:cs="Times New Roman"/>
          <w:sz w:val="18"/>
          <w:szCs w:val="18"/>
        </w:rPr>
        <w:t>0.00</w:t>
      </w:r>
      <w:r w:rsidRPr="005A284F">
        <w:rPr>
          <w:rFonts w:ascii="Times New Roman" w:eastAsia="宋体" w:hAnsi="Times New Roman" w:cs="Times New Roman"/>
          <w:sz w:val="18"/>
          <w:szCs w:val="18"/>
        </w:rPr>
        <w:t>元。</w:t>
      </w:r>
    </w:p>
    <w:p w14:paraId="68434792" w14:textId="77777777" w:rsidR="006C011D" w:rsidRPr="005A284F" w:rsidRDefault="00000000">
      <w:pPr>
        <w:pStyle w:val="3"/>
        <w:spacing w:line="280" w:lineRule="exact"/>
        <w:jc w:val="left"/>
        <w:rPr>
          <w:rFonts w:ascii="Times New Roman" w:hAnsi="Times New Roman" w:cs="Times New Roman"/>
          <w:b/>
          <w:bCs/>
        </w:rPr>
      </w:pPr>
      <w:bookmarkStart w:id="274" w:name="_Toc989202"/>
      <w:r w:rsidRPr="005A284F">
        <w:rPr>
          <w:rFonts w:ascii="Times New Roman" w:hAnsi="Times New Roman" w:cs="Times New Roman"/>
          <w:b/>
          <w:bCs/>
        </w:rPr>
        <w:t>36</w:t>
      </w:r>
      <w:r w:rsidRPr="005A284F">
        <w:rPr>
          <w:rFonts w:ascii="Times New Roman" w:hAnsi="Times New Roman" w:cs="Times New Roman"/>
          <w:b/>
          <w:bCs/>
        </w:rPr>
        <w:t>、应付账款</w:t>
      </w:r>
      <w:bookmarkEnd w:id="274"/>
    </w:p>
    <w:p w14:paraId="781DA45F" w14:textId="6F57850B" w:rsidR="006C011D" w:rsidRPr="005A284F" w:rsidRDefault="00000000">
      <w:pPr>
        <w:keepNext/>
        <w:keepLines/>
        <w:spacing w:before="300" w:after="300" w:line="280" w:lineRule="exact"/>
        <w:outlineLvl w:val="3"/>
        <w:rPr>
          <w:rFonts w:ascii="Times New Roman" w:eastAsia="宋体" w:hAnsi="Times New Roman" w:cs="Times New Roman"/>
          <w:b/>
          <w:bCs/>
          <w:sz w:val="18"/>
          <w:szCs w:val="18"/>
        </w:rPr>
      </w:pPr>
      <w:bookmarkStart w:id="275" w:name="_Toc989203"/>
      <w:r w:rsidRPr="005A284F">
        <w:rPr>
          <w:rFonts w:ascii="Times New Roman" w:eastAsia="宋体" w:hAnsi="Times New Roman" w:cs="Times New Roman"/>
          <w:b/>
          <w:bCs/>
          <w:sz w:val="18"/>
          <w:szCs w:val="18"/>
        </w:rPr>
        <w:t>（</w:t>
      </w:r>
      <w:r w:rsidRPr="005A284F">
        <w:rPr>
          <w:rFonts w:ascii="Times New Roman" w:eastAsia="宋体" w:hAnsi="Times New Roman" w:cs="Times New Roman"/>
          <w:b/>
          <w:bCs/>
          <w:sz w:val="18"/>
          <w:szCs w:val="18"/>
        </w:rPr>
        <w:t>1</w:t>
      </w:r>
      <w:r w:rsidRPr="005A284F">
        <w:rPr>
          <w:rFonts w:ascii="Times New Roman" w:eastAsia="宋体" w:hAnsi="Times New Roman" w:cs="Times New Roman"/>
          <w:b/>
          <w:bCs/>
          <w:sz w:val="18"/>
          <w:szCs w:val="18"/>
        </w:rPr>
        <w:t>）应付账款列示</w:t>
      </w:r>
      <w:bookmarkEnd w:id="275"/>
    </w:p>
    <w:p w14:paraId="2437C5C7"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7CD0D16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AB211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22036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E8F37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r>
      <w:tr w:rsidR="006C011D" w:rsidRPr="005A284F" w14:paraId="5A3C57B7"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1FF417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应付材料采购款</w:t>
            </w:r>
          </w:p>
        </w:tc>
        <w:tc>
          <w:tcPr>
            <w:tcW w:w="3213" w:type="dxa"/>
            <w:tcBorders>
              <w:top w:val="single" w:sz="2" w:space="0" w:color="auto"/>
              <w:left w:val="single" w:sz="2" w:space="0" w:color="auto"/>
              <w:bottom w:val="single" w:sz="2" w:space="0" w:color="auto"/>
              <w:right w:val="single" w:sz="2" w:space="0" w:color="auto"/>
            </w:tcBorders>
            <w:vAlign w:val="center"/>
          </w:tcPr>
          <w:p w14:paraId="687EC68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336,444,766.04</w:t>
            </w:r>
          </w:p>
        </w:tc>
        <w:tc>
          <w:tcPr>
            <w:tcW w:w="3213" w:type="dxa"/>
            <w:tcBorders>
              <w:top w:val="single" w:sz="2" w:space="0" w:color="auto"/>
              <w:left w:val="single" w:sz="2" w:space="0" w:color="auto"/>
              <w:bottom w:val="single" w:sz="2" w:space="0" w:color="auto"/>
              <w:right w:val="single" w:sz="2" w:space="0" w:color="auto"/>
            </w:tcBorders>
            <w:vAlign w:val="center"/>
          </w:tcPr>
          <w:p w14:paraId="6293C6B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357,418,958.10</w:t>
            </w:r>
          </w:p>
        </w:tc>
      </w:tr>
      <w:tr w:rsidR="006C011D" w:rsidRPr="005A284F" w14:paraId="315EC5A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7FDE88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应付固定资产采购款</w:t>
            </w:r>
          </w:p>
        </w:tc>
        <w:tc>
          <w:tcPr>
            <w:tcW w:w="3213" w:type="dxa"/>
            <w:tcBorders>
              <w:top w:val="single" w:sz="2" w:space="0" w:color="auto"/>
              <w:left w:val="single" w:sz="2" w:space="0" w:color="auto"/>
              <w:bottom w:val="single" w:sz="2" w:space="0" w:color="auto"/>
              <w:right w:val="single" w:sz="2" w:space="0" w:color="auto"/>
            </w:tcBorders>
            <w:vAlign w:val="center"/>
          </w:tcPr>
          <w:p w14:paraId="42CDCC0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129,396,830.08</w:t>
            </w:r>
          </w:p>
        </w:tc>
        <w:tc>
          <w:tcPr>
            <w:tcW w:w="3213" w:type="dxa"/>
            <w:tcBorders>
              <w:top w:val="single" w:sz="2" w:space="0" w:color="auto"/>
              <w:left w:val="single" w:sz="2" w:space="0" w:color="auto"/>
              <w:bottom w:val="single" w:sz="2" w:space="0" w:color="auto"/>
              <w:right w:val="single" w:sz="2" w:space="0" w:color="auto"/>
            </w:tcBorders>
            <w:vAlign w:val="center"/>
          </w:tcPr>
          <w:p w14:paraId="6C19B5C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143,759,721.61</w:t>
            </w:r>
          </w:p>
        </w:tc>
      </w:tr>
      <w:tr w:rsidR="006C011D" w:rsidRPr="005A284F" w14:paraId="5B2CCFC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D20412"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62F2DCE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465,841,596.12</w:t>
            </w:r>
          </w:p>
        </w:tc>
        <w:tc>
          <w:tcPr>
            <w:tcW w:w="3213" w:type="dxa"/>
            <w:tcBorders>
              <w:top w:val="single" w:sz="2" w:space="0" w:color="auto"/>
              <w:left w:val="single" w:sz="2" w:space="0" w:color="auto"/>
              <w:bottom w:val="single" w:sz="2" w:space="0" w:color="auto"/>
              <w:right w:val="single" w:sz="2" w:space="0" w:color="auto"/>
            </w:tcBorders>
            <w:vAlign w:val="center"/>
          </w:tcPr>
          <w:p w14:paraId="1A12B81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501,178,679.71</w:t>
            </w:r>
          </w:p>
        </w:tc>
      </w:tr>
    </w:tbl>
    <w:p w14:paraId="612AD596" w14:textId="0B97DE8D" w:rsidR="006C011D" w:rsidRPr="005A284F" w:rsidRDefault="00000000">
      <w:pPr>
        <w:keepNext/>
        <w:keepLines/>
        <w:spacing w:before="300" w:after="300" w:line="280" w:lineRule="exact"/>
        <w:outlineLvl w:val="3"/>
        <w:rPr>
          <w:rFonts w:ascii="Times New Roman" w:eastAsia="宋体" w:hAnsi="Times New Roman" w:cs="Times New Roman"/>
          <w:b/>
          <w:bCs/>
          <w:sz w:val="18"/>
          <w:szCs w:val="18"/>
        </w:rPr>
      </w:pPr>
      <w:bookmarkStart w:id="276" w:name="_Toc989204"/>
      <w:r w:rsidRPr="005A284F">
        <w:rPr>
          <w:rFonts w:ascii="Times New Roman" w:eastAsia="宋体" w:hAnsi="Times New Roman" w:cs="Times New Roman"/>
          <w:b/>
          <w:bCs/>
          <w:sz w:val="18"/>
          <w:szCs w:val="18"/>
        </w:rPr>
        <w:t>（</w:t>
      </w:r>
      <w:r w:rsidRPr="005A284F">
        <w:rPr>
          <w:rFonts w:ascii="Times New Roman" w:eastAsia="宋体" w:hAnsi="Times New Roman" w:cs="Times New Roman"/>
          <w:b/>
          <w:bCs/>
          <w:sz w:val="18"/>
          <w:szCs w:val="18"/>
        </w:rPr>
        <w:t>2</w:t>
      </w:r>
      <w:r w:rsidRPr="005A284F">
        <w:rPr>
          <w:rFonts w:ascii="Times New Roman" w:eastAsia="宋体" w:hAnsi="Times New Roman" w:cs="Times New Roman"/>
          <w:b/>
          <w:bCs/>
          <w:sz w:val="18"/>
          <w:szCs w:val="18"/>
        </w:rPr>
        <w:t>）账龄超过</w:t>
      </w:r>
      <w:r w:rsidRPr="005A284F">
        <w:rPr>
          <w:rFonts w:ascii="Times New Roman" w:eastAsia="宋体" w:hAnsi="Times New Roman" w:cs="Times New Roman"/>
          <w:b/>
          <w:bCs/>
          <w:sz w:val="18"/>
          <w:szCs w:val="18"/>
        </w:rPr>
        <w:t>1</w:t>
      </w:r>
      <w:r w:rsidRPr="005A284F">
        <w:rPr>
          <w:rFonts w:ascii="Times New Roman" w:eastAsia="宋体" w:hAnsi="Times New Roman" w:cs="Times New Roman"/>
          <w:b/>
          <w:bCs/>
          <w:sz w:val="18"/>
          <w:szCs w:val="18"/>
        </w:rPr>
        <w:t>年或逾期的重要应付账款</w:t>
      </w:r>
      <w:bookmarkEnd w:id="276"/>
    </w:p>
    <w:p w14:paraId="3E68D175" w14:textId="77777777" w:rsidR="000309B5" w:rsidRPr="005A284F" w:rsidRDefault="00000000">
      <w:pPr>
        <w:pStyle w:val="a3"/>
        <w:divId w:val="1942645582"/>
        <w:rPr>
          <w:rFonts w:ascii="Times New Roman" w:hAnsi="Times New Roman" w:cs="Times New Roman"/>
          <w:sz w:val="18"/>
          <w:szCs w:val="18"/>
        </w:rPr>
      </w:pPr>
      <w:r w:rsidRPr="005A284F">
        <w:rPr>
          <w:rFonts w:ascii="Times New Roman" w:hAnsi="Times New Roman" w:cs="Times New Roman"/>
          <w:sz w:val="18"/>
          <w:szCs w:val="18"/>
        </w:rPr>
        <w:t>无</w:t>
      </w:r>
    </w:p>
    <w:p w14:paraId="5638593C" w14:textId="77777777" w:rsidR="006C011D" w:rsidRPr="005A284F" w:rsidRDefault="00000000">
      <w:pPr>
        <w:pStyle w:val="3"/>
        <w:spacing w:line="280" w:lineRule="exact"/>
        <w:jc w:val="left"/>
        <w:rPr>
          <w:rFonts w:ascii="Times New Roman" w:hAnsi="Times New Roman" w:cs="Times New Roman"/>
          <w:b/>
          <w:bCs/>
        </w:rPr>
      </w:pPr>
      <w:bookmarkStart w:id="277" w:name="_Toc989205"/>
      <w:r w:rsidRPr="005A284F">
        <w:rPr>
          <w:rFonts w:ascii="Times New Roman" w:hAnsi="Times New Roman" w:cs="Times New Roman"/>
          <w:b/>
          <w:bCs/>
        </w:rPr>
        <w:t>37</w:t>
      </w:r>
      <w:r w:rsidRPr="005A284F">
        <w:rPr>
          <w:rFonts w:ascii="Times New Roman" w:hAnsi="Times New Roman" w:cs="Times New Roman"/>
          <w:b/>
          <w:bCs/>
        </w:rPr>
        <w:t>、其他应付款</w:t>
      </w:r>
      <w:bookmarkEnd w:id="277"/>
    </w:p>
    <w:p w14:paraId="4AC42392"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244C892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956A8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24E31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288A3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r>
      <w:tr w:rsidR="006C011D" w:rsidRPr="005A284F" w14:paraId="3D6F61C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355C61"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14:paraId="4525C13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192,643,585.87</w:t>
            </w:r>
          </w:p>
        </w:tc>
        <w:tc>
          <w:tcPr>
            <w:tcW w:w="3213" w:type="dxa"/>
            <w:tcBorders>
              <w:top w:val="single" w:sz="2" w:space="0" w:color="auto"/>
              <w:left w:val="single" w:sz="2" w:space="0" w:color="auto"/>
              <w:bottom w:val="single" w:sz="2" w:space="0" w:color="auto"/>
              <w:right w:val="single" w:sz="2" w:space="0" w:color="auto"/>
            </w:tcBorders>
            <w:vAlign w:val="center"/>
          </w:tcPr>
          <w:p w14:paraId="54723BD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180,775,039.13</w:t>
            </w:r>
          </w:p>
        </w:tc>
      </w:tr>
      <w:tr w:rsidR="006C011D" w:rsidRPr="005A284F" w14:paraId="382F645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07F17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CC7C6C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192,643,585.87</w:t>
            </w:r>
          </w:p>
        </w:tc>
        <w:tc>
          <w:tcPr>
            <w:tcW w:w="3213" w:type="dxa"/>
            <w:tcBorders>
              <w:top w:val="single" w:sz="2" w:space="0" w:color="auto"/>
              <w:left w:val="single" w:sz="2" w:space="0" w:color="auto"/>
              <w:bottom w:val="single" w:sz="2" w:space="0" w:color="auto"/>
              <w:right w:val="single" w:sz="2" w:space="0" w:color="auto"/>
            </w:tcBorders>
            <w:vAlign w:val="center"/>
          </w:tcPr>
          <w:p w14:paraId="272100F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180,775,039.13</w:t>
            </w:r>
          </w:p>
        </w:tc>
      </w:tr>
    </w:tbl>
    <w:p w14:paraId="0D2A330F" w14:textId="5C417BE5"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78" w:name="_Toc989206"/>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1</w:t>
      </w:r>
      <w:r w:rsidRPr="005A284F">
        <w:rPr>
          <w:rFonts w:ascii="Times New Roman" w:eastAsia="宋体" w:hAnsi="Times New Roman" w:cs="Times New Roman"/>
          <w:b/>
          <w:bCs/>
          <w:sz w:val="21"/>
          <w:szCs w:val="21"/>
        </w:rPr>
        <w:t>）应付利息</w:t>
      </w:r>
      <w:bookmarkEnd w:id="278"/>
    </w:p>
    <w:p w14:paraId="17B21FC3" w14:textId="77777777" w:rsidR="000309B5" w:rsidRPr="005A284F" w:rsidRDefault="00000000">
      <w:pPr>
        <w:pStyle w:val="a3"/>
        <w:divId w:val="158230185"/>
        <w:rPr>
          <w:rFonts w:ascii="Times New Roman" w:hAnsi="Times New Roman" w:cs="Times New Roman"/>
          <w:sz w:val="18"/>
          <w:szCs w:val="18"/>
        </w:rPr>
      </w:pPr>
      <w:r w:rsidRPr="005A284F">
        <w:rPr>
          <w:rFonts w:ascii="Times New Roman" w:hAnsi="Times New Roman" w:cs="Times New Roman"/>
          <w:sz w:val="18"/>
          <w:szCs w:val="18"/>
        </w:rPr>
        <w:t>无</w:t>
      </w:r>
    </w:p>
    <w:p w14:paraId="27794C51" w14:textId="573AF4A1"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79" w:name="_Toc989207"/>
      <w:r w:rsidRPr="005A284F">
        <w:rPr>
          <w:rFonts w:ascii="Times New Roman" w:eastAsia="宋体" w:hAnsi="Times New Roman" w:cs="Times New Roman"/>
          <w:b/>
          <w:bCs/>
          <w:sz w:val="21"/>
          <w:szCs w:val="21"/>
        </w:rPr>
        <w:lastRenderedPageBreak/>
        <w:t>（</w:t>
      </w:r>
      <w:r w:rsidRPr="005A284F">
        <w:rPr>
          <w:rFonts w:ascii="Times New Roman" w:eastAsia="宋体" w:hAnsi="Times New Roman" w:cs="Times New Roman"/>
          <w:b/>
          <w:bCs/>
          <w:sz w:val="21"/>
          <w:szCs w:val="21"/>
        </w:rPr>
        <w:t>2</w:t>
      </w:r>
      <w:r w:rsidRPr="005A284F">
        <w:rPr>
          <w:rFonts w:ascii="Times New Roman" w:eastAsia="宋体" w:hAnsi="Times New Roman" w:cs="Times New Roman"/>
          <w:b/>
          <w:bCs/>
          <w:sz w:val="21"/>
          <w:szCs w:val="21"/>
        </w:rPr>
        <w:t>）应付股利</w:t>
      </w:r>
      <w:bookmarkEnd w:id="279"/>
    </w:p>
    <w:p w14:paraId="059E7C58" w14:textId="77777777" w:rsidR="00E94D55" w:rsidRPr="005A284F" w:rsidRDefault="00E94D55" w:rsidP="00E94D55">
      <w:pPr>
        <w:pStyle w:val="a3"/>
        <w:rPr>
          <w:rFonts w:ascii="Times New Roman" w:hAnsi="Times New Roman" w:cs="Times New Roman"/>
          <w:sz w:val="18"/>
          <w:szCs w:val="18"/>
        </w:rPr>
      </w:pPr>
      <w:bookmarkStart w:id="280" w:name="_Toc989208"/>
      <w:r w:rsidRPr="005A284F">
        <w:rPr>
          <w:rFonts w:ascii="Times New Roman" w:hAnsi="Times New Roman" w:cs="Times New Roman"/>
          <w:sz w:val="18"/>
          <w:szCs w:val="18"/>
        </w:rPr>
        <w:t>无</w:t>
      </w:r>
    </w:p>
    <w:p w14:paraId="17C64221" w14:textId="76347632"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3</w:t>
      </w:r>
      <w:r w:rsidRPr="005A284F">
        <w:rPr>
          <w:rFonts w:ascii="Times New Roman" w:eastAsia="宋体" w:hAnsi="Times New Roman" w:cs="Times New Roman"/>
          <w:b/>
          <w:bCs/>
          <w:sz w:val="21"/>
          <w:szCs w:val="21"/>
        </w:rPr>
        <w:t>）其他应付款</w:t>
      </w:r>
      <w:bookmarkEnd w:id="280"/>
    </w:p>
    <w:p w14:paraId="2BE3A336" w14:textId="307EA728" w:rsidR="006C011D" w:rsidRPr="005A284F" w:rsidRDefault="00000000">
      <w:pPr>
        <w:keepNext/>
        <w:keepLines/>
        <w:spacing w:before="300" w:after="300" w:line="280" w:lineRule="exact"/>
        <w:outlineLvl w:val="4"/>
        <w:rPr>
          <w:rFonts w:ascii="Times New Roman" w:eastAsia="宋体" w:hAnsi="Times New Roman" w:cs="Times New Roman"/>
          <w:b/>
          <w:bCs/>
          <w:sz w:val="18"/>
          <w:szCs w:val="18"/>
        </w:rPr>
      </w:pPr>
      <w:bookmarkStart w:id="281" w:name="_Toc989209"/>
      <w:r w:rsidRPr="005A284F">
        <w:rPr>
          <w:rFonts w:ascii="Times New Roman" w:eastAsia="宋体" w:hAnsi="Times New Roman" w:cs="Times New Roman"/>
          <w:b/>
          <w:bCs/>
          <w:sz w:val="18"/>
          <w:szCs w:val="18"/>
        </w:rPr>
        <w:t>1</w:t>
      </w:r>
      <w:r w:rsidRPr="005A284F">
        <w:rPr>
          <w:rFonts w:ascii="Times New Roman" w:eastAsia="宋体" w:hAnsi="Times New Roman" w:cs="Times New Roman"/>
          <w:b/>
          <w:bCs/>
          <w:sz w:val="18"/>
          <w:szCs w:val="18"/>
        </w:rPr>
        <w:t>）按款项性质列示其他应付款</w:t>
      </w:r>
      <w:bookmarkEnd w:id="281"/>
    </w:p>
    <w:p w14:paraId="56F9236F"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660D0B7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D14AD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30FB1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1C704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r>
      <w:tr w:rsidR="006C011D" w:rsidRPr="005A284F" w14:paraId="363CC98D"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D7ED29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保证金、押金</w:t>
            </w:r>
          </w:p>
        </w:tc>
        <w:tc>
          <w:tcPr>
            <w:tcW w:w="3213" w:type="dxa"/>
            <w:tcBorders>
              <w:top w:val="single" w:sz="2" w:space="0" w:color="auto"/>
              <w:left w:val="single" w:sz="2" w:space="0" w:color="auto"/>
              <w:bottom w:val="single" w:sz="2" w:space="0" w:color="auto"/>
              <w:right w:val="single" w:sz="2" w:space="0" w:color="auto"/>
            </w:tcBorders>
            <w:vAlign w:val="center"/>
          </w:tcPr>
          <w:p w14:paraId="2561C15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104,203,968.56</w:t>
            </w:r>
          </w:p>
        </w:tc>
        <w:tc>
          <w:tcPr>
            <w:tcW w:w="3213" w:type="dxa"/>
            <w:tcBorders>
              <w:top w:val="single" w:sz="2" w:space="0" w:color="auto"/>
              <w:left w:val="single" w:sz="2" w:space="0" w:color="auto"/>
              <w:bottom w:val="single" w:sz="2" w:space="0" w:color="auto"/>
              <w:right w:val="single" w:sz="2" w:space="0" w:color="auto"/>
            </w:tcBorders>
            <w:vAlign w:val="center"/>
          </w:tcPr>
          <w:p w14:paraId="3242582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105,154,228.35</w:t>
            </w:r>
          </w:p>
        </w:tc>
      </w:tr>
      <w:tr w:rsidR="006C011D" w:rsidRPr="005A284F" w14:paraId="280416C1"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50D09F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预提费用</w:t>
            </w:r>
          </w:p>
        </w:tc>
        <w:tc>
          <w:tcPr>
            <w:tcW w:w="3213" w:type="dxa"/>
            <w:tcBorders>
              <w:top w:val="single" w:sz="2" w:space="0" w:color="auto"/>
              <w:left w:val="single" w:sz="2" w:space="0" w:color="auto"/>
              <w:bottom w:val="single" w:sz="2" w:space="0" w:color="auto"/>
              <w:right w:val="single" w:sz="2" w:space="0" w:color="auto"/>
            </w:tcBorders>
            <w:vAlign w:val="center"/>
          </w:tcPr>
          <w:p w14:paraId="7043A66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82,082,343.12</w:t>
            </w:r>
          </w:p>
        </w:tc>
        <w:tc>
          <w:tcPr>
            <w:tcW w:w="3213" w:type="dxa"/>
            <w:tcBorders>
              <w:top w:val="single" w:sz="2" w:space="0" w:color="auto"/>
              <w:left w:val="single" w:sz="2" w:space="0" w:color="auto"/>
              <w:bottom w:val="single" w:sz="2" w:space="0" w:color="auto"/>
              <w:right w:val="single" w:sz="2" w:space="0" w:color="auto"/>
            </w:tcBorders>
            <w:vAlign w:val="center"/>
          </w:tcPr>
          <w:p w14:paraId="6E54030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68,663,375.22</w:t>
            </w:r>
          </w:p>
        </w:tc>
      </w:tr>
      <w:tr w:rsidR="006C011D" w:rsidRPr="005A284F" w14:paraId="2D087024"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FE9B86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04548D3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6,357,274.19</w:t>
            </w:r>
          </w:p>
        </w:tc>
        <w:tc>
          <w:tcPr>
            <w:tcW w:w="3213" w:type="dxa"/>
            <w:tcBorders>
              <w:top w:val="single" w:sz="2" w:space="0" w:color="auto"/>
              <w:left w:val="single" w:sz="2" w:space="0" w:color="auto"/>
              <w:bottom w:val="single" w:sz="2" w:space="0" w:color="auto"/>
              <w:right w:val="single" w:sz="2" w:space="0" w:color="auto"/>
            </w:tcBorders>
            <w:vAlign w:val="center"/>
          </w:tcPr>
          <w:p w14:paraId="3ABAD84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6,957,435.56</w:t>
            </w:r>
          </w:p>
        </w:tc>
      </w:tr>
      <w:tr w:rsidR="006C011D" w:rsidRPr="005A284F" w14:paraId="2227864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C2E614"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B014E4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192,643,585.87</w:t>
            </w:r>
          </w:p>
        </w:tc>
        <w:tc>
          <w:tcPr>
            <w:tcW w:w="3213" w:type="dxa"/>
            <w:tcBorders>
              <w:top w:val="single" w:sz="2" w:space="0" w:color="auto"/>
              <w:left w:val="single" w:sz="2" w:space="0" w:color="auto"/>
              <w:bottom w:val="single" w:sz="2" w:space="0" w:color="auto"/>
              <w:right w:val="single" w:sz="2" w:space="0" w:color="auto"/>
            </w:tcBorders>
            <w:vAlign w:val="center"/>
          </w:tcPr>
          <w:p w14:paraId="0C25D34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180,775,039.13</w:t>
            </w:r>
          </w:p>
        </w:tc>
      </w:tr>
    </w:tbl>
    <w:p w14:paraId="6156A403" w14:textId="55A749DC" w:rsidR="006C011D" w:rsidRPr="005A284F" w:rsidRDefault="00000000">
      <w:pPr>
        <w:keepNext/>
        <w:keepLines/>
        <w:spacing w:before="300" w:after="300" w:line="280" w:lineRule="exact"/>
        <w:outlineLvl w:val="4"/>
        <w:rPr>
          <w:rFonts w:ascii="Times New Roman" w:eastAsia="宋体" w:hAnsi="Times New Roman" w:cs="Times New Roman"/>
          <w:b/>
          <w:bCs/>
          <w:sz w:val="18"/>
          <w:szCs w:val="18"/>
        </w:rPr>
      </w:pPr>
      <w:bookmarkStart w:id="282" w:name="_Toc989210"/>
      <w:r w:rsidRPr="005A284F">
        <w:rPr>
          <w:rFonts w:ascii="Times New Roman" w:eastAsia="宋体" w:hAnsi="Times New Roman" w:cs="Times New Roman"/>
          <w:b/>
          <w:bCs/>
          <w:sz w:val="18"/>
          <w:szCs w:val="18"/>
        </w:rPr>
        <w:t>2</w:t>
      </w:r>
      <w:r w:rsidRPr="005A284F">
        <w:rPr>
          <w:rFonts w:ascii="Times New Roman" w:eastAsia="宋体" w:hAnsi="Times New Roman" w:cs="Times New Roman"/>
          <w:b/>
          <w:bCs/>
          <w:sz w:val="18"/>
          <w:szCs w:val="18"/>
        </w:rPr>
        <w:t>）账龄超过</w:t>
      </w:r>
      <w:r w:rsidRPr="005A284F">
        <w:rPr>
          <w:rFonts w:ascii="Times New Roman" w:eastAsia="宋体" w:hAnsi="Times New Roman" w:cs="Times New Roman"/>
          <w:b/>
          <w:bCs/>
          <w:sz w:val="18"/>
          <w:szCs w:val="18"/>
        </w:rPr>
        <w:t>1</w:t>
      </w:r>
      <w:r w:rsidRPr="005A284F">
        <w:rPr>
          <w:rFonts w:ascii="Times New Roman" w:eastAsia="宋体" w:hAnsi="Times New Roman" w:cs="Times New Roman"/>
          <w:b/>
          <w:bCs/>
          <w:sz w:val="18"/>
          <w:szCs w:val="18"/>
        </w:rPr>
        <w:t>年或逾期的重要其他应付款</w:t>
      </w:r>
      <w:bookmarkEnd w:id="282"/>
    </w:p>
    <w:p w14:paraId="4AB920E1" w14:textId="77777777" w:rsidR="000309B5" w:rsidRPr="005A284F" w:rsidRDefault="00000000">
      <w:pPr>
        <w:pStyle w:val="a3"/>
        <w:divId w:val="584190654"/>
        <w:rPr>
          <w:rFonts w:ascii="Times New Roman" w:hAnsi="Times New Roman" w:cs="Times New Roman"/>
          <w:sz w:val="18"/>
          <w:szCs w:val="18"/>
        </w:rPr>
      </w:pPr>
      <w:r w:rsidRPr="005A284F">
        <w:rPr>
          <w:rFonts w:ascii="Times New Roman" w:hAnsi="Times New Roman" w:cs="Times New Roman"/>
          <w:sz w:val="18"/>
          <w:szCs w:val="18"/>
        </w:rPr>
        <w:t>无</w:t>
      </w:r>
    </w:p>
    <w:p w14:paraId="3B2F273D" w14:textId="77777777" w:rsidR="006C011D" w:rsidRPr="005A284F" w:rsidRDefault="00000000">
      <w:pPr>
        <w:pStyle w:val="3"/>
        <w:spacing w:line="280" w:lineRule="exact"/>
        <w:jc w:val="left"/>
        <w:rPr>
          <w:rFonts w:ascii="Times New Roman" w:hAnsi="Times New Roman" w:cs="Times New Roman"/>
          <w:b/>
          <w:bCs/>
        </w:rPr>
      </w:pPr>
      <w:bookmarkStart w:id="283" w:name="_Toc989211"/>
      <w:r w:rsidRPr="005A284F">
        <w:rPr>
          <w:rFonts w:ascii="Times New Roman" w:hAnsi="Times New Roman" w:cs="Times New Roman"/>
          <w:b/>
          <w:bCs/>
        </w:rPr>
        <w:t>38</w:t>
      </w:r>
      <w:r w:rsidRPr="005A284F">
        <w:rPr>
          <w:rFonts w:ascii="Times New Roman" w:hAnsi="Times New Roman" w:cs="Times New Roman"/>
          <w:b/>
          <w:bCs/>
        </w:rPr>
        <w:t>、预收款项</w:t>
      </w:r>
      <w:bookmarkEnd w:id="283"/>
    </w:p>
    <w:p w14:paraId="46FFFB9A" w14:textId="09B0BD60" w:rsidR="006C011D" w:rsidRPr="00E94D55" w:rsidRDefault="00E94D55" w:rsidP="00E94D55">
      <w:pPr>
        <w:pStyle w:val="a3"/>
        <w:rPr>
          <w:rFonts w:ascii="Times New Roman" w:hAnsi="Times New Roman" w:cs="Times New Roman"/>
          <w:sz w:val="18"/>
          <w:szCs w:val="18"/>
        </w:rPr>
      </w:pPr>
      <w:r w:rsidRPr="005A284F">
        <w:rPr>
          <w:rFonts w:ascii="Times New Roman" w:hAnsi="Times New Roman" w:cs="Times New Roman"/>
          <w:sz w:val="18"/>
          <w:szCs w:val="18"/>
        </w:rPr>
        <w:t>无</w:t>
      </w:r>
    </w:p>
    <w:p w14:paraId="65642BEB" w14:textId="77777777" w:rsidR="006C011D" w:rsidRPr="005A284F" w:rsidRDefault="00000000">
      <w:pPr>
        <w:pStyle w:val="3"/>
        <w:spacing w:line="280" w:lineRule="exact"/>
        <w:jc w:val="left"/>
        <w:rPr>
          <w:rFonts w:ascii="Times New Roman" w:hAnsi="Times New Roman" w:cs="Times New Roman"/>
          <w:b/>
          <w:bCs/>
        </w:rPr>
      </w:pPr>
      <w:bookmarkStart w:id="284" w:name="_Toc989214"/>
      <w:r w:rsidRPr="005A284F">
        <w:rPr>
          <w:rFonts w:ascii="Times New Roman" w:hAnsi="Times New Roman" w:cs="Times New Roman"/>
          <w:b/>
          <w:bCs/>
        </w:rPr>
        <w:t>39</w:t>
      </w:r>
      <w:r w:rsidRPr="005A284F">
        <w:rPr>
          <w:rFonts w:ascii="Times New Roman" w:hAnsi="Times New Roman" w:cs="Times New Roman"/>
          <w:b/>
          <w:bCs/>
        </w:rPr>
        <w:t>、合同负债</w:t>
      </w:r>
      <w:bookmarkEnd w:id="284"/>
    </w:p>
    <w:p w14:paraId="4EF5C291"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7A7D022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36199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811C7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2E9E5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r>
      <w:tr w:rsidR="006C011D" w:rsidRPr="005A284F" w14:paraId="6F307CBE"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8C9C71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预收货款</w:t>
            </w:r>
          </w:p>
        </w:tc>
        <w:tc>
          <w:tcPr>
            <w:tcW w:w="3213" w:type="dxa"/>
            <w:tcBorders>
              <w:top w:val="single" w:sz="2" w:space="0" w:color="auto"/>
              <w:left w:val="single" w:sz="2" w:space="0" w:color="auto"/>
              <w:bottom w:val="single" w:sz="2" w:space="0" w:color="auto"/>
              <w:right w:val="single" w:sz="2" w:space="0" w:color="auto"/>
            </w:tcBorders>
            <w:vAlign w:val="center"/>
          </w:tcPr>
          <w:p w14:paraId="5FE7036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121,102,530.59</w:t>
            </w:r>
          </w:p>
        </w:tc>
        <w:tc>
          <w:tcPr>
            <w:tcW w:w="3213" w:type="dxa"/>
            <w:tcBorders>
              <w:top w:val="single" w:sz="2" w:space="0" w:color="auto"/>
              <w:left w:val="single" w:sz="2" w:space="0" w:color="auto"/>
              <w:bottom w:val="single" w:sz="2" w:space="0" w:color="auto"/>
              <w:right w:val="single" w:sz="2" w:space="0" w:color="auto"/>
            </w:tcBorders>
            <w:vAlign w:val="center"/>
          </w:tcPr>
          <w:p w14:paraId="3C7BA9D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119,376,031.80</w:t>
            </w:r>
          </w:p>
        </w:tc>
      </w:tr>
      <w:tr w:rsidR="006C011D" w:rsidRPr="005A284F" w14:paraId="7D6B3B8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2E6FB9"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3A80D8D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121,102,530.59</w:t>
            </w:r>
          </w:p>
        </w:tc>
        <w:tc>
          <w:tcPr>
            <w:tcW w:w="3213" w:type="dxa"/>
            <w:tcBorders>
              <w:top w:val="single" w:sz="2" w:space="0" w:color="auto"/>
              <w:left w:val="single" w:sz="2" w:space="0" w:color="auto"/>
              <w:bottom w:val="single" w:sz="2" w:space="0" w:color="auto"/>
              <w:right w:val="single" w:sz="2" w:space="0" w:color="auto"/>
            </w:tcBorders>
            <w:vAlign w:val="center"/>
          </w:tcPr>
          <w:p w14:paraId="7C0C42C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119,376,031.80</w:t>
            </w:r>
          </w:p>
        </w:tc>
      </w:tr>
    </w:tbl>
    <w:p w14:paraId="15D7F63A"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账龄超过</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年的重要合同负债</w:t>
      </w:r>
    </w:p>
    <w:p w14:paraId="164E712B" w14:textId="77777777" w:rsidR="00E94D55" w:rsidRPr="00E94D55" w:rsidRDefault="00E94D55" w:rsidP="00E94D55">
      <w:pPr>
        <w:pStyle w:val="a3"/>
        <w:rPr>
          <w:rFonts w:ascii="Times New Roman" w:hAnsi="Times New Roman" w:cs="Times New Roman"/>
          <w:sz w:val="18"/>
          <w:szCs w:val="18"/>
        </w:rPr>
      </w:pPr>
      <w:r w:rsidRPr="005A284F">
        <w:rPr>
          <w:rFonts w:ascii="Times New Roman" w:hAnsi="Times New Roman" w:cs="Times New Roman"/>
          <w:sz w:val="18"/>
          <w:szCs w:val="18"/>
        </w:rPr>
        <w:t>无</w:t>
      </w:r>
    </w:p>
    <w:p w14:paraId="7B8837EC"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报告期内账面价值发生重大变动的金额和原因</w:t>
      </w:r>
    </w:p>
    <w:p w14:paraId="0C5AD30D" w14:textId="77777777" w:rsidR="000309B5" w:rsidRPr="005A284F" w:rsidRDefault="00000000">
      <w:pPr>
        <w:pStyle w:val="a3"/>
        <w:divId w:val="403531931"/>
        <w:rPr>
          <w:rFonts w:ascii="Times New Roman" w:hAnsi="Times New Roman" w:cs="Times New Roman"/>
          <w:sz w:val="18"/>
          <w:szCs w:val="18"/>
        </w:rPr>
      </w:pPr>
      <w:r w:rsidRPr="005A284F">
        <w:rPr>
          <w:rFonts w:ascii="Times New Roman" w:hAnsi="Times New Roman" w:cs="Times New Roman"/>
          <w:sz w:val="18"/>
          <w:szCs w:val="18"/>
        </w:rPr>
        <w:t>无</w:t>
      </w:r>
    </w:p>
    <w:p w14:paraId="135F5CF0" w14:textId="77777777" w:rsidR="006C011D" w:rsidRPr="005A284F" w:rsidRDefault="00000000">
      <w:pPr>
        <w:pStyle w:val="3"/>
        <w:spacing w:line="280" w:lineRule="exact"/>
        <w:jc w:val="left"/>
        <w:rPr>
          <w:rFonts w:ascii="Times New Roman" w:hAnsi="Times New Roman" w:cs="Times New Roman"/>
          <w:b/>
          <w:bCs/>
        </w:rPr>
      </w:pPr>
      <w:bookmarkStart w:id="285" w:name="_Toc989215"/>
      <w:r w:rsidRPr="005A284F">
        <w:rPr>
          <w:rFonts w:ascii="Times New Roman" w:hAnsi="Times New Roman" w:cs="Times New Roman"/>
          <w:b/>
          <w:bCs/>
        </w:rPr>
        <w:t>40</w:t>
      </w:r>
      <w:r w:rsidRPr="005A284F">
        <w:rPr>
          <w:rFonts w:ascii="Times New Roman" w:hAnsi="Times New Roman" w:cs="Times New Roman"/>
          <w:b/>
          <w:bCs/>
        </w:rPr>
        <w:t>、应付职工薪酬</w:t>
      </w:r>
      <w:bookmarkEnd w:id="285"/>
    </w:p>
    <w:p w14:paraId="4C7D140A" w14:textId="3B8C380E"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86" w:name="_Toc989216"/>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1</w:t>
      </w:r>
      <w:r w:rsidRPr="005A284F">
        <w:rPr>
          <w:rFonts w:ascii="Times New Roman" w:eastAsia="宋体" w:hAnsi="Times New Roman" w:cs="Times New Roman"/>
          <w:b/>
          <w:bCs/>
          <w:sz w:val="21"/>
          <w:szCs w:val="21"/>
        </w:rPr>
        <w:t>）应付职工薪酬列示</w:t>
      </w:r>
      <w:bookmarkEnd w:id="286"/>
    </w:p>
    <w:p w14:paraId="7576ADF4"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C011D" w:rsidRPr="005A284F" w14:paraId="134E89C9"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4FC602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10285F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8DA835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1EC767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788B9D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r>
      <w:tr w:rsidR="006C011D" w:rsidRPr="005A284F" w14:paraId="38241FA8"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708903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一、短期薪酬</w:t>
            </w:r>
          </w:p>
        </w:tc>
        <w:tc>
          <w:tcPr>
            <w:tcW w:w="1928" w:type="dxa"/>
            <w:tcBorders>
              <w:top w:val="single" w:sz="2" w:space="0" w:color="auto"/>
              <w:left w:val="single" w:sz="2" w:space="0" w:color="auto"/>
              <w:bottom w:val="single" w:sz="2" w:space="0" w:color="auto"/>
              <w:right w:val="single" w:sz="2" w:space="0" w:color="auto"/>
            </w:tcBorders>
            <w:vAlign w:val="center"/>
          </w:tcPr>
          <w:p w14:paraId="2E91E15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33,221,745.87</w:t>
            </w:r>
          </w:p>
        </w:tc>
        <w:tc>
          <w:tcPr>
            <w:tcW w:w="1928" w:type="dxa"/>
            <w:tcBorders>
              <w:top w:val="single" w:sz="2" w:space="0" w:color="auto"/>
              <w:left w:val="single" w:sz="2" w:space="0" w:color="auto"/>
              <w:bottom w:val="single" w:sz="2" w:space="0" w:color="auto"/>
              <w:right w:val="single" w:sz="2" w:space="0" w:color="auto"/>
            </w:tcBorders>
            <w:vAlign w:val="center"/>
          </w:tcPr>
          <w:p w14:paraId="2D7F233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220,427,362.72</w:t>
            </w:r>
          </w:p>
        </w:tc>
        <w:tc>
          <w:tcPr>
            <w:tcW w:w="1928" w:type="dxa"/>
            <w:tcBorders>
              <w:top w:val="single" w:sz="2" w:space="0" w:color="auto"/>
              <w:left w:val="single" w:sz="2" w:space="0" w:color="auto"/>
              <w:bottom w:val="single" w:sz="2" w:space="0" w:color="auto"/>
              <w:right w:val="single" w:sz="2" w:space="0" w:color="auto"/>
            </w:tcBorders>
            <w:vAlign w:val="center"/>
          </w:tcPr>
          <w:p w14:paraId="0176056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219,165,034.79</w:t>
            </w:r>
          </w:p>
        </w:tc>
        <w:tc>
          <w:tcPr>
            <w:tcW w:w="1928" w:type="dxa"/>
            <w:tcBorders>
              <w:top w:val="single" w:sz="2" w:space="0" w:color="auto"/>
              <w:left w:val="single" w:sz="2" w:space="0" w:color="auto"/>
              <w:bottom w:val="single" w:sz="2" w:space="0" w:color="auto"/>
              <w:right w:val="single" w:sz="2" w:space="0" w:color="auto"/>
            </w:tcBorders>
            <w:vAlign w:val="center"/>
          </w:tcPr>
          <w:p w14:paraId="27BA7B9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34,484,073.80</w:t>
            </w:r>
          </w:p>
        </w:tc>
      </w:tr>
      <w:tr w:rsidR="006C011D" w:rsidRPr="005A284F" w14:paraId="72204246"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CDF402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二、离职后福利</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设定提存计划</w:t>
            </w:r>
          </w:p>
        </w:tc>
        <w:tc>
          <w:tcPr>
            <w:tcW w:w="1928" w:type="dxa"/>
            <w:tcBorders>
              <w:top w:val="single" w:sz="2" w:space="0" w:color="auto"/>
              <w:left w:val="single" w:sz="2" w:space="0" w:color="auto"/>
              <w:bottom w:val="single" w:sz="2" w:space="0" w:color="auto"/>
              <w:right w:val="single" w:sz="2" w:space="0" w:color="auto"/>
            </w:tcBorders>
            <w:vAlign w:val="center"/>
          </w:tcPr>
          <w:p w14:paraId="7BAD826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A702F3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14,035,796.64</w:t>
            </w:r>
          </w:p>
        </w:tc>
        <w:tc>
          <w:tcPr>
            <w:tcW w:w="1928" w:type="dxa"/>
            <w:tcBorders>
              <w:top w:val="single" w:sz="2" w:space="0" w:color="auto"/>
              <w:left w:val="single" w:sz="2" w:space="0" w:color="auto"/>
              <w:bottom w:val="single" w:sz="2" w:space="0" w:color="auto"/>
              <w:right w:val="single" w:sz="2" w:space="0" w:color="auto"/>
            </w:tcBorders>
            <w:vAlign w:val="center"/>
          </w:tcPr>
          <w:p w14:paraId="4CCF1DD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14,035,796.64</w:t>
            </w:r>
          </w:p>
        </w:tc>
        <w:tc>
          <w:tcPr>
            <w:tcW w:w="1928" w:type="dxa"/>
            <w:tcBorders>
              <w:top w:val="single" w:sz="2" w:space="0" w:color="auto"/>
              <w:left w:val="single" w:sz="2" w:space="0" w:color="auto"/>
              <w:bottom w:val="single" w:sz="2" w:space="0" w:color="auto"/>
              <w:right w:val="single" w:sz="2" w:space="0" w:color="auto"/>
            </w:tcBorders>
            <w:vAlign w:val="center"/>
          </w:tcPr>
          <w:p w14:paraId="40B81C3E"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189EE2E7"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A9B69C5"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三、辞退福利</w:t>
            </w:r>
          </w:p>
        </w:tc>
        <w:tc>
          <w:tcPr>
            <w:tcW w:w="1928" w:type="dxa"/>
            <w:tcBorders>
              <w:top w:val="single" w:sz="2" w:space="0" w:color="auto"/>
              <w:left w:val="single" w:sz="2" w:space="0" w:color="auto"/>
              <w:bottom w:val="single" w:sz="2" w:space="0" w:color="auto"/>
              <w:right w:val="single" w:sz="2" w:space="0" w:color="auto"/>
            </w:tcBorders>
            <w:vAlign w:val="center"/>
          </w:tcPr>
          <w:p w14:paraId="17358B9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370,000.00</w:t>
            </w:r>
          </w:p>
        </w:tc>
        <w:tc>
          <w:tcPr>
            <w:tcW w:w="1928" w:type="dxa"/>
            <w:tcBorders>
              <w:top w:val="single" w:sz="2" w:space="0" w:color="auto"/>
              <w:left w:val="single" w:sz="2" w:space="0" w:color="auto"/>
              <w:bottom w:val="single" w:sz="2" w:space="0" w:color="auto"/>
              <w:right w:val="single" w:sz="2" w:space="0" w:color="auto"/>
            </w:tcBorders>
            <w:vAlign w:val="center"/>
          </w:tcPr>
          <w:p w14:paraId="7C394F0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615,173.64</w:t>
            </w:r>
          </w:p>
        </w:tc>
        <w:tc>
          <w:tcPr>
            <w:tcW w:w="1928" w:type="dxa"/>
            <w:tcBorders>
              <w:top w:val="single" w:sz="2" w:space="0" w:color="auto"/>
              <w:left w:val="single" w:sz="2" w:space="0" w:color="auto"/>
              <w:bottom w:val="single" w:sz="2" w:space="0" w:color="auto"/>
              <w:right w:val="single" w:sz="2" w:space="0" w:color="auto"/>
            </w:tcBorders>
            <w:vAlign w:val="center"/>
          </w:tcPr>
          <w:p w14:paraId="3D9A000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615,173.64</w:t>
            </w:r>
          </w:p>
        </w:tc>
        <w:tc>
          <w:tcPr>
            <w:tcW w:w="1928" w:type="dxa"/>
            <w:tcBorders>
              <w:top w:val="single" w:sz="2" w:space="0" w:color="auto"/>
              <w:left w:val="single" w:sz="2" w:space="0" w:color="auto"/>
              <w:bottom w:val="single" w:sz="2" w:space="0" w:color="auto"/>
              <w:right w:val="single" w:sz="2" w:space="0" w:color="auto"/>
            </w:tcBorders>
            <w:vAlign w:val="center"/>
          </w:tcPr>
          <w:p w14:paraId="5800252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370,000.00</w:t>
            </w:r>
          </w:p>
        </w:tc>
      </w:tr>
      <w:tr w:rsidR="006C011D" w:rsidRPr="005A284F" w14:paraId="22565F02"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2736A32"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合计</w:t>
            </w:r>
          </w:p>
        </w:tc>
        <w:tc>
          <w:tcPr>
            <w:tcW w:w="1928" w:type="dxa"/>
            <w:tcBorders>
              <w:top w:val="single" w:sz="2" w:space="0" w:color="auto"/>
              <w:left w:val="single" w:sz="2" w:space="0" w:color="auto"/>
              <w:bottom w:val="single" w:sz="2" w:space="0" w:color="auto"/>
              <w:right w:val="single" w:sz="2" w:space="0" w:color="auto"/>
            </w:tcBorders>
            <w:vAlign w:val="center"/>
          </w:tcPr>
          <w:p w14:paraId="40BDD56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33,591,745.87</w:t>
            </w:r>
          </w:p>
        </w:tc>
        <w:tc>
          <w:tcPr>
            <w:tcW w:w="1928" w:type="dxa"/>
            <w:tcBorders>
              <w:top w:val="single" w:sz="2" w:space="0" w:color="auto"/>
              <w:left w:val="single" w:sz="2" w:space="0" w:color="auto"/>
              <w:bottom w:val="single" w:sz="2" w:space="0" w:color="auto"/>
              <w:right w:val="single" w:sz="2" w:space="0" w:color="auto"/>
            </w:tcBorders>
            <w:vAlign w:val="center"/>
          </w:tcPr>
          <w:p w14:paraId="4DB1D1E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235,078,333.00</w:t>
            </w:r>
          </w:p>
        </w:tc>
        <w:tc>
          <w:tcPr>
            <w:tcW w:w="1928" w:type="dxa"/>
            <w:tcBorders>
              <w:top w:val="single" w:sz="2" w:space="0" w:color="auto"/>
              <w:left w:val="single" w:sz="2" w:space="0" w:color="auto"/>
              <w:bottom w:val="single" w:sz="2" w:space="0" w:color="auto"/>
              <w:right w:val="single" w:sz="2" w:space="0" w:color="auto"/>
            </w:tcBorders>
            <w:vAlign w:val="center"/>
          </w:tcPr>
          <w:p w14:paraId="39CF395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233,816,005.07</w:t>
            </w:r>
          </w:p>
        </w:tc>
        <w:tc>
          <w:tcPr>
            <w:tcW w:w="1928" w:type="dxa"/>
            <w:tcBorders>
              <w:top w:val="single" w:sz="2" w:space="0" w:color="auto"/>
              <w:left w:val="single" w:sz="2" w:space="0" w:color="auto"/>
              <w:bottom w:val="single" w:sz="2" w:space="0" w:color="auto"/>
              <w:right w:val="single" w:sz="2" w:space="0" w:color="auto"/>
            </w:tcBorders>
            <w:vAlign w:val="center"/>
          </w:tcPr>
          <w:p w14:paraId="5DD7294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34,854,073.80</w:t>
            </w:r>
          </w:p>
        </w:tc>
      </w:tr>
    </w:tbl>
    <w:p w14:paraId="668792A3" w14:textId="77777777"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87" w:name="_Toc989217"/>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2</w:t>
      </w:r>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 xml:space="preserve"> </w:t>
      </w:r>
      <w:r w:rsidRPr="005A284F">
        <w:rPr>
          <w:rFonts w:ascii="Times New Roman" w:eastAsia="宋体" w:hAnsi="Times New Roman" w:cs="Times New Roman"/>
          <w:b/>
          <w:bCs/>
          <w:sz w:val="21"/>
          <w:szCs w:val="21"/>
        </w:rPr>
        <w:t>短期薪酬列示</w:t>
      </w:r>
      <w:bookmarkEnd w:id="287"/>
    </w:p>
    <w:p w14:paraId="7A1158EB"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C011D" w:rsidRPr="005A284F" w14:paraId="4C55CDFB"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68D2A2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097F57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0B0860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F12DCE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1B1C81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r>
      <w:tr w:rsidR="006C011D" w:rsidRPr="005A284F" w14:paraId="41AFB501"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2CBF5DF"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、工资、奖金、津贴和补贴</w:t>
            </w:r>
          </w:p>
        </w:tc>
        <w:tc>
          <w:tcPr>
            <w:tcW w:w="1928" w:type="dxa"/>
            <w:tcBorders>
              <w:top w:val="single" w:sz="2" w:space="0" w:color="auto"/>
              <w:left w:val="single" w:sz="2" w:space="0" w:color="auto"/>
              <w:bottom w:val="single" w:sz="2" w:space="0" w:color="auto"/>
              <w:right w:val="single" w:sz="2" w:space="0" w:color="auto"/>
            </w:tcBorders>
            <w:vAlign w:val="center"/>
          </w:tcPr>
          <w:p w14:paraId="35A41DC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33,213,945.87</w:t>
            </w:r>
          </w:p>
        </w:tc>
        <w:tc>
          <w:tcPr>
            <w:tcW w:w="1928" w:type="dxa"/>
            <w:tcBorders>
              <w:top w:val="single" w:sz="2" w:space="0" w:color="auto"/>
              <w:left w:val="single" w:sz="2" w:space="0" w:color="auto"/>
              <w:bottom w:val="single" w:sz="2" w:space="0" w:color="auto"/>
              <w:right w:val="single" w:sz="2" w:space="0" w:color="auto"/>
            </w:tcBorders>
            <w:vAlign w:val="center"/>
          </w:tcPr>
          <w:p w14:paraId="7416B30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205,326,815.19</w:t>
            </w:r>
          </w:p>
        </w:tc>
        <w:tc>
          <w:tcPr>
            <w:tcW w:w="1928" w:type="dxa"/>
            <w:tcBorders>
              <w:top w:val="single" w:sz="2" w:space="0" w:color="auto"/>
              <w:left w:val="single" w:sz="2" w:space="0" w:color="auto"/>
              <w:bottom w:val="single" w:sz="2" w:space="0" w:color="auto"/>
              <w:right w:val="single" w:sz="2" w:space="0" w:color="auto"/>
            </w:tcBorders>
            <w:vAlign w:val="center"/>
          </w:tcPr>
          <w:p w14:paraId="25E00B8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204,066,287.26</w:t>
            </w:r>
          </w:p>
        </w:tc>
        <w:tc>
          <w:tcPr>
            <w:tcW w:w="1928" w:type="dxa"/>
            <w:tcBorders>
              <w:top w:val="single" w:sz="2" w:space="0" w:color="auto"/>
              <w:left w:val="single" w:sz="2" w:space="0" w:color="auto"/>
              <w:bottom w:val="single" w:sz="2" w:space="0" w:color="auto"/>
              <w:right w:val="single" w:sz="2" w:space="0" w:color="auto"/>
            </w:tcBorders>
            <w:vAlign w:val="center"/>
          </w:tcPr>
          <w:p w14:paraId="1F274C8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34,474,473.80</w:t>
            </w:r>
          </w:p>
        </w:tc>
      </w:tr>
      <w:tr w:rsidR="006C011D" w:rsidRPr="005A284F" w14:paraId="4497F68D"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CBFB8A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、职工福利费</w:t>
            </w:r>
          </w:p>
        </w:tc>
        <w:tc>
          <w:tcPr>
            <w:tcW w:w="1928" w:type="dxa"/>
            <w:tcBorders>
              <w:top w:val="single" w:sz="2" w:space="0" w:color="auto"/>
              <w:left w:val="single" w:sz="2" w:space="0" w:color="auto"/>
              <w:bottom w:val="single" w:sz="2" w:space="0" w:color="auto"/>
              <w:right w:val="single" w:sz="2" w:space="0" w:color="auto"/>
            </w:tcBorders>
            <w:vAlign w:val="center"/>
          </w:tcPr>
          <w:p w14:paraId="321C084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8777B2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5,390,560.80</w:t>
            </w:r>
          </w:p>
        </w:tc>
        <w:tc>
          <w:tcPr>
            <w:tcW w:w="1928" w:type="dxa"/>
            <w:tcBorders>
              <w:top w:val="single" w:sz="2" w:space="0" w:color="auto"/>
              <w:left w:val="single" w:sz="2" w:space="0" w:color="auto"/>
              <w:bottom w:val="single" w:sz="2" w:space="0" w:color="auto"/>
              <w:right w:val="single" w:sz="2" w:space="0" w:color="auto"/>
            </w:tcBorders>
            <w:vAlign w:val="center"/>
          </w:tcPr>
          <w:p w14:paraId="1ABCEA8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5,390,560.80</w:t>
            </w:r>
          </w:p>
        </w:tc>
        <w:tc>
          <w:tcPr>
            <w:tcW w:w="1928" w:type="dxa"/>
            <w:tcBorders>
              <w:top w:val="single" w:sz="2" w:space="0" w:color="auto"/>
              <w:left w:val="single" w:sz="2" w:space="0" w:color="auto"/>
              <w:bottom w:val="single" w:sz="2" w:space="0" w:color="auto"/>
              <w:right w:val="single" w:sz="2" w:space="0" w:color="auto"/>
            </w:tcBorders>
            <w:vAlign w:val="center"/>
          </w:tcPr>
          <w:p w14:paraId="5C7D0E3C"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6011FF8B"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4DA6880"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、社会保险费</w:t>
            </w:r>
          </w:p>
        </w:tc>
        <w:tc>
          <w:tcPr>
            <w:tcW w:w="1928" w:type="dxa"/>
            <w:tcBorders>
              <w:top w:val="single" w:sz="2" w:space="0" w:color="auto"/>
              <w:left w:val="single" w:sz="2" w:space="0" w:color="auto"/>
              <w:bottom w:val="single" w:sz="2" w:space="0" w:color="auto"/>
              <w:right w:val="single" w:sz="2" w:space="0" w:color="auto"/>
            </w:tcBorders>
            <w:vAlign w:val="center"/>
          </w:tcPr>
          <w:p w14:paraId="19E7B1D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89E7FE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7,544,732.10</w:t>
            </w:r>
          </w:p>
        </w:tc>
        <w:tc>
          <w:tcPr>
            <w:tcW w:w="1928" w:type="dxa"/>
            <w:tcBorders>
              <w:top w:val="single" w:sz="2" w:space="0" w:color="auto"/>
              <w:left w:val="single" w:sz="2" w:space="0" w:color="auto"/>
              <w:bottom w:val="single" w:sz="2" w:space="0" w:color="auto"/>
              <w:right w:val="single" w:sz="2" w:space="0" w:color="auto"/>
            </w:tcBorders>
            <w:vAlign w:val="center"/>
          </w:tcPr>
          <w:p w14:paraId="239E02A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7,544,732.10</w:t>
            </w:r>
          </w:p>
        </w:tc>
        <w:tc>
          <w:tcPr>
            <w:tcW w:w="1928" w:type="dxa"/>
            <w:tcBorders>
              <w:top w:val="single" w:sz="2" w:space="0" w:color="auto"/>
              <w:left w:val="single" w:sz="2" w:space="0" w:color="auto"/>
              <w:bottom w:val="single" w:sz="2" w:space="0" w:color="auto"/>
              <w:right w:val="single" w:sz="2" w:space="0" w:color="auto"/>
            </w:tcBorders>
            <w:vAlign w:val="center"/>
          </w:tcPr>
          <w:p w14:paraId="7FD9C2C5"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7C63BEA"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D855AA1" w14:textId="77777777" w:rsidR="006C011D" w:rsidRPr="005A284F" w:rsidRDefault="00000000" w:rsidP="00E94D55">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其中：医疗保险费</w:t>
            </w:r>
          </w:p>
        </w:tc>
        <w:tc>
          <w:tcPr>
            <w:tcW w:w="1928" w:type="dxa"/>
            <w:tcBorders>
              <w:top w:val="single" w:sz="2" w:space="0" w:color="auto"/>
              <w:left w:val="single" w:sz="2" w:space="0" w:color="auto"/>
              <w:bottom w:val="single" w:sz="2" w:space="0" w:color="auto"/>
              <w:right w:val="single" w:sz="2" w:space="0" w:color="auto"/>
            </w:tcBorders>
            <w:vAlign w:val="center"/>
          </w:tcPr>
          <w:p w14:paraId="6FF291E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7D331D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6,969,888.38</w:t>
            </w:r>
          </w:p>
        </w:tc>
        <w:tc>
          <w:tcPr>
            <w:tcW w:w="1928" w:type="dxa"/>
            <w:tcBorders>
              <w:top w:val="single" w:sz="2" w:space="0" w:color="auto"/>
              <w:left w:val="single" w:sz="2" w:space="0" w:color="auto"/>
              <w:bottom w:val="single" w:sz="2" w:space="0" w:color="auto"/>
              <w:right w:val="single" w:sz="2" w:space="0" w:color="auto"/>
            </w:tcBorders>
            <w:vAlign w:val="center"/>
          </w:tcPr>
          <w:p w14:paraId="0C2BDB8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6,969,888.38</w:t>
            </w:r>
          </w:p>
        </w:tc>
        <w:tc>
          <w:tcPr>
            <w:tcW w:w="1928" w:type="dxa"/>
            <w:tcBorders>
              <w:top w:val="single" w:sz="2" w:space="0" w:color="auto"/>
              <w:left w:val="single" w:sz="2" w:space="0" w:color="auto"/>
              <w:bottom w:val="single" w:sz="2" w:space="0" w:color="auto"/>
              <w:right w:val="single" w:sz="2" w:space="0" w:color="auto"/>
            </w:tcBorders>
            <w:vAlign w:val="center"/>
          </w:tcPr>
          <w:p w14:paraId="0990818A"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92EDFEC"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AF53D00" w14:textId="77777777" w:rsidR="006C011D" w:rsidRPr="005A284F" w:rsidRDefault="00000000" w:rsidP="00E94D55">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工伤保险费</w:t>
            </w:r>
          </w:p>
        </w:tc>
        <w:tc>
          <w:tcPr>
            <w:tcW w:w="1928" w:type="dxa"/>
            <w:tcBorders>
              <w:top w:val="single" w:sz="2" w:space="0" w:color="auto"/>
              <w:left w:val="single" w:sz="2" w:space="0" w:color="auto"/>
              <w:bottom w:val="single" w:sz="2" w:space="0" w:color="auto"/>
              <w:right w:val="single" w:sz="2" w:space="0" w:color="auto"/>
            </w:tcBorders>
            <w:vAlign w:val="center"/>
          </w:tcPr>
          <w:p w14:paraId="0D31FD4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1CF0D5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573,136.07</w:t>
            </w:r>
          </w:p>
        </w:tc>
        <w:tc>
          <w:tcPr>
            <w:tcW w:w="1928" w:type="dxa"/>
            <w:tcBorders>
              <w:top w:val="single" w:sz="2" w:space="0" w:color="auto"/>
              <w:left w:val="single" w:sz="2" w:space="0" w:color="auto"/>
              <w:bottom w:val="single" w:sz="2" w:space="0" w:color="auto"/>
              <w:right w:val="single" w:sz="2" w:space="0" w:color="auto"/>
            </w:tcBorders>
            <w:vAlign w:val="center"/>
          </w:tcPr>
          <w:p w14:paraId="0F3FE6C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573,136.07</w:t>
            </w:r>
          </w:p>
        </w:tc>
        <w:tc>
          <w:tcPr>
            <w:tcW w:w="1928" w:type="dxa"/>
            <w:tcBorders>
              <w:top w:val="single" w:sz="2" w:space="0" w:color="auto"/>
              <w:left w:val="single" w:sz="2" w:space="0" w:color="auto"/>
              <w:bottom w:val="single" w:sz="2" w:space="0" w:color="auto"/>
              <w:right w:val="single" w:sz="2" w:space="0" w:color="auto"/>
            </w:tcBorders>
            <w:vAlign w:val="center"/>
          </w:tcPr>
          <w:p w14:paraId="218512CC"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4AA8CF91"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65122F8" w14:textId="77777777" w:rsidR="006C011D" w:rsidRPr="005A284F" w:rsidRDefault="00000000" w:rsidP="00E94D55">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生育保险费</w:t>
            </w:r>
          </w:p>
        </w:tc>
        <w:tc>
          <w:tcPr>
            <w:tcW w:w="1928" w:type="dxa"/>
            <w:tcBorders>
              <w:top w:val="single" w:sz="2" w:space="0" w:color="auto"/>
              <w:left w:val="single" w:sz="2" w:space="0" w:color="auto"/>
              <w:bottom w:val="single" w:sz="2" w:space="0" w:color="auto"/>
              <w:right w:val="single" w:sz="2" w:space="0" w:color="auto"/>
            </w:tcBorders>
            <w:vAlign w:val="center"/>
          </w:tcPr>
          <w:p w14:paraId="51B773D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5E2C5B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1,707.65</w:t>
            </w:r>
          </w:p>
        </w:tc>
        <w:tc>
          <w:tcPr>
            <w:tcW w:w="1928" w:type="dxa"/>
            <w:tcBorders>
              <w:top w:val="single" w:sz="2" w:space="0" w:color="auto"/>
              <w:left w:val="single" w:sz="2" w:space="0" w:color="auto"/>
              <w:bottom w:val="single" w:sz="2" w:space="0" w:color="auto"/>
              <w:right w:val="single" w:sz="2" w:space="0" w:color="auto"/>
            </w:tcBorders>
            <w:vAlign w:val="center"/>
          </w:tcPr>
          <w:p w14:paraId="67C8889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1,707.65</w:t>
            </w:r>
          </w:p>
        </w:tc>
        <w:tc>
          <w:tcPr>
            <w:tcW w:w="1928" w:type="dxa"/>
            <w:tcBorders>
              <w:top w:val="single" w:sz="2" w:space="0" w:color="auto"/>
              <w:left w:val="single" w:sz="2" w:space="0" w:color="auto"/>
              <w:bottom w:val="single" w:sz="2" w:space="0" w:color="auto"/>
              <w:right w:val="single" w:sz="2" w:space="0" w:color="auto"/>
            </w:tcBorders>
            <w:vAlign w:val="center"/>
          </w:tcPr>
          <w:p w14:paraId="132D447B"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447C430B"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92FBFF2"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、住房公积金</w:t>
            </w:r>
          </w:p>
        </w:tc>
        <w:tc>
          <w:tcPr>
            <w:tcW w:w="1928" w:type="dxa"/>
            <w:tcBorders>
              <w:top w:val="single" w:sz="2" w:space="0" w:color="auto"/>
              <w:left w:val="single" w:sz="2" w:space="0" w:color="auto"/>
              <w:bottom w:val="single" w:sz="2" w:space="0" w:color="auto"/>
              <w:right w:val="single" w:sz="2" w:space="0" w:color="auto"/>
            </w:tcBorders>
            <w:vAlign w:val="center"/>
          </w:tcPr>
          <w:p w14:paraId="47E391B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058E09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1,636,875.48</w:t>
            </w:r>
          </w:p>
        </w:tc>
        <w:tc>
          <w:tcPr>
            <w:tcW w:w="1928" w:type="dxa"/>
            <w:tcBorders>
              <w:top w:val="single" w:sz="2" w:space="0" w:color="auto"/>
              <w:left w:val="single" w:sz="2" w:space="0" w:color="auto"/>
              <w:bottom w:val="single" w:sz="2" w:space="0" w:color="auto"/>
              <w:right w:val="single" w:sz="2" w:space="0" w:color="auto"/>
            </w:tcBorders>
            <w:vAlign w:val="center"/>
          </w:tcPr>
          <w:p w14:paraId="6CAB9CB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1,636,875.48</w:t>
            </w:r>
          </w:p>
        </w:tc>
        <w:tc>
          <w:tcPr>
            <w:tcW w:w="1928" w:type="dxa"/>
            <w:tcBorders>
              <w:top w:val="single" w:sz="2" w:space="0" w:color="auto"/>
              <w:left w:val="single" w:sz="2" w:space="0" w:color="auto"/>
              <w:bottom w:val="single" w:sz="2" w:space="0" w:color="auto"/>
              <w:right w:val="single" w:sz="2" w:space="0" w:color="auto"/>
            </w:tcBorders>
            <w:vAlign w:val="center"/>
          </w:tcPr>
          <w:p w14:paraId="0EA75533"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23F90DFD"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E24DBB4"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5</w:t>
            </w:r>
            <w:r w:rsidRPr="005A284F">
              <w:rPr>
                <w:rFonts w:ascii="Times New Roman" w:eastAsia="宋体" w:hAnsi="Times New Roman" w:cs="Times New Roman"/>
                <w:sz w:val="18"/>
                <w:szCs w:val="18"/>
              </w:rPr>
              <w:t>、工会经费和职工教育经费</w:t>
            </w:r>
          </w:p>
        </w:tc>
        <w:tc>
          <w:tcPr>
            <w:tcW w:w="1928" w:type="dxa"/>
            <w:tcBorders>
              <w:top w:val="single" w:sz="2" w:space="0" w:color="auto"/>
              <w:left w:val="single" w:sz="2" w:space="0" w:color="auto"/>
              <w:bottom w:val="single" w:sz="2" w:space="0" w:color="auto"/>
              <w:right w:val="single" w:sz="2" w:space="0" w:color="auto"/>
            </w:tcBorders>
            <w:vAlign w:val="center"/>
          </w:tcPr>
          <w:p w14:paraId="170D790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7,800.00</w:t>
            </w:r>
          </w:p>
        </w:tc>
        <w:tc>
          <w:tcPr>
            <w:tcW w:w="1928" w:type="dxa"/>
            <w:tcBorders>
              <w:top w:val="single" w:sz="2" w:space="0" w:color="auto"/>
              <w:left w:val="single" w:sz="2" w:space="0" w:color="auto"/>
              <w:bottom w:val="single" w:sz="2" w:space="0" w:color="auto"/>
              <w:right w:val="single" w:sz="2" w:space="0" w:color="auto"/>
            </w:tcBorders>
            <w:vAlign w:val="center"/>
          </w:tcPr>
          <w:p w14:paraId="7AE81BD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228,379.15</w:t>
            </w:r>
          </w:p>
        </w:tc>
        <w:tc>
          <w:tcPr>
            <w:tcW w:w="1928" w:type="dxa"/>
            <w:tcBorders>
              <w:top w:val="single" w:sz="2" w:space="0" w:color="auto"/>
              <w:left w:val="single" w:sz="2" w:space="0" w:color="auto"/>
              <w:bottom w:val="single" w:sz="2" w:space="0" w:color="auto"/>
              <w:right w:val="single" w:sz="2" w:space="0" w:color="auto"/>
            </w:tcBorders>
            <w:vAlign w:val="center"/>
          </w:tcPr>
          <w:p w14:paraId="3581DAD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226,579.15</w:t>
            </w:r>
          </w:p>
        </w:tc>
        <w:tc>
          <w:tcPr>
            <w:tcW w:w="1928" w:type="dxa"/>
            <w:tcBorders>
              <w:top w:val="single" w:sz="2" w:space="0" w:color="auto"/>
              <w:left w:val="single" w:sz="2" w:space="0" w:color="auto"/>
              <w:bottom w:val="single" w:sz="2" w:space="0" w:color="auto"/>
              <w:right w:val="single" w:sz="2" w:space="0" w:color="auto"/>
            </w:tcBorders>
            <w:vAlign w:val="center"/>
          </w:tcPr>
          <w:p w14:paraId="51B4E66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9,600.00</w:t>
            </w:r>
          </w:p>
        </w:tc>
      </w:tr>
      <w:tr w:rsidR="006C011D" w:rsidRPr="005A284F" w14:paraId="4C5B6E39"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249A585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8</w:t>
            </w:r>
            <w:r w:rsidRPr="005A284F">
              <w:rPr>
                <w:rFonts w:ascii="Times New Roman" w:eastAsia="宋体" w:hAnsi="Times New Roman" w:cs="Times New Roman"/>
                <w:sz w:val="18"/>
                <w:szCs w:val="18"/>
              </w:rPr>
              <w:t>、其他短期薪酬</w:t>
            </w:r>
          </w:p>
        </w:tc>
        <w:tc>
          <w:tcPr>
            <w:tcW w:w="1928" w:type="dxa"/>
            <w:tcBorders>
              <w:top w:val="single" w:sz="2" w:space="0" w:color="auto"/>
              <w:left w:val="single" w:sz="2" w:space="0" w:color="auto"/>
              <w:bottom w:val="single" w:sz="2" w:space="0" w:color="auto"/>
              <w:right w:val="single" w:sz="2" w:space="0" w:color="auto"/>
            </w:tcBorders>
            <w:vAlign w:val="center"/>
          </w:tcPr>
          <w:p w14:paraId="503BA24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ACD38C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300,000.00</w:t>
            </w:r>
          </w:p>
        </w:tc>
        <w:tc>
          <w:tcPr>
            <w:tcW w:w="1928" w:type="dxa"/>
            <w:tcBorders>
              <w:top w:val="single" w:sz="2" w:space="0" w:color="auto"/>
              <w:left w:val="single" w:sz="2" w:space="0" w:color="auto"/>
              <w:bottom w:val="single" w:sz="2" w:space="0" w:color="auto"/>
              <w:right w:val="single" w:sz="2" w:space="0" w:color="auto"/>
            </w:tcBorders>
            <w:vAlign w:val="center"/>
          </w:tcPr>
          <w:p w14:paraId="4E0768C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300,000.00</w:t>
            </w:r>
          </w:p>
        </w:tc>
        <w:tc>
          <w:tcPr>
            <w:tcW w:w="1928" w:type="dxa"/>
            <w:tcBorders>
              <w:top w:val="single" w:sz="2" w:space="0" w:color="auto"/>
              <w:left w:val="single" w:sz="2" w:space="0" w:color="auto"/>
              <w:bottom w:val="single" w:sz="2" w:space="0" w:color="auto"/>
              <w:right w:val="single" w:sz="2" w:space="0" w:color="auto"/>
            </w:tcBorders>
            <w:vAlign w:val="center"/>
          </w:tcPr>
          <w:p w14:paraId="0D4C8A1F"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A233AE9"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AA06BED"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2759608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33,221,745.87</w:t>
            </w:r>
          </w:p>
        </w:tc>
        <w:tc>
          <w:tcPr>
            <w:tcW w:w="1928" w:type="dxa"/>
            <w:tcBorders>
              <w:top w:val="single" w:sz="2" w:space="0" w:color="auto"/>
              <w:left w:val="single" w:sz="2" w:space="0" w:color="auto"/>
              <w:bottom w:val="single" w:sz="2" w:space="0" w:color="auto"/>
              <w:right w:val="single" w:sz="2" w:space="0" w:color="auto"/>
            </w:tcBorders>
            <w:vAlign w:val="center"/>
          </w:tcPr>
          <w:p w14:paraId="2AD8F76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220,427,362.72</w:t>
            </w:r>
          </w:p>
        </w:tc>
        <w:tc>
          <w:tcPr>
            <w:tcW w:w="1928" w:type="dxa"/>
            <w:tcBorders>
              <w:top w:val="single" w:sz="2" w:space="0" w:color="auto"/>
              <w:left w:val="single" w:sz="2" w:space="0" w:color="auto"/>
              <w:bottom w:val="single" w:sz="2" w:space="0" w:color="auto"/>
              <w:right w:val="single" w:sz="2" w:space="0" w:color="auto"/>
            </w:tcBorders>
            <w:vAlign w:val="center"/>
          </w:tcPr>
          <w:p w14:paraId="60990F6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219,165,034.79</w:t>
            </w:r>
          </w:p>
        </w:tc>
        <w:tc>
          <w:tcPr>
            <w:tcW w:w="1928" w:type="dxa"/>
            <w:tcBorders>
              <w:top w:val="single" w:sz="2" w:space="0" w:color="auto"/>
              <w:left w:val="single" w:sz="2" w:space="0" w:color="auto"/>
              <w:bottom w:val="single" w:sz="2" w:space="0" w:color="auto"/>
              <w:right w:val="single" w:sz="2" w:space="0" w:color="auto"/>
            </w:tcBorders>
            <w:vAlign w:val="center"/>
          </w:tcPr>
          <w:p w14:paraId="6AEFBC9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34,484,073.80</w:t>
            </w:r>
          </w:p>
        </w:tc>
      </w:tr>
    </w:tbl>
    <w:p w14:paraId="0497C3E8" w14:textId="0D4F4708"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88" w:name="_Toc989218"/>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3</w:t>
      </w:r>
      <w:r w:rsidRPr="005A284F">
        <w:rPr>
          <w:rFonts w:ascii="Times New Roman" w:eastAsia="宋体" w:hAnsi="Times New Roman" w:cs="Times New Roman"/>
          <w:b/>
          <w:bCs/>
          <w:sz w:val="21"/>
          <w:szCs w:val="21"/>
        </w:rPr>
        <w:t>）设定提存计划列示</w:t>
      </w:r>
      <w:bookmarkEnd w:id="288"/>
    </w:p>
    <w:p w14:paraId="4D4344CB"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C011D" w:rsidRPr="005A284F" w14:paraId="66ABEE89"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8B2EB5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2FB99B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945AA6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0A7C51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F4073E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r>
      <w:tr w:rsidR="006C011D" w:rsidRPr="005A284F" w14:paraId="3CE2F675"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CEAFAD3"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、基本养老保险</w:t>
            </w:r>
          </w:p>
        </w:tc>
        <w:tc>
          <w:tcPr>
            <w:tcW w:w="1928" w:type="dxa"/>
            <w:tcBorders>
              <w:top w:val="single" w:sz="2" w:space="0" w:color="auto"/>
              <w:left w:val="single" w:sz="2" w:space="0" w:color="auto"/>
              <w:bottom w:val="single" w:sz="2" w:space="0" w:color="auto"/>
              <w:right w:val="single" w:sz="2" w:space="0" w:color="auto"/>
            </w:tcBorders>
            <w:vAlign w:val="center"/>
          </w:tcPr>
          <w:p w14:paraId="0DA5509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A106AF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13,458,350.02</w:t>
            </w:r>
          </w:p>
        </w:tc>
        <w:tc>
          <w:tcPr>
            <w:tcW w:w="1928" w:type="dxa"/>
            <w:tcBorders>
              <w:top w:val="single" w:sz="2" w:space="0" w:color="auto"/>
              <w:left w:val="single" w:sz="2" w:space="0" w:color="auto"/>
              <w:bottom w:val="single" w:sz="2" w:space="0" w:color="auto"/>
              <w:right w:val="single" w:sz="2" w:space="0" w:color="auto"/>
            </w:tcBorders>
            <w:vAlign w:val="center"/>
          </w:tcPr>
          <w:p w14:paraId="02E490F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13,458,350.02</w:t>
            </w:r>
          </w:p>
        </w:tc>
        <w:tc>
          <w:tcPr>
            <w:tcW w:w="1928" w:type="dxa"/>
            <w:tcBorders>
              <w:top w:val="single" w:sz="2" w:space="0" w:color="auto"/>
              <w:left w:val="single" w:sz="2" w:space="0" w:color="auto"/>
              <w:bottom w:val="single" w:sz="2" w:space="0" w:color="auto"/>
              <w:right w:val="single" w:sz="2" w:space="0" w:color="auto"/>
            </w:tcBorders>
            <w:vAlign w:val="center"/>
          </w:tcPr>
          <w:p w14:paraId="1599807D"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61D5D84A"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A15B613"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、失业保险费</w:t>
            </w:r>
          </w:p>
        </w:tc>
        <w:tc>
          <w:tcPr>
            <w:tcW w:w="1928" w:type="dxa"/>
            <w:tcBorders>
              <w:top w:val="single" w:sz="2" w:space="0" w:color="auto"/>
              <w:left w:val="single" w:sz="2" w:space="0" w:color="auto"/>
              <w:bottom w:val="single" w:sz="2" w:space="0" w:color="auto"/>
              <w:right w:val="single" w:sz="2" w:space="0" w:color="auto"/>
            </w:tcBorders>
            <w:vAlign w:val="center"/>
          </w:tcPr>
          <w:p w14:paraId="5DF6F35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5E2DEF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577,446.62</w:t>
            </w:r>
          </w:p>
        </w:tc>
        <w:tc>
          <w:tcPr>
            <w:tcW w:w="1928" w:type="dxa"/>
            <w:tcBorders>
              <w:top w:val="single" w:sz="2" w:space="0" w:color="auto"/>
              <w:left w:val="single" w:sz="2" w:space="0" w:color="auto"/>
              <w:bottom w:val="single" w:sz="2" w:space="0" w:color="auto"/>
              <w:right w:val="single" w:sz="2" w:space="0" w:color="auto"/>
            </w:tcBorders>
            <w:vAlign w:val="center"/>
          </w:tcPr>
          <w:p w14:paraId="4B8FD18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577,446.62</w:t>
            </w:r>
          </w:p>
        </w:tc>
        <w:tc>
          <w:tcPr>
            <w:tcW w:w="1928" w:type="dxa"/>
            <w:tcBorders>
              <w:top w:val="single" w:sz="2" w:space="0" w:color="auto"/>
              <w:left w:val="single" w:sz="2" w:space="0" w:color="auto"/>
              <w:bottom w:val="single" w:sz="2" w:space="0" w:color="auto"/>
              <w:right w:val="single" w:sz="2" w:space="0" w:color="auto"/>
            </w:tcBorders>
            <w:vAlign w:val="center"/>
          </w:tcPr>
          <w:p w14:paraId="67667CFD"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3080C37A"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3D77BAD"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5CB0922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CE4017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14,035,796.64</w:t>
            </w:r>
          </w:p>
        </w:tc>
        <w:tc>
          <w:tcPr>
            <w:tcW w:w="1928" w:type="dxa"/>
            <w:tcBorders>
              <w:top w:val="single" w:sz="2" w:space="0" w:color="auto"/>
              <w:left w:val="single" w:sz="2" w:space="0" w:color="auto"/>
              <w:bottom w:val="single" w:sz="2" w:space="0" w:color="auto"/>
              <w:right w:val="single" w:sz="2" w:space="0" w:color="auto"/>
            </w:tcBorders>
            <w:vAlign w:val="center"/>
          </w:tcPr>
          <w:p w14:paraId="5219128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14,035,796.64</w:t>
            </w:r>
          </w:p>
        </w:tc>
        <w:tc>
          <w:tcPr>
            <w:tcW w:w="1928" w:type="dxa"/>
            <w:tcBorders>
              <w:top w:val="single" w:sz="2" w:space="0" w:color="auto"/>
              <w:left w:val="single" w:sz="2" w:space="0" w:color="auto"/>
              <w:bottom w:val="single" w:sz="2" w:space="0" w:color="auto"/>
              <w:right w:val="single" w:sz="2" w:space="0" w:color="auto"/>
            </w:tcBorders>
            <w:vAlign w:val="center"/>
          </w:tcPr>
          <w:p w14:paraId="26E8152A" w14:textId="77777777" w:rsidR="006C011D" w:rsidRPr="005A284F" w:rsidRDefault="006C011D">
            <w:pPr>
              <w:spacing w:after="0" w:line="240" w:lineRule="exact"/>
              <w:jc w:val="right"/>
              <w:rPr>
                <w:rFonts w:ascii="Times New Roman" w:eastAsia="宋体" w:hAnsi="Times New Roman" w:cs="Times New Roman"/>
                <w:sz w:val="18"/>
                <w:szCs w:val="18"/>
              </w:rPr>
            </w:pPr>
          </w:p>
        </w:tc>
      </w:tr>
    </w:tbl>
    <w:p w14:paraId="56D7E347"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w:t>
      </w:r>
    </w:p>
    <w:p w14:paraId="33371155" w14:textId="77777777" w:rsidR="000309B5" w:rsidRPr="005A284F" w:rsidRDefault="00000000">
      <w:pPr>
        <w:pStyle w:val="a3"/>
        <w:divId w:val="460340656"/>
        <w:rPr>
          <w:rFonts w:ascii="Times New Roman" w:hAnsi="Times New Roman" w:cs="Times New Roman"/>
          <w:sz w:val="18"/>
          <w:szCs w:val="18"/>
        </w:rPr>
      </w:pPr>
      <w:r w:rsidRPr="005A284F">
        <w:rPr>
          <w:rFonts w:ascii="Times New Roman" w:hAnsi="Times New Roman" w:cs="Times New Roman"/>
          <w:sz w:val="18"/>
          <w:szCs w:val="18"/>
        </w:rPr>
        <w:t>无</w:t>
      </w:r>
    </w:p>
    <w:p w14:paraId="62A0AAFD" w14:textId="77777777" w:rsidR="006C011D" w:rsidRPr="005A284F" w:rsidRDefault="00000000">
      <w:pPr>
        <w:pStyle w:val="3"/>
        <w:spacing w:line="280" w:lineRule="exact"/>
        <w:jc w:val="left"/>
        <w:rPr>
          <w:rFonts w:ascii="Times New Roman" w:hAnsi="Times New Roman" w:cs="Times New Roman"/>
          <w:b/>
          <w:bCs/>
        </w:rPr>
      </w:pPr>
      <w:bookmarkStart w:id="289" w:name="_Toc989219"/>
      <w:r w:rsidRPr="005A284F">
        <w:rPr>
          <w:rFonts w:ascii="Times New Roman" w:hAnsi="Times New Roman" w:cs="Times New Roman"/>
          <w:b/>
          <w:bCs/>
        </w:rPr>
        <w:t>41</w:t>
      </w:r>
      <w:r w:rsidRPr="005A284F">
        <w:rPr>
          <w:rFonts w:ascii="Times New Roman" w:hAnsi="Times New Roman" w:cs="Times New Roman"/>
          <w:b/>
          <w:bCs/>
        </w:rPr>
        <w:t>、应交税费</w:t>
      </w:r>
      <w:bookmarkEnd w:id="289"/>
    </w:p>
    <w:p w14:paraId="48CCA631"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272FC6F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10906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816B4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FD804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r>
      <w:tr w:rsidR="006C011D" w:rsidRPr="005A284F" w14:paraId="4D32167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F0C606"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增值税</w:t>
            </w:r>
          </w:p>
        </w:tc>
        <w:tc>
          <w:tcPr>
            <w:tcW w:w="3213" w:type="dxa"/>
            <w:tcBorders>
              <w:top w:val="single" w:sz="2" w:space="0" w:color="auto"/>
              <w:left w:val="single" w:sz="2" w:space="0" w:color="auto"/>
              <w:bottom w:val="single" w:sz="2" w:space="0" w:color="auto"/>
              <w:right w:val="single" w:sz="2" w:space="0" w:color="auto"/>
            </w:tcBorders>
            <w:vAlign w:val="center"/>
          </w:tcPr>
          <w:p w14:paraId="25E9BB4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2,918,122.75</w:t>
            </w:r>
          </w:p>
        </w:tc>
        <w:tc>
          <w:tcPr>
            <w:tcW w:w="3213" w:type="dxa"/>
            <w:tcBorders>
              <w:top w:val="single" w:sz="2" w:space="0" w:color="auto"/>
              <w:left w:val="single" w:sz="2" w:space="0" w:color="auto"/>
              <w:bottom w:val="single" w:sz="2" w:space="0" w:color="auto"/>
              <w:right w:val="single" w:sz="2" w:space="0" w:color="auto"/>
            </w:tcBorders>
            <w:vAlign w:val="center"/>
          </w:tcPr>
          <w:p w14:paraId="12C2909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3,345,790.31</w:t>
            </w:r>
          </w:p>
        </w:tc>
      </w:tr>
      <w:tr w:rsidR="006C011D" w:rsidRPr="005A284F" w14:paraId="3AFAF21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93FD97"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企业所得税</w:t>
            </w:r>
          </w:p>
        </w:tc>
        <w:tc>
          <w:tcPr>
            <w:tcW w:w="3213" w:type="dxa"/>
            <w:tcBorders>
              <w:top w:val="single" w:sz="2" w:space="0" w:color="auto"/>
              <w:left w:val="single" w:sz="2" w:space="0" w:color="auto"/>
              <w:bottom w:val="single" w:sz="2" w:space="0" w:color="auto"/>
              <w:right w:val="single" w:sz="2" w:space="0" w:color="auto"/>
            </w:tcBorders>
            <w:vAlign w:val="center"/>
          </w:tcPr>
          <w:p w14:paraId="69744C1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1,112,438.48</w:t>
            </w:r>
          </w:p>
        </w:tc>
        <w:tc>
          <w:tcPr>
            <w:tcW w:w="3213" w:type="dxa"/>
            <w:tcBorders>
              <w:top w:val="single" w:sz="2" w:space="0" w:color="auto"/>
              <w:left w:val="single" w:sz="2" w:space="0" w:color="auto"/>
              <w:bottom w:val="single" w:sz="2" w:space="0" w:color="auto"/>
              <w:right w:val="single" w:sz="2" w:space="0" w:color="auto"/>
            </w:tcBorders>
            <w:vAlign w:val="center"/>
          </w:tcPr>
          <w:p w14:paraId="2D97FE1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1,204,889.84</w:t>
            </w:r>
          </w:p>
        </w:tc>
      </w:tr>
      <w:tr w:rsidR="006C011D" w:rsidRPr="005A284F" w14:paraId="3A22F3F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258E35"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个人所得税</w:t>
            </w:r>
          </w:p>
        </w:tc>
        <w:tc>
          <w:tcPr>
            <w:tcW w:w="3213" w:type="dxa"/>
            <w:tcBorders>
              <w:top w:val="single" w:sz="2" w:space="0" w:color="auto"/>
              <w:left w:val="single" w:sz="2" w:space="0" w:color="auto"/>
              <w:bottom w:val="single" w:sz="2" w:space="0" w:color="auto"/>
              <w:right w:val="single" w:sz="2" w:space="0" w:color="auto"/>
            </w:tcBorders>
            <w:vAlign w:val="center"/>
          </w:tcPr>
          <w:p w14:paraId="63CD4FC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325,822.63</w:t>
            </w:r>
          </w:p>
        </w:tc>
        <w:tc>
          <w:tcPr>
            <w:tcW w:w="3213" w:type="dxa"/>
            <w:tcBorders>
              <w:top w:val="single" w:sz="2" w:space="0" w:color="auto"/>
              <w:left w:val="single" w:sz="2" w:space="0" w:color="auto"/>
              <w:bottom w:val="single" w:sz="2" w:space="0" w:color="auto"/>
              <w:right w:val="single" w:sz="2" w:space="0" w:color="auto"/>
            </w:tcBorders>
            <w:vAlign w:val="center"/>
          </w:tcPr>
          <w:p w14:paraId="567AA54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344,006.58</w:t>
            </w:r>
          </w:p>
        </w:tc>
      </w:tr>
      <w:tr w:rsidR="006C011D" w:rsidRPr="005A284F" w14:paraId="4B839FE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F6823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14:paraId="30EEE50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14,332.83</w:t>
            </w:r>
          </w:p>
        </w:tc>
        <w:tc>
          <w:tcPr>
            <w:tcW w:w="3213" w:type="dxa"/>
            <w:tcBorders>
              <w:top w:val="single" w:sz="2" w:space="0" w:color="auto"/>
              <w:left w:val="single" w:sz="2" w:space="0" w:color="auto"/>
              <w:bottom w:val="single" w:sz="2" w:space="0" w:color="auto"/>
              <w:right w:val="single" w:sz="2" w:space="0" w:color="auto"/>
            </w:tcBorders>
            <w:vAlign w:val="center"/>
          </w:tcPr>
          <w:p w14:paraId="57D618D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35,535.71</w:t>
            </w:r>
          </w:p>
        </w:tc>
      </w:tr>
      <w:tr w:rsidR="006C011D" w:rsidRPr="005A284F" w14:paraId="2DF4954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39A832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房产税</w:t>
            </w:r>
          </w:p>
        </w:tc>
        <w:tc>
          <w:tcPr>
            <w:tcW w:w="3213" w:type="dxa"/>
            <w:tcBorders>
              <w:top w:val="single" w:sz="2" w:space="0" w:color="auto"/>
              <w:left w:val="single" w:sz="2" w:space="0" w:color="auto"/>
              <w:bottom w:val="single" w:sz="2" w:space="0" w:color="auto"/>
              <w:right w:val="single" w:sz="2" w:space="0" w:color="auto"/>
            </w:tcBorders>
            <w:vAlign w:val="center"/>
          </w:tcPr>
          <w:p w14:paraId="29A5B93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1,875,139.51</w:t>
            </w:r>
          </w:p>
        </w:tc>
        <w:tc>
          <w:tcPr>
            <w:tcW w:w="3213" w:type="dxa"/>
            <w:tcBorders>
              <w:top w:val="single" w:sz="2" w:space="0" w:color="auto"/>
              <w:left w:val="single" w:sz="2" w:space="0" w:color="auto"/>
              <w:bottom w:val="single" w:sz="2" w:space="0" w:color="auto"/>
              <w:right w:val="single" w:sz="2" w:space="0" w:color="auto"/>
            </w:tcBorders>
            <w:vAlign w:val="center"/>
          </w:tcPr>
          <w:p w14:paraId="55BF7B9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1,637,437.17</w:t>
            </w:r>
          </w:p>
        </w:tc>
      </w:tr>
      <w:tr w:rsidR="006C011D" w:rsidRPr="005A284F" w14:paraId="3DDF610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B0F038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土地使用税</w:t>
            </w:r>
          </w:p>
        </w:tc>
        <w:tc>
          <w:tcPr>
            <w:tcW w:w="3213" w:type="dxa"/>
            <w:tcBorders>
              <w:top w:val="single" w:sz="2" w:space="0" w:color="auto"/>
              <w:left w:val="single" w:sz="2" w:space="0" w:color="auto"/>
              <w:bottom w:val="single" w:sz="2" w:space="0" w:color="auto"/>
              <w:right w:val="single" w:sz="2" w:space="0" w:color="auto"/>
            </w:tcBorders>
            <w:vAlign w:val="center"/>
          </w:tcPr>
          <w:p w14:paraId="2A074A3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987,992.27</w:t>
            </w:r>
          </w:p>
        </w:tc>
        <w:tc>
          <w:tcPr>
            <w:tcW w:w="3213" w:type="dxa"/>
            <w:tcBorders>
              <w:top w:val="single" w:sz="2" w:space="0" w:color="auto"/>
              <w:left w:val="single" w:sz="2" w:space="0" w:color="auto"/>
              <w:bottom w:val="single" w:sz="2" w:space="0" w:color="auto"/>
              <w:right w:val="single" w:sz="2" w:space="0" w:color="auto"/>
            </w:tcBorders>
            <w:vAlign w:val="center"/>
          </w:tcPr>
          <w:p w14:paraId="74B77A6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981,394.27</w:t>
            </w:r>
          </w:p>
        </w:tc>
      </w:tr>
      <w:tr w:rsidR="006C011D" w:rsidRPr="005A284F" w14:paraId="3D04905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D9A894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印花税</w:t>
            </w:r>
          </w:p>
        </w:tc>
        <w:tc>
          <w:tcPr>
            <w:tcW w:w="3213" w:type="dxa"/>
            <w:tcBorders>
              <w:top w:val="single" w:sz="2" w:space="0" w:color="auto"/>
              <w:left w:val="single" w:sz="2" w:space="0" w:color="auto"/>
              <w:bottom w:val="single" w:sz="2" w:space="0" w:color="auto"/>
              <w:right w:val="single" w:sz="2" w:space="0" w:color="auto"/>
            </w:tcBorders>
            <w:vAlign w:val="center"/>
          </w:tcPr>
          <w:p w14:paraId="6C91886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1,997,226.99</w:t>
            </w:r>
          </w:p>
        </w:tc>
        <w:tc>
          <w:tcPr>
            <w:tcW w:w="3213" w:type="dxa"/>
            <w:tcBorders>
              <w:top w:val="single" w:sz="2" w:space="0" w:color="auto"/>
              <w:left w:val="single" w:sz="2" w:space="0" w:color="auto"/>
              <w:bottom w:val="single" w:sz="2" w:space="0" w:color="auto"/>
              <w:right w:val="single" w:sz="2" w:space="0" w:color="auto"/>
            </w:tcBorders>
            <w:vAlign w:val="center"/>
          </w:tcPr>
          <w:p w14:paraId="262A3A1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2,960,923.18</w:t>
            </w:r>
          </w:p>
        </w:tc>
      </w:tr>
      <w:tr w:rsidR="006C011D" w:rsidRPr="005A284F" w14:paraId="256AB11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322A56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14:paraId="1330896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10,237.01</w:t>
            </w:r>
          </w:p>
        </w:tc>
        <w:tc>
          <w:tcPr>
            <w:tcW w:w="3213" w:type="dxa"/>
            <w:tcBorders>
              <w:top w:val="single" w:sz="2" w:space="0" w:color="auto"/>
              <w:left w:val="single" w:sz="2" w:space="0" w:color="auto"/>
              <w:bottom w:val="single" w:sz="2" w:space="0" w:color="auto"/>
              <w:right w:val="single" w:sz="2" w:space="0" w:color="auto"/>
            </w:tcBorders>
            <w:vAlign w:val="center"/>
          </w:tcPr>
          <w:p w14:paraId="48133F2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25,381.18</w:t>
            </w:r>
          </w:p>
        </w:tc>
      </w:tr>
      <w:tr w:rsidR="006C011D" w:rsidRPr="005A284F" w14:paraId="15273EB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9192EE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水资源税</w:t>
            </w:r>
          </w:p>
        </w:tc>
        <w:tc>
          <w:tcPr>
            <w:tcW w:w="3213" w:type="dxa"/>
            <w:tcBorders>
              <w:top w:val="single" w:sz="2" w:space="0" w:color="auto"/>
              <w:left w:val="single" w:sz="2" w:space="0" w:color="auto"/>
              <w:bottom w:val="single" w:sz="2" w:space="0" w:color="auto"/>
              <w:right w:val="single" w:sz="2" w:space="0" w:color="auto"/>
            </w:tcBorders>
            <w:vAlign w:val="center"/>
          </w:tcPr>
          <w:p w14:paraId="2629227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192,652.70</w:t>
            </w:r>
          </w:p>
        </w:tc>
        <w:tc>
          <w:tcPr>
            <w:tcW w:w="3213" w:type="dxa"/>
            <w:tcBorders>
              <w:top w:val="single" w:sz="2" w:space="0" w:color="auto"/>
              <w:left w:val="single" w:sz="2" w:space="0" w:color="auto"/>
              <w:bottom w:val="single" w:sz="2" w:space="0" w:color="auto"/>
              <w:right w:val="single" w:sz="2" w:space="0" w:color="auto"/>
            </w:tcBorders>
            <w:vAlign w:val="center"/>
          </w:tcPr>
          <w:p w14:paraId="131B30A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142,259.50</w:t>
            </w:r>
          </w:p>
        </w:tc>
      </w:tr>
      <w:tr w:rsidR="006C011D" w:rsidRPr="005A284F" w14:paraId="1F92C8DF"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D9D61C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环保税</w:t>
            </w:r>
          </w:p>
        </w:tc>
        <w:tc>
          <w:tcPr>
            <w:tcW w:w="3213" w:type="dxa"/>
            <w:tcBorders>
              <w:top w:val="single" w:sz="2" w:space="0" w:color="auto"/>
              <w:left w:val="single" w:sz="2" w:space="0" w:color="auto"/>
              <w:bottom w:val="single" w:sz="2" w:space="0" w:color="auto"/>
              <w:right w:val="single" w:sz="2" w:space="0" w:color="auto"/>
            </w:tcBorders>
            <w:vAlign w:val="center"/>
          </w:tcPr>
          <w:p w14:paraId="39BCAF5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14,099.47</w:t>
            </w:r>
          </w:p>
        </w:tc>
        <w:tc>
          <w:tcPr>
            <w:tcW w:w="3213" w:type="dxa"/>
            <w:tcBorders>
              <w:top w:val="single" w:sz="2" w:space="0" w:color="auto"/>
              <w:left w:val="single" w:sz="2" w:space="0" w:color="auto"/>
              <w:bottom w:val="single" w:sz="2" w:space="0" w:color="auto"/>
              <w:right w:val="single" w:sz="2" w:space="0" w:color="auto"/>
            </w:tcBorders>
            <w:vAlign w:val="center"/>
          </w:tcPr>
          <w:p w14:paraId="16A052B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11,211.79</w:t>
            </w:r>
          </w:p>
        </w:tc>
      </w:tr>
      <w:tr w:rsidR="006C011D" w:rsidRPr="005A284F" w14:paraId="53DCB57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30CCEE"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3432AFF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9,448,064.64</w:t>
            </w:r>
          </w:p>
        </w:tc>
        <w:tc>
          <w:tcPr>
            <w:tcW w:w="3213" w:type="dxa"/>
            <w:tcBorders>
              <w:top w:val="single" w:sz="2" w:space="0" w:color="auto"/>
              <w:left w:val="single" w:sz="2" w:space="0" w:color="auto"/>
              <w:bottom w:val="single" w:sz="2" w:space="0" w:color="auto"/>
              <w:right w:val="single" w:sz="2" w:space="0" w:color="auto"/>
            </w:tcBorders>
            <w:vAlign w:val="center"/>
          </w:tcPr>
          <w:p w14:paraId="1795409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10,688,829.53</w:t>
            </w:r>
          </w:p>
        </w:tc>
      </w:tr>
    </w:tbl>
    <w:p w14:paraId="552AFF7B"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w:t>
      </w:r>
    </w:p>
    <w:p w14:paraId="6D97FCAE" w14:textId="77777777" w:rsidR="000309B5" w:rsidRPr="005A284F" w:rsidRDefault="00000000">
      <w:pPr>
        <w:pStyle w:val="a3"/>
        <w:divId w:val="1972974952"/>
        <w:rPr>
          <w:rFonts w:ascii="Times New Roman" w:hAnsi="Times New Roman" w:cs="Times New Roman"/>
          <w:sz w:val="18"/>
          <w:szCs w:val="18"/>
        </w:rPr>
      </w:pPr>
      <w:r w:rsidRPr="005A284F">
        <w:rPr>
          <w:rFonts w:ascii="Times New Roman" w:hAnsi="Times New Roman" w:cs="Times New Roman"/>
          <w:sz w:val="18"/>
          <w:szCs w:val="18"/>
        </w:rPr>
        <w:lastRenderedPageBreak/>
        <w:t>无</w:t>
      </w:r>
    </w:p>
    <w:p w14:paraId="7AC587BC" w14:textId="77777777" w:rsidR="006C011D" w:rsidRPr="005A284F" w:rsidRDefault="00000000">
      <w:pPr>
        <w:pStyle w:val="3"/>
        <w:spacing w:line="280" w:lineRule="exact"/>
        <w:jc w:val="left"/>
        <w:rPr>
          <w:rFonts w:ascii="Times New Roman" w:hAnsi="Times New Roman" w:cs="Times New Roman"/>
          <w:b/>
          <w:bCs/>
        </w:rPr>
      </w:pPr>
      <w:bookmarkStart w:id="290" w:name="_Toc989220"/>
      <w:r w:rsidRPr="005A284F">
        <w:rPr>
          <w:rFonts w:ascii="Times New Roman" w:hAnsi="Times New Roman" w:cs="Times New Roman"/>
          <w:b/>
          <w:bCs/>
        </w:rPr>
        <w:t>42</w:t>
      </w:r>
      <w:r w:rsidRPr="005A284F">
        <w:rPr>
          <w:rFonts w:ascii="Times New Roman" w:hAnsi="Times New Roman" w:cs="Times New Roman"/>
          <w:b/>
          <w:bCs/>
        </w:rPr>
        <w:t>、持有待售负债</w:t>
      </w:r>
      <w:bookmarkEnd w:id="290"/>
    </w:p>
    <w:p w14:paraId="33798676" w14:textId="77777777" w:rsidR="000309B5" w:rsidRPr="005A284F" w:rsidRDefault="00000000">
      <w:pPr>
        <w:pStyle w:val="a3"/>
        <w:divId w:val="1121847680"/>
        <w:rPr>
          <w:rFonts w:ascii="Times New Roman" w:hAnsi="Times New Roman" w:cs="Times New Roman"/>
          <w:sz w:val="18"/>
          <w:szCs w:val="18"/>
        </w:rPr>
      </w:pPr>
      <w:r w:rsidRPr="005A284F">
        <w:rPr>
          <w:rFonts w:ascii="Times New Roman" w:hAnsi="Times New Roman" w:cs="Times New Roman"/>
          <w:sz w:val="18"/>
          <w:szCs w:val="18"/>
        </w:rPr>
        <w:t>无</w:t>
      </w:r>
    </w:p>
    <w:p w14:paraId="58283B0D" w14:textId="77777777" w:rsidR="006C011D" w:rsidRPr="005A284F" w:rsidRDefault="00000000">
      <w:pPr>
        <w:pStyle w:val="3"/>
        <w:spacing w:line="280" w:lineRule="exact"/>
        <w:jc w:val="left"/>
        <w:rPr>
          <w:rFonts w:ascii="Times New Roman" w:hAnsi="Times New Roman" w:cs="Times New Roman"/>
          <w:b/>
          <w:bCs/>
        </w:rPr>
      </w:pPr>
      <w:bookmarkStart w:id="291" w:name="_Toc989221"/>
      <w:r w:rsidRPr="005A284F">
        <w:rPr>
          <w:rFonts w:ascii="Times New Roman" w:hAnsi="Times New Roman" w:cs="Times New Roman"/>
          <w:b/>
          <w:bCs/>
        </w:rPr>
        <w:t>43</w:t>
      </w:r>
      <w:r w:rsidRPr="005A284F">
        <w:rPr>
          <w:rFonts w:ascii="Times New Roman" w:hAnsi="Times New Roman" w:cs="Times New Roman"/>
          <w:b/>
          <w:bCs/>
        </w:rPr>
        <w:t>、一年内到期的非流动负债</w:t>
      </w:r>
      <w:bookmarkEnd w:id="291"/>
    </w:p>
    <w:p w14:paraId="1A6E47ED"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0DF4AF2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CA1FA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2CE0E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BC96D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r>
      <w:tr w:rsidR="006C011D" w:rsidRPr="005A284F" w14:paraId="6895965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EFF8E0"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一年内到期的长期借款</w:t>
            </w:r>
          </w:p>
        </w:tc>
        <w:tc>
          <w:tcPr>
            <w:tcW w:w="3213" w:type="dxa"/>
            <w:tcBorders>
              <w:top w:val="single" w:sz="2" w:space="0" w:color="auto"/>
              <w:left w:val="single" w:sz="2" w:space="0" w:color="auto"/>
              <w:bottom w:val="single" w:sz="2" w:space="0" w:color="auto"/>
              <w:right w:val="single" w:sz="2" w:space="0" w:color="auto"/>
            </w:tcBorders>
            <w:vAlign w:val="center"/>
          </w:tcPr>
          <w:p w14:paraId="572BB2C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86,447,000.00</w:t>
            </w:r>
          </w:p>
        </w:tc>
        <w:tc>
          <w:tcPr>
            <w:tcW w:w="3213" w:type="dxa"/>
            <w:tcBorders>
              <w:top w:val="single" w:sz="2" w:space="0" w:color="auto"/>
              <w:left w:val="single" w:sz="2" w:space="0" w:color="auto"/>
              <w:bottom w:val="single" w:sz="2" w:space="0" w:color="auto"/>
              <w:right w:val="single" w:sz="2" w:space="0" w:color="auto"/>
            </w:tcBorders>
            <w:vAlign w:val="center"/>
          </w:tcPr>
          <w:p w14:paraId="4276F4A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79,462,000.00</w:t>
            </w:r>
          </w:p>
        </w:tc>
      </w:tr>
      <w:tr w:rsidR="006C011D" w:rsidRPr="005A284F" w14:paraId="6687B09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B68836"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一年内到期的长期应付款</w:t>
            </w:r>
          </w:p>
        </w:tc>
        <w:tc>
          <w:tcPr>
            <w:tcW w:w="3213" w:type="dxa"/>
            <w:tcBorders>
              <w:top w:val="single" w:sz="2" w:space="0" w:color="auto"/>
              <w:left w:val="single" w:sz="2" w:space="0" w:color="auto"/>
              <w:bottom w:val="single" w:sz="2" w:space="0" w:color="auto"/>
              <w:right w:val="single" w:sz="2" w:space="0" w:color="auto"/>
            </w:tcBorders>
            <w:vAlign w:val="center"/>
          </w:tcPr>
          <w:p w14:paraId="6E94675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34,897,727.21</w:t>
            </w:r>
          </w:p>
        </w:tc>
        <w:tc>
          <w:tcPr>
            <w:tcW w:w="3213" w:type="dxa"/>
            <w:tcBorders>
              <w:top w:val="single" w:sz="2" w:space="0" w:color="auto"/>
              <w:left w:val="single" w:sz="2" w:space="0" w:color="auto"/>
              <w:bottom w:val="single" w:sz="2" w:space="0" w:color="auto"/>
              <w:right w:val="single" w:sz="2" w:space="0" w:color="auto"/>
            </w:tcBorders>
            <w:vAlign w:val="center"/>
          </w:tcPr>
          <w:p w14:paraId="4E4C774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25,125,700.43</w:t>
            </w:r>
          </w:p>
        </w:tc>
      </w:tr>
      <w:tr w:rsidR="006C011D" w:rsidRPr="005A284F" w14:paraId="2F6A687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8E3844"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一年内到期的租赁负债</w:t>
            </w:r>
          </w:p>
        </w:tc>
        <w:tc>
          <w:tcPr>
            <w:tcW w:w="3213" w:type="dxa"/>
            <w:tcBorders>
              <w:top w:val="single" w:sz="2" w:space="0" w:color="auto"/>
              <w:left w:val="single" w:sz="2" w:space="0" w:color="auto"/>
              <w:bottom w:val="single" w:sz="2" w:space="0" w:color="auto"/>
              <w:right w:val="single" w:sz="2" w:space="0" w:color="auto"/>
            </w:tcBorders>
            <w:vAlign w:val="center"/>
          </w:tcPr>
          <w:p w14:paraId="3111776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5,209,173.97</w:t>
            </w:r>
          </w:p>
        </w:tc>
        <w:tc>
          <w:tcPr>
            <w:tcW w:w="3213" w:type="dxa"/>
            <w:tcBorders>
              <w:top w:val="single" w:sz="2" w:space="0" w:color="auto"/>
              <w:left w:val="single" w:sz="2" w:space="0" w:color="auto"/>
              <w:bottom w:val="single" w:sz="2" w:space="0" w:color="auto"/>
              <w:right w:val="single" w:sz="2" w:space="0" w:color="auto"/>
            </w:tcBorders>
            <w:vAlign w:val="center"/>
          </w:tcPr>
          <w:p w14:paraId="061D5C4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2,053,770.99</w:t>
            </w:r>
          </w:p>
        </w:tc>
      </w:tr>
      <w:tr w:rsidR="006C011D" w:rsidRPr="005A284F" w14:paraId="7DBC85A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037429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一年内应付的长期借款利息</w:t>
            </w:r>
          </w:p>
        </w:tc>
        <w:tc>
          <w:tcPr>
            <w:tcW w:w="3213" w:type="dxa"/>
            <w:tcBorders>
              <w:top w:val="single" w:sz="2" w:space="0" w:color="auto"/>
              <w:left w:val="single" w:sz="2" w:space="0" w:color="auto"/>
              <w:bottom w:val="single" w:sz="2" w:space="0" w:color="auto"/>
              <w:right w:val="single" w:sz="2" w:space="0" w:color="auto"/>
            </w:tcBorders>
            <w:vAlign w:val="center"/>
          </w:tcPr>
          <w:p w14:paraId="0301DFF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619,589.19</w:t>
            </w:r>
          </w:p>
        </w:tc>
        <w:tc>
          <w:tcPr>
            <w:tcW w:w="3213" w:type="dxa"/>
            <w:tcBorders>
              <w:top w:val="single" w:sz="2" w:space="0" w:color="auto"/>
              <w:left w:val="single" w:sz="2" w:space="0" w:color="auto"/>
              <w:bottom w:val="single" w:sz="2" w:space="0" w:color="auto"/>
              <w:right w:val="single" w:sz="2" w:space="0" w:color="auto"/>
            </w:tcBorders>
            <w:vAlign w:val="center"/>
          </w:tcPr>
          <w:p w14:paraId="79F9C30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632,723.22</w:t>
            </w:r>
          </w:p>
        </w:tc>
      </w:tr>
      <w:tr w:rsidR="006C011D" w:rsidRPr="005A284F" w14:paraId="788C035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60C7A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FD896C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127,173,490.37</w:t>
            </w:r>
          </w:p>
        </w:tc>
        <w:tc>
          <w:tcPr>
            <w:tcW w:w="3213" w:type="dxa"/>
            <w:tcBorders>
              <w:top w:val="single" w:sz="2" w:space="0" w:color="auto"/>
              <w:left w:val="single" w:sz="2" w:space="0" w:color="auto"/>
              <w:bottom w:val="single" w:sz="2" w:space="0" w:color="auto"/>
              <w:right w:val="single" w:sz="2" w:space="0" w:color="auto"/>
            </w:tcBorders>
            <w:vAlign w:val="center"/>
          </w:tcPr>
          <w:p w14:paraId="431E32B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107,274,194.64</w:t>
            </w:r>
          </w:p>
        </w:tc>
      </w:tr>
    </w:tbl>
    <w:p w14:paraId="2E6A4781"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w:t>
      </w:r>
    </w:p>
    <w:p w14:paraId="3E45DA3C" w14:textId="77777777" w:rsidR="000309B5" w:rsidRPr="005A284F" w:rsidRDefault="00000000">
      <w:pPr>
        <w:pStyle w:val="a3"/>
        <w:spacing w:beforeAutospacing="0" w:afterAutospacing="0"/>
        <w:divId w:val="2057849984"/>
        <w:rPr>
          <w:rFonts w:ascii="Times New Roman" w:hAnsi="Times New Roman" w:cs="Times New Roman"/>
        </w:rPr>
      </w:pPr>
      <w:r w:rsidRPr="005A284F">
        <w:rPr>
          <w:rFonts w:ascii="Times New Roman" w:hAnsi="Times New Roman" w:cs="Times New Roman"/>
          <w:sz w:val="18"/>
          <w:szCs w:val="18"/>
        </w:rPr>
        <w:t>自资产负债表日起一年内到期应予以清偿的租赁负债的期末账面价值，在</w:t>
      </w:r>
      <w:r w:rsidRPr="005A284F">
        <w:rPr>
          <w:rFonts w:ascii="Times New Roman" w:hAnsi="Times New Roman" w:cs="Times New Roman"/>
          <w:sz w:val="18"/>
          <w:szCs w:val="18"/>
        </w:rPr>
        <w:t>“</w:t>
      </w:r>
      <w:r w:rsidRPr="005A284F">
        <w:rPr>
          <w:rFonts w:ascii="Times New Roman" w:hAnsi="Times New Roman" w:cs="Times New Roman"/>
          <w:sz w:val="18"/>
          <w:szCs w:val="18"/>
        </w:rPr>
        <w:t>一年内到期的非流动负债</w:t>
      </w:r>
      <w:r w:rsidRPr="005A284F">
        <w:rPr>
          <w:rFonts w:ascii="Times New Roman" w:hAnsi="Times New Roman" w:cs="Times New Roman"/>
          <w:sz w:val="18"/>
          <w:szCs w:val="18"/>
        </w:rPr>
        <w:t>”</w:t>
      </w:r>
      <w:r w:rsidRPr="005A284F">
        <w:rPr>
          <w:rFonts w:ascii="Times New Roman" w:hAnsi="Times New Roman" w:cs="Times New Roman"/>
          <w:sz w:val="18"/>
          <w:szCs w:val="18"/>
        </w:rPr>
        <w:t>项目反映。</w:t>
      </w:r>
    </w:p>
    <w:p w14:paraId="18D1F662" w14:textId="77777777" w:rsidR="006C011D" w:rsidRPr="005A284F" w:rsidRDefault="00000000">
      <w:pPr>
        <w:pStyle w:val="3"/>
        <w:spacing w:line="280" w:lineRule="exact"/>
        <w:jc w:val="left"/>
        <w:rPr>
          <w:rFonts w:ascii="Times New Roman" w:hAnsi="Times New Roman" w:cs="Times New Roman"/>
          <w:b/>
          <w:bCs/>
        </w:rPr>
      </w:pPr>
      <w:bookmarkStart w:id="292" w:name="_Toc989222"/>
      <w:r w:rsidRPr="005A284F">
        <w:rPr>
          <w:rFonts w:ascii="Times New Roman" w:hAnsi="Times New Roman" w:cs="Times New Roman"/>
          <w:b/>
          <w:bCs/>
        </w:rPr>
        <w:t>44</w:t>
      </w:r>
      <w:r w:rsidRPr="005A284F">
        <w:rPr>
          <w:rFonts w:ascii="Times New Roman" w:hAnsi="Times New Roman" w:cs="Times New Roman"/>
          <w:b/>
          <w:bCs/>
        </w:rPr>
        <w:t>、其他流动负债</w:t>
      </w:r>
      <w:bookmarkEnd w:id="292"/>
    </w:p>
    <w:p w14:paraId="49E5C520"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580369F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C826F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8B3FA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168BF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r>
      <w:tr w:rsidR="006C011D" w:rsidRPr="005A284F" w14:paraId="71FE8B1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604817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待转销项税额</w:t>
            </w:r>
          </w:p>
        </w:tc>
        <w:tc>
          <w:tcPr>
            <w:tcW w:w="3213" w:type="dxa"/>
            <w:tcBorders>
              <w:top w:val="single" w:sz="2" w:space="0" w:color="auto"/>
              <w:left w:val="single" w:sz="2" w:space="0" w:color="auto"/>
              <w:bottom w:val="single" w:sz="2" w:space="0" w:color="auto"/>
              <w:right w:val="single" w:sz="2" w:space="0" w:color="auto"/>
            </w:tcBorders>
            <w:vAlign w:val="center"/>
          </w:tcPr>
          <w:p w14:paraId="45E7AB8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11,493,760.18</w:t>
            </w:r>
          </w:p>
        </w:tc>
        <w:tc>
          <w:tcPr>
            <w:tcW w:w="3213" w:type="dxa"/>
            <w:tcBorders>
              <w:top w:val="single" w:sz="2" w:space="0" w:color="auto"/>
              <w:left w:val="single" w:sz="2" w:space="0" w:color="auto"/>
              <w:bottom w:val="single" w:sz="2" w:space="0" w:color="auto"/>
              <w:right w:val="single" w:sz="2" w:space="0" w:color="auto"/>
            </w:tcBorders>
            <w:vAlign w:val="center"/>
          </w:tcPr>
          <w:p w14:paraId="63ACA9E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10,498,216.67</w:t>
            </w:r>
          </w:p>
        </w:tc>
      </w:tr>
      <w:tr w:rsidR="006C011D" w:rsidRPr="005A284F" w14:paraId="2CA3970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2A9D1D"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76DA3E5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11,493,760.18</w:t>
            </w:r>
          </w:p>
        </w:tc>
        <w:tc>
          <w:tcPr>
            <w:tcW w:w="3213" w:type="dxa"/>
            <w:tcBorders>
              <w:top w:val="single" w:sz="2" w:space="0" w:color="auto"/>
              <w:left w:val="single" w:sz="2" w:space="0" w:color="auto"/>
              <w:bottom w:val="single" w:sz="2" w:space="0" w:color="auto"/>
              <w:right w:val="single" w:sz="2" w:space="0" w:color="auto"/>
            </w:tcBorders>
            <w:vAlign w:val="center"/>
          </w:tcPr>
          <w:p w14:paraId="2D979E6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10,498,216.67</w:t>
            </w:r>
          </w:p>
        </w:tc>
      </w:tr>
    </w:tbl>
    <w:p w14:paraId="5937E6CC" w14:textId="74ECD7A3" w:rsidR="006C011D" w:rsidRPr="005A284F" w:rsidRDefault="00000000" w:rsidP="00E94D55">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短期应付债券的增减变动：</w:t>
      </w:r>
      <w:r w:rsidR="00E94D55" w:rsidRPr="005A284F">
        <w:rPr>
          <w:rFonts w:ascii="Times New Roman" w:eastAsia="宋体" w:hAnsi="Times New Roman" w:cs="Times New Roman"/>
          <w:sz w:val="18"/>
          <w:szCs w:val="18"/>
        </w:rPr>
        <w:t xml:space="preserve"> </w:t>
      </w:r>
    </w:p>
    <w:p w14:paraId="509E13A6" w14:textId="77777777" w:rsidR="000309B5" w:rsidRPr="005A284F" w:rsidRDefault="00000000">
      <w:pPr>
        <w:pStyle w:val="a3"/>
        <w:divId w:val="816335109"/>
        <w:rPr>
          <w:rFonts w:ascii="Times New Roman" w:hAnsi="Times New Roman" w:cs="Times New Roman"/>
          <w:sz w:val="18"/>
          <w:szCs w:val="18"/>
        </w:rPr>
      </w:pPr>
      <w:r w:rsidRPr="005A284F">
        <w:rPr>
          <w:rFonts w:ascii="Times New Roman" w:hAnsi="Times New Roman" w:cs="Times New Roman"/>
          <w:sz w:val="18"/>
          <w:szCs w:val="18"/>
        </w:rPr>
        <w:t>无</w:t>
      </w:r>
    </w:p>
    <w:p w14:paraId="5B64A497" w14:textId="77777777" w:rsidR="006C011D" w:rsidRPr="005A284F" w:rsidRDefault="00000000">
      <w:pPr>
        <w:pStyle w:val="3"/>
        <w:spacing w:line="280" w:lineRule="exact"/>
        <w:jc w:val="left"/>
        <w:rPr>
          <w:rFonts w:ascii="Times New Roman" w:hAnsi="Times New Roman" w:cs="Times New Roman"/>
          <w:b/>
          <w:bCs/>
        </w:rPr>
      </w:pPr>
      <w:bookmarkStart w:id="293" w:name="_Toc989223"/>
      <w:r w:rsidRPr="005A284F">
        <w:rPr>
          <w:rFonts w:ascii="Times New Roman" w:hAnsi="Times New Roman" w:cs="Times New Roman"/>
          <w:b/>
          <w:bCs/>
        </w:rPr>
        <w:t>45</w:t>
      </w:r>
      <w:r w:rsidRPr="005A284F">
        <w:rPr>
          <w:rFonts w:ascii="Times New Roman" w:hAnsi="Times New Roman" w:cs="Times New Roman"/>
          <w:b/>
          <w:bCs/>
        </w:rPr>
        <w:t>、长期借款</w:t>
      </w:r>
      <w:bookmarkEnd w:id="293"/>
    </w:p>
    <w:p w14:paraId="3F0B142A" w14:textId="3D198FB0" w:rsidR="006C011D" w:rsidRPr="005A284F" w:rsidRDefault="00000000">
      <w:pPr>
        <w:keepNext/>
        <w:keepLines/>
        <w:spacing w:before="300" w:after="300" w:line="280" w:lineRule="exact"/>
        <w:outlineLvl w:val="3"/>
        <w:rPr>
          <w:rFonts w:ascii="Times New Roman" w:eastAsia="宋体" w:hAnsi="Times New Roman" w:cs="Times New Roman"/>
          <w:b/>
          <w:bCs/>
          <w:sz w:val="18"/>
          <w:szCs w:val="18"/>
        </w:rPr>
      </w:pPr>
      <w:bookmarkStart w:id="294" w:name="_Toc989224"/>
      <w:r w:rsidRPr="005A284F">
        <w:rPr>
          <w:rFonts w:ascii="Times New Roman" w:eastAsia="宋体" w:hAnsi="Times New Roman" w:cs="Times New Roman"/>
          <w:b/>
          <w:bCs/>
          <w:sz w:val="18"/>
          <w:szCs w:val="18"/>
        </w:rPr>
        <w:t>（</w:t>
      </w:r>
      <w:r w:rsidRPr="005A284F">
        <w:rPr>
          <w:rFonts w:ascii="Times New Roman" w:eastAsia="宋体" w:hAnsi="Times New Roman" w:cs="Times New Roman"/>
          <w:b/>
          <w:bCs/>
          <w:sz w:val="18"/>
          <w:szCs w:val="18"/>
        </w:rPr>
        <w:t>1</w:t>
      </w:r>
      <w:r w:rsidRPr="005A284F">
        <w:rPr>
          <w:rFonts w:ascii="Times New Roman" w:eastAsia="宋体" w:hAnsi="Times New Roman" w:cs="Times New Roman"/>
          <w:b/>
          <w:bCs/>
          <w:sz w:val="18"/>
          <w:szCs w:val="18"/>
        </w:rPr>
        <w:t>）长期借款分类</w:t>
      </w:r>
      <w:bookmarkEnd w:id="294"/>
    </w:p>
    <w:p w14:paraId="27116AE6"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2D885BF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3EB2A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5873E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6255F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r>
      <w:tr w:rsidR="006C011D" w:rsidRPr="005A284F" w14:paraId="0A11804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3CE2E7"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抵押借款</w:t>
            </w:r>
          </w:p>
        </w:tc>
        <w:tc>
          <w:tcPr>
            <w:tcW w:w="3213" w:type="dxa"/>
            <w:tcBorders>
              <w:top w:val="single" w:sz="2" w:space="0" w:color="auto"/>
              <w:left w:val="single" w:sz="2" w:space="0" w:color="auto"/>
              <w:bottom w:val="single" w:sz="2" w:space="0" w:color="auto"/>
              <w:right w:val="single" w:sz="2" w:space="0" w:color="auto"/>
            </w:tcBorders>
            <w:vAlign w:val="center"/>
          </w:tcPr>
          <w:p w14:paraId="31D99F6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189,770,942.83</w:t>
            </w:r>
          </w:p>
        </w:tc>
        <w:tc>
          <w:tcPr>
            <w:tcW w:w="3213" w:type="dxa"/>
            <w:tcBorders>
              <w:top w:val="single" w:sz="2" w:space="0" w:color="auto"/>
              <w:left w:val="single" w:sz="2" w:space="0" w:color="auto"/>
              <w:bottom w:val="single" w:sz="2" w:space="0" w:color="auto"/>
              <w:right w:val="single" w:sz="2" w:space="0" w:color="auto"/>
            </w:tcBorders>
            <w:vAlign w:val="center"/>
          </w:tcPr>
          <w:p w14:paraId="04C4B99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224,778,541.91</w:t>
            </w:r>
          </w:p>
        </w:tc>
      </w:tr>
      <w:tr w:rsidR="006C011D" w:rsidRPr="005A284F" w14:paraId="230A804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73A94B"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保证借款</w:t>
            </w:r>
          </w:p>
        </w:tc>
        <w:tc>
          <w:tcPr>
            <w:tcW w:w="3213" w:type="dxa"/>
            <w:tcBorders>
              <w:top w:val="single" w:sz="2" w:space="0" w:color="auto"/>
              <w:left w:val="single" w:sz="2" w:space="0" w:color="auto"/>
              <w:bottom w:val="single" w:sz="2" w:space="0" w:color="auto"/>
              <w:right w:val="single" w:sz="2" w:space="0" w:color="auto"/>
            </w:tcBorders>
            <w:vAlign w:val="center"/>
          </w:tcPr>
          <w:p w14:paraId="5C32793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122,896,188.27</w:t>
            </w:r>
          </w:p>
        </w:tc>
        <w:tc>
          <w:tcPr>
            <w:tcW w:w="3213" w:type="dxa"/>
            <w:tcBorders>
              <w:top w:val="single" w:sz="2" w:space="0" w:color="auto"/>
              <w:left w:val="single" w:sz="2" w:space="0" w:color="auto"/>
              <w:bottom w:val="single" w:sz="2" w:space="0" w:color="auto"/>
              <w:right w:val="single" w:sz="2" w:space="0" w:color="auto"/>
            </w:tcBorders>
            <w:vAlign w:val="center"/>
          </w:tcPr>
          <w:p w14:paraId="1761EE9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127,000,000.00</w:t>
            </w:r>
          </w:p>
        </w:tc>
      </w:tr>
      <w:tr w:rsidR="006C011D" w:rsidRPr="005A284F" w14:paraId="6BEC8086"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4E8F05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减：一年内到期的长期借款</w:t>
            </w:r>
          </w:p>
        </w:tc>
        <w:tc>
          <w:tcPr>
            <w:tcW w:w="3213" w:type="dxa"/>
            <w:tcBorders>
              <w:top w:val="single" w:sz="2" w:space="0" w:color="auto"/>
              <w:left w:val="single" w:sz="2" w:space="0" w:color="auto"/>
              <w:bottom w:val="single" w:sz="2" w:space="0" w:color="auto"/>
              <w:right w:val="single" w:sz="2" w:space="0" w:color="auto"/>
            </w:tcBorders>
            <w:vAlign w:val="center"/>
          </w:tcPr>
          <w:p w14:paraId="57587EA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-87,066,589.19</w:t>
            </w:r>
          </w:p>
        </w:tc>
        <w:tc>
          <w:tcPr>
            <w:tcW w:w="3213" w:type="dxa"/>
            <w:tcBorders>
              <w:top w:val="single" w:sz="2" w:space="0" w:color="auto"/>
              <w:left w:val="single" w:sz="2" w:space="0" w:color="auto"/>
              <w:bottom w:val="single" w:sz="2" w:space="0" w:color="auto"/>
              <w:right w:val="single" w:sz="2" w:space="0" w:color="auto"/>
            </w:tcBorders>
            <w:vAlign w:val="center"/>
          </w:tcPr>
          <w:p w14:paraId="78FF0EE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-79,462,000.00</w:t>
            </w:r>
          </w:p>
        </w:tc>
      </w:tr>
      <w:tr w:rsidR="006C011D" w:rsidRPr="005A284F" w14:paraId="2027759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0B7A35"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325C21E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225,600,541.91</w:t>
            </w:r>
          </w:p>
        </w:tc>
        <w:tc>
          <w:tcPr>
            <w:tcW w:w="3213" w:type="dxa"/>
            <w:tcBorders>
              <w:top w:val="single" w:sz="2" w:space="0" w:color="auto"/>
              <w:left w:val="single" w:sz="2" w:space="0" w:color="auto"/>
              <w:bottom w:val="single" w:sz="2" w:space="0" w:color="auto"/>
              <w:right w:val="single" w:sz="2" w:space="0" w:color="auto"/>
            </w:tcBorders>
            <w:vAlign w:val="center"/>
          </w:tcPr>
          <w:p w14:paraId="138CEB3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272,316,541.91</w:t>
            </w:r>
          </w:p>
        </w:tc>
      </w:tr>
    </w:tbl>
    <w:p w14:paraId="24D703F0"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长期借款分类的说明：</w:t>
      </w:r>
    </w:p>
    <w:p w14:paraId="2082159B" w14:textId="2E5BE15C" w:rsidR="000309B5" w:rsidRPr="00E94D55" w:rsidRDefault="00000000" w:rsidP="00E94D55">
      <w:pPr>
        <w:pStyle w:val="a3"/>
        <w:spacing w:before="0" w:beforeAutospacing="0" w:after="0" w:afterAutospacing="0"/>
        <w:textAlignment w:val="baseline"/>
        <w:divId w:val="814835477"/>
        <w:rPr>
          <w:rFonts w:ascii="Times New Roman" w:hAnsi="Times New Roman" w:cs="Times New Roman"/>
        </w:rPr>
      </w:pPr>
      <w:r w:rsidRPr="005A284F">
        <w:rPr>
          <w:rFonts w:ascii="Times New Roman" w:hAnsi="Times New Roman" w:cs="Times New Roman"/>
          <w:color w:val="000000"/>
          <w:spacing w:val="-2"/>
          <w:sz w:val="18"/>
          <w:szCs w:val="18"/>
        </w:rPr>
        <w:t>抵押借款的抵押资产类别以及金额，</w:t>
      </w:r>
      <w:r w:rsidRPr="005A284F">
        <w:rPr>
          <w:rFonts w:ascii="Times New Roman" w:hAnsi="Times New Roman" w:cs="Times New Roman"/>
          <w:color w:val="000000"/>
          <w:spacing w:val="-33"/>
          <w:sz w:val="18"/>
          <w:szCs w:val="18"/>
        </w:rPr>
        <w:t> </w:t>
      </w:r>
      <w:r w:rsidRPr="005A284F">
        <w:rPr>
          <w:rFonts w:ascii="Times New Roman" w:hAnsi="Times New Roman" w:cs="Times New Roman"/>
          <w:color w:val="000000"/>
          <w:spacing w:val="-2"/>
          <w:sz w:val="18"/>
          <w:szCs w:val="18"/>
        </w:rPr>
        <w:t>参见附注七、</w:t>
      </w:r>
      <w:r w:rsidRPr="005A284F">
        <w:rPr>
          <w:rFonts w:ascii="Times New Roman" w:hAnsi="Times New Roman" w:cs="Times New Roman"/>
          <w:color w:val="000000"/>
          <w:spacing w:val="-2"/>
          <w:sz w:val="18"/>
          <w:szCs w:val="18"/>
        </w:rPr>
        <w:t>31</w:t>
      </w:r>
      <w:r w:rsidRPr="005A284F">
        <w:rPr>
          <w:rFonts w:ascii="Times New Roman" w:hAnsi="Times New Roman" w:cs="Times New Roman"/>
          <w:color w:val="000000"/>
          <w:spacing w:val="-2"/>
          <w:sz w:val="18"/>
          <w:szCs w:val="18"/>
        </w:rPr>
        <w:t>。</w:t>
      </w:r>
    </w:p>
    <w:p w14:paraId="3983AC62"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其他说明，包括利率区间：</w:t>
      </w:r>
    </w:p>
    <w:p w14:paraId="0B78F39C" w14:textId="15E155D9" w:rsidR="000309B5" w:rsidRPr="005A284F" w:rsidRDefault="00000000">
      <w:pPr>
        <w:pStyle w:val="a3"/>
        <w:divId w:val="783884082"/>
        <w:rPr>
          <w:rFonts w:ascii="Times New Roman" w:hAnsi="Times New Roman" w:cs="Times New Roman"/>
          <w:sz w:val="18"/>
          <w:szCs w:val="18"/>
        </w:rPr>
      </w:pPr>
      <w:r w:rsidRPr="005A284F">
        <w:rPr>
          <w:rFonts w:ascii="Times New Roman" w:hAnsi="Times New Roman" w:cs="Times New Roman"/>
          <w:color w:val="000000"/>
          <w:spacing w:val="-1"/>
          <w:sz w:val="18"/>
          <w:szCs w:val="18"/>
        </w:rPr>
        <w:t>长期借款利率区间为年化利率</w:t>
      </w:r>
      <w:r w:rsidRPr="005A284F">
        <w:rPr>
          <w:rFonts w:ascii="Times New Roman" w:hAnsi="Times New Roman" w:cs="Times New Roman"/>
          <w:color w:val="000000"/>
          <w:spacing w:val="-1"/>
          <w:sz w:val="18"/>
          <w:szCs w:val="18"/>
        </w:rPr>
        <w:t>3.60%-4.70%</w:t>
      </w:r>
      <w:r w:rsidRPr="005A284F">
        <w:rPr>
          <w:rFonts w:ascii="Times New Roman" w:hAnsi="Times New Roman" w:cs="Times New Roman"/>
          <w:color w:val="000000"/>
          <w:spacing w:val="-1"/>
          <w:sz w:val="18"/>
          <w:szCs w:val="18"/>
        </w:rPr>
        <w:t>。</w:t>
      </w:r>
    </w:p>
    <w:p w14:paraId="3A267081" w14:textId="77777777" w:rsidR="006C011D" w:rsidRPr="005A284F" w:rsidRDefault="00000000">
      <w:pPr>
        <w:pStyle w:val="3"/>
        <w:spacing w:line="280" w:lineRule="exact"/>
        <w:jc w:val="left"/>
        <w:rPr>
          <w:rFonts w:ascii="Times New Roman" w:hAnsi="Times New Roman" w:cs="Times New Roman"/>
          <w:b/>
          <w:bCs/>
        </w:rPr>
      </w:pPr>
      <w:bookmarkStart w:id="295" w:name="_Toc989225"/>
      <w:r w:rsidRPr="005A284F">
        <w:rPr>
          <w:rFonts w:ascii="Times New Roman" w:hAnsi="Times New Roman" w:cs="Times New Roman"/>
          <w:b/>
          <w:bCs/>
        </w:rPr>
        <w:lastRenderedPageBreak/>
        <w:t>46</w:t>
      </w:r>
      <w:r w:rsidRPr="005A284F">
        <w:rPr>
          <w:rFonts w:ascii="Times New Roman" w:hAnsi="Times New Roman" w:cs="Times New Roman"/>
          <w:b/>
          <w:bCs/>
        </w:rPr>
        <w:t>、应付债券</w:t>
      </w:r>
      <w:bookmarkEnd w:id="295"/>
    </w:p>
    <w:p w14:paraId="6FB6CD9E" w14:textId="00A72DFE"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96" w:name="_Toc989226"/>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1</w:t>
      </w:r>
      <w:r w:rsidRPr="005A284F">
        <w:rPr>
          <w:rFonts w:ascii="Times New Roman" w:eastAsia="宋体" w:hAnsi="Times New Roman" w:cs="Times New Roman"/>
          <w:b/>
          <w:bCs/>
          <w:sz w:val="21"/>
          <w:szCs w:val="21"/>
        </w:rPr>
        <w:t>）应付债券</w:t>
      </w:r>
      <w:bookmarkEnd w:id="296"/>
    </w:p>
    <w:p w14:paraId="52FB0E8C"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33115B7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69FD4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2686A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078F4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r>
      <w:tr w:rsidR="006C011D" w:rsidRPr="005A284F" w14:paraId="2BAA579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BEE734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可转换公司债券</w:t>
            </w:r>
          </w:p>
        </w:tc>
        <w:tc>
          <w:tcPr>
            <w:tcW w:w="3213" w:type="dxa"/>
            <w:tcBorders>
              <w:top w:val="single" w:sz="2" w:space="0" w:color="auto"/>
              <w:left w:val="single" w:sz="2" w:space="0" w:color="auto"/>
              <w:bottom w:val="single" w:sz="2" w:space="0" w:color="auto"/>
              <w:right w:val="single" w:sz="2" w:space="0" w:color="auto"/>
            </w:tcBorders>
            <w:vAlign w:val="center"/>
          </w:tcPr>
          <w:p w14:paraId="45C9CB4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942,786,821.99</w:t>
            </w:r>
          </w:p>
        </w:tc>
        <w:tc>
          <w:tcPr>
            <w:tcW w:w="3213" w:type="dxa"/>
            <w:tcBorders>
              <w:top w:val="single" w:sz="2" w:space="0" w:color="auto"/>
              <w:left w:val="single" w:sz="2" w:space="0" w:color="auto"/>
              <w:bottom w:val="single" w:sz="2" w:space="0" w:color="auto"/>
              <w:right w:val="single" w:sz="2" w:space="0" w:color="auto"/>
            </w:tcBorders>
            <w:vAlign w:val="center"/>
          </w:tcPr>
          <w:p w14:paraId="6988441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926,285,040.51</w:t>
            </w:r>
          </w:p>
        </w:tc>
      </w:tr>
      <w:tr w:rsidR="006C011D" w:rsidRPr="005A284F" w14:paraId="3D1131A0"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0EF1F2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可转换公司债券应付利息</w:t>
            </w:r>
          </w:p>
        </w:tc>
        <w:tc>
          <w:tcPr>
            <w:tcW w:w="3213" w:type="dxa"/>
            <w:tcBorders>
              <w:top w:val="single" w:sz="2" w:space="0" w:color="auto"/>
              <w:left w:val="single" w:sz="2" w:space="0" w:color="auto"/>
              <w:bottom w:val="single" w:sz="2" w:space="0" w:color="auto"/>
              <w:right w:val="single" w:sz="2" w:space="0" w:color="auto"/>
            </w:tcBorders>
            <w:vAlign w:val="center"/>
          </w:tcPr>
          <w:p w14:paraId="308A4F0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16,469,003.97</w:t>
            </w:r>
          </w:p>
        </w:tc>
        <w:tc>
          <w:tcPr>
            <w:tcW w:w="3213" w:type="dxa"/>
            <w:tcBorders>
              <w:top w:val="single" w:sz="2" w:space="0" w:color="auto"/>
              <w:left w:val="single" w:sz="2" w:space="0" w:color="auto"/>
              <w:bottom w:val="single" w:sz="2" w:space="0" w:color="auto"/>
              <w:right w:val="single" w:sz="2" w:space="0" w:color="auto"/>
            </w:tcBorders>
            <w:vAlign w:val="center"/>
          </w:tcPr>
          <w:p w14:paraId="45071DD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8,024,600.46</w:t>
            </w:r>
          </w:p>
        </w:tc>
      </w:tr>
      <w:tr w:rsidR="006C011D" w:rsidRPr="005A284F" w14:paraId="41F5FF5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A9A383"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21F2B10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959,255,825.96</w:t>
            </w:r>
          </w:p>
        </w:tc>
        <w:tc>
          <w:tcPr>
            <w:tcW w:w="3213" w:type="dxa"/>
            <w:tcBorders>
              <w:top w:val="single" w:sz="2" w:space="0" w:color="auto"/>
              <w:left w:val="single" w:sz="2" w:space="0" w:color="auto"/>
              <w:bottom w:val="single" w:sz="2" w:space="0" w:color="auto"/>
              <w:right w:val="single" w:sz="2" w:space="0" w:color="auto"/>
            </w:tcBorders>
            <w:vAlign w:val="center"/>
          </w:tcPr>
          <w:p w14:paraId="767D5A1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934,309,640.97</w:t>
            </w:r>
          </w:p>
        </w:tc>
      </w:tr>
    </w:tbl>
    <w:p w14:paraId="1550B40C" w14:textId="2E66AEF2"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97" w:name="_Toc989227"/>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2</w:t>
      </w:r>
      <w:r w:rsidRPr="005A284F">
        <w:rPr>
          <w:rFonts w:ascii="Times New Roman" w:eastAsia="宋体" w:hAnsi="Times New Roman" w:cs="Times New Roman"/>
          <w:b/>
          <w:bCs/>
          <w:sz w:val="21"/>
          <w:szCs w:val="21"/>
        </w:rPr>
        <w:t>）应付债券的增减变动（不包括划分为金融负债的优先股、永续债等其他金融工具）</w:t>
      </w:r>
      <w:bookmarkEnd w:id="297"/>
    </w:p>
    <w:p w14:paraId="3235060F" w14:textId="77777777" w:rsidR="00E94D55" w:rsidRPr="00416EC4" w:rsidRDefault="00E94D55">
      <w:pPr>
        <w:spacing w:before="40" w:after="40" w:line="240" w:lineRule="exact"/>
        <w:jc w:val="right"/>
        <w:rPr>
          <w:rFonts w:ascii="Times New Roman" w:eastAsia="宋体" w:hAnsi="Times New Roman" w:cs="Times New Roman"/>
          <w:sz w:val="18"/>
          <w:szCs w:val="18"/>
        </w:rPr>
      </w:pPr>
    </w:p>
    <w:p w14:paraId="5418003B" w14:textId="50178ACF"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11193"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0" w:type="dxa"/>
          <w:right w:w="0" w:type="dxa"/>
        </w:tblCellMar>
        <w:tblLook w:val="04A0" w:firstRow="1" w:lastRow="0" w:firstColumn="1" w:lastColumn="0" w:noHBand="0" w:noVBand="1"/>
      </w:tblPr>
      <w:tblGrid>
        <w:gridCol w:w="425"/>
        <w:gridCol w:w="1135"/>
        <w:gridCol w:w="425"/>
        <w:gridCol w:w="851"/>
        <w:gridCol w:w="425"/>
        <w:gridCol w:w="1276"/>
        <w:gridCol w:w="1134"/>
        <w:gridCol w:w="425"/>
        <w:gridCol w:w="986"/>
        <w:gridCol w:w="1134"/>
        <w:gridCol w:w="709"/>
        <w:gridCol w:w="709"/>
        <w:gridCol w:w="1134"/>
        <w:gridCol w:w="425"/>
      </w:tblGrid>
      <w:tr w:rsidR="00E94D55" w:rsidRPr="005A284F" w14:paraId="275BBF44" w14:textId="77777777" w:rsidTr="009F64DD">
        <w:trPr>
          <w:trHeight w:val="240"/>
          <w:jc w:val="center"/>
        </w:trPr>
        <w:tc>
          <w:tcPr>
            <w:tcW w:w="425" w:type="dxa"/>
            <w:tcBorders>
              <w:top w:val="single" w:sz="2" w:space="0" w:color="auto"/>
              <w:left w:val="single" w:sz="2" w:space="0" w:color="auto"/>
              <w:bottom w:val="single" w:sz="2" w:space="0" w:color="auto"/>
              <w:right w:val="single" w:sz="2" w:space="0" w:color="auto"/>
            </w:tcBorders>
            <w:shd w:val="clear" w:color="auto" w:fill="D3D3D3"/>
            <w:vAlign w:val="center"/>
          </w:tcPr>
          <w:p w14:paraId="37CDC966" w14:textId="77777777" w:rsidR="006C011D" w:rsidRPr="005A284F" w:rsidRDefault="00000000" w:rsidP="00E94D55">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债券名称</w:t>
            </w:r>
          </w:p>
        </w:tc>
        <w:tc>
          <w:tcPr>
            <w:tcW w:w="1135" w:type="dxa"/>
            <w:tcBorders>
              <w:top w:val="single" w:sz="2" w:space="0" w:color="auto"/>
              <w:left w:val="single" w:sz="2" w:space="0" w:color="auto"/>
              <w:bottom w:val="single" w:sz="2" w:space="0" w:color="auto"/>
              <w:right w:val="single" w:sz="2" w:space="0" w:color="auto"/>
            </w:tcBorders>
            <w:shd w:val="clear" w:color="auto" w:fill="D3D3D3"/>
            <w:vAlign w:val="center"/>
          </w:tcPr>
          <w:p w14:paraId="6CB43275" w14:textId="77777777" w:rsidR="006C011D" w:rsidRPr="005A284F" w:rsidRDefault="00000000" w:rsidP="00E94D55">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面值</w:t>
            </w:r>
          </w:p>
        </w:tc>
        <w:tc>
          <w:tcPr>
            <w:tcW w:w="425" w:type="dxa"/>
            <w:tcBorders>
              <w:top w:val="single" w:sz="2" w:space="0" w:color="auto"/>
              <w:left w:val="single" w:sz="2" w:space="0" w:color="auto"/>
              <w:bottom w:val="single" w:sz="2" w:space="0" w:color="auto"/>
              <w:right w:val="single" w:sz="2" w:space="0" w:color="auto"/>
            </w:tcBorders>
            <w:shd w:val="clear" w:color="auto" w:fill="D3D3D3"/>
            <w:vAlign w:val="center"/>
          </w:tcPr>
          <w:p w14:paraId="58009BA1" w14:textId="77777777" w:rsidR="006C011D" w:rsidRPr="005A284F" w:rsidRDefault="00000000" w:rsidP="00E94D55">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票面利率</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2A5F4356" w14:textId="77777777" w:rsidR="006C011D" w:rsidRPr="005A284F" w:rsidRDefault="00000000" w:rsidP="00E94D55">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发行日期</w:t>
            </w:r>
          </w:p>
        </w:tc>
        <w:tc>
          <w:tcPr>
            <w:tcW w:w="425" w:type="dxa"/>
            <w:tcBorders>
              <w:top w:val="single" w:sz="2" w:space="0" w:color="auto"/>
              <w:left w:val="single" w:sz="2" w:space="0" w:color="auto"/>
              <w:bottom w:val="single" w:sz="2" w:space="0" w:color="auto"/>
              <w:right w:val="single" w:sz="2" w:space="0" w:color="auto"/>
            </w:tcBorders>
            <w:shd w:val="clear" w:color="auto" w:fill="D3D3D3"/>
            <w:vAlign w:val="center"/>
          </w:tcPr>
          <w:p w14:paraId="23A6F789" w14:textId="77777777" w:rsidR="006C011D" w:rsidRPr="005A284F" w:rsidRDefault="00000000" w:rsidP="00E94D55">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债券期限</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57730C93" w14:textId="77777777" w:rsidR="006C011D" w:rsidRPr="005A284F" w:rsidRDefault="00000000" w:rsidP="00E94D55">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发行金额</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73B63A04" w14:textId="77777777" w:rsidR="006C011D" w:rsidRPr="005A284F" w:rsidRDefault="00000000" w:rsidP="00E94D55">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c>
          <w:tcPr>
            <w:tcW w:w="425" w:type="dxa"/>
            <w:tcBorders>
              <w:top w:val="single" w:sz="2" w:space="0" w:color="auto"/>
              <w:left w:val="single" w:sz="2" w:space="0" w:color="auto"/>
              <w:bottom w:val="single" w:sz="2" w:space="0" w:color="auto"/>
              <w:right w:val="single" w:sz="2" w:space="0" w:color="auto"/>
            </w:tcBorders>
            <w:shd w:val="clear" w:color="auto" w:fill="D3D3D3"/>
            <w:vAlign w:val="center"/>
          </w:tcPr>
          <w:p w14:paraId="30DCAAC2" w14:textId="77777777" w:rsidR="006C011D" w:rsidRPr="005A284F" w:rsidRDefault="00000000" w:rsidP="00E94D55">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本期发行</w:t>
            </w:r>
          </w:p>
        </w:tc>
        <w:tc>
          <w:tcPr>
            <w:tcW w:w="986" w:type="dxa"/>
            <w:tcBorders>
              <w:top w:val="single" w:sz="2" w:space="0" w:color="auto"/>
              <w:left w:val="single" w:sz="2" w:space="0" w:color="auto"/>
              <w:bottom w:val="single" w:sz="2" w:space="0" w:color="auto"/>
              <w:right w:val="single" w:sz="2" w:space="0" w:color="auto"/>
            </w:tcBorders>
            <w:shd w:val="clear" w:color="auto" w:fill="D3D3D3"/>
            <w:vAlign w:val="center"/>
          </w:tcPr>
          <w:p w14:paraId="1C8F9F55" w14:textId="77777777" w:rsidR="006C011D" w:rsidRPr="005A284F" w:rsidRDefault="00000000" w:rsidP="00E94D55">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按面值计提利息</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4CE044F6" w14:textId="77777777" w:rsidR="006C011D" w:rsidRPr="005A284F" w:rsidRDefault="00000000" w:rsidP="00E94D55">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溢折价摊销</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52C27D57" w14:textId="77777777" w:rsidR="006C011D" w:rsidRPr="005A284F" w:rsidRDefault="00000000" w:rsidP="00E94D55">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本期偿还</w:t>
            </w:r>
          </w:p>
        </w:tc>
        <w:tc>
          <w:tcPr>
            <w:tcW w:w="709" w:type="dxa"/>
            <w:tcBorders>
              <w:top w:val="single" w:sz="2" w:space="0" w:color="auto"/>
              <w:left w:val="single" w:sz="2" w:space="0" w:color="auto"/>
              <w:bottom w:val="single" w:sz="2" w:space="0" w:color="auto"/>
              <w:right w:val="single" w:sz="2" w:space="0" w:color="auto"/>
            </w:tcBorders>
            <w:vAlign w:val="center"/>
          </w:tcPr>
          <w:p w14:paraId="0A4F42A2" w14:textId="77777777" w:rsidR="006C011D" w:rsidRPr="005A284F" w:rsidRDefault="00000000" w:rsidP="00E94D55">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本期转股</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1DBBF408" w14:textId="77777777" w:rsidR="006C011D" w:rsidRPr="005A284F" w:rsidRDefault="00000000" w:rsidP="00E94D55">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425" w:type="dxa"/>
            <w:tcBorders>
              <w:top w:val="single" w:sz="2" w:space="0" w:color="auto"/>
              <w:left w:val="single" w:sz="2" w:space="0" w:color="auto"/>
              <w:bottom w:val="single" w:sz="2" w:space="0" w:color="auto"/>
              <w:right w:val="single" w:sz="2" w:space="0" w:color="auto"/>
            </w:tcBorders>
            <w:shd w:val="clear" w:color="auto" w:fill="D3D3D3"/>
            <w:vAlign w:val="center"/>
          </w:tcPr>
          <w:p w14:paraId="4E8D8CB4" w14:textId="77777777" w:rsidR="006C011D" w:rsidRPr="005A284F" w:rsidRDefault="00000000" w:rsidP="00E94D55">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是否违约</w:t>
            </w:r>
          </w:p>
        </w:tc>
      </w:tr>
      <w:tr w:rsidR="00E94D55" w:rsidRPr="005A284F" w14:paraId="75BBC8F8" w14:textId="77777777" w:rsidTr="009F64DD">
        <w:trPr>
          <w:trHeight w:val="240"/>
          <w:jc w:val="center"/>
        </w:trPr>
        <w:tc>
          <w:tcPr>
            <w:tcW w:w="425" w:type="dxa"/>
            <w:tcBorders>
              <w:top w:val="single" w:sz="2" w:space="0" w:color="auto"/>
              <w:left w:val="single" w:sz="2" w:space="0" w:color="auto"/>
              <w:bottom w:val="single" w:sz="2" w:space="0" w:color="auto"/>
              <w:right w:val="single" w:sz="2" w:space="0" w:color="auto"/>
            </w:tcBorders>
            <w:vAlign w:val="center"/>
          </w:tcPr>
          <w:p w14:paraId="05C5606F" w14:textId="77777777" w:rsidR="006C011D" w:rsidRPr="005A284F" w:rsidRDefault="00000000" w:rsidP="00E94D55">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龙大转债</w:t>
            </w:r>
          </w:p>
        </w:tc>
        <w:tc>
          <w:tcPr>
            <w:tcW w:w="1135" w:type="dxa"/>
            <w:tcBorders>
              <w:top w:val="single" w:sz="2" w:space="0" w:color="auto"/>
              <w:left w:val="single" w:sz="2" w:space="0" w:color="auto"/>
              <w:bottom w:val="single" w:sz="2" w:space="0" w:color="auto"/>
              <w:right w:val="single" w:sz="2" w:space="0" w:color="auto"/>
            </w:tcBorders>
            <w:vAlign w:val="center"/>
          </w:tcPr>
          <w:p w14:paraId="001135CE" w14:textId="77777777" w:rsidR="006C011D" w:rsidRPr="005A284F" w:rsidRDefault="00000000" w:rsidP="00E94D55">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950,000,000.00</w:t>
            </w:r>
          </w:p>
        </w:tc>
        <w:tc>
          <w:tcPr>
            <w:tcW w:w="425" w:type="dxa"/>
            <w:tcBorders>
              <w:top w:val="single" w:sz="2" w:space="0" w:color="auto"/>
              <w:left w:val="single" w:sz="2" w:space="0" w:color="auto"/>
              <w:bottom w:val="single" w:sz="2" w:space="0" w:color="auto"/>
              <w:right w:val="single" w:sz="2" w:space="0" w:color="auto"/>
            </w:tcBorders>
            <w:vAlign w:val="center"/>
          </w:tcPr>
          <w:p w14:paraId="2F49CB25" w14:textId="77777777" w:rsidR="006C011D" w:rsidRPr="005A284F" w:rsidRDefault="006C011D" w:rsidP="00E94D55">
            <w:pPr>
              <w:spacing w:after="0" w:line="240" w:lineRule="exact"/>
              <w:jc w:val="right"/>
              <w:rPr>
                <w:rFonts w:ascii="Times New Roman" w:eastAsia="宋体" w:hAnsi="Times New Roman" w:cs="Times New Roman"/>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3D0323D5" w14:textId="77777777" w:rsidR="006C011D" w:rsidRPr="005A284F" w:rsidRDefault="00000000" w:rsidP="00E94D55">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2020</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07</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13</w:t>
            </w:r>
            <w:r w:rsidRPr="005A284F">
              <w:rPr>
                <w:rFonts w:ascii="Times New Roman" w:eastAsia="宋体" w:hAnsi="Times New Roman" w:cs="Times New Roman"/>
                <w:sz w:val="18"/>
                <w:szCs w:val="18"/>
              </w:rPr>
              <w:t>日</w:t>
            </w:r>
          </w:p>
        </w:tc>
        <w:tc>
          <w:tcPr>
            <w:tcW w:w="425" w:type="dxa"/>
            <w:tcBorders>
              <w:top w:val="single" w:sz="2" w:space="0" w:color="auto"/>
              <w:left w:val="single" w:sz="2" w:space="0" w:color="auto"/>
              <w:bottom w:val="single" w:sz="2" w:space="0" w:color="auto"/>
              <w:right w:val="single" w:sz="2" w:space="0" w:color="auto"/>
            </w:tcBorders>
            <w:vAlign w:val="center"/>
          </w:tcPr>
          <w:p w14:paraId="3C827E3E" w14:textId="4DA3BE81" w:rsidR="006C011D" w:rsidRPr="005A284F" w:rsidRDefault="00000000" w:rsidP="00E94D55">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6</w:t>
            </w:r>
            <w:r w:rsidRPr="005A284F">
              <w:rPr>
                <w:rFonts w:ascii="Times New Roman" w:eastAsia="宋体" w:hAnsi="Times New Roman" w:cs="Times New Roman"/>
                <w:sz w:val="18"/>
                <w:szCs w:val="18"/>
              </w:rPr>
              <w:t>年</w:t>
            </w:r>
          </w:p>
        </w:tc>
        <w:tc>
          <w:tcPr>
            <w:tcW w:w="1276" w:type="dxa"/>
            <w:tcBorders>
              <w:top w:val="single" w:sz="2" w:space="0" w:color="auto"/>
              <w:left w:val="single" w:sz="2" w:space="0" w:color="auto"/>
              <w:bottom w:val="single" w:sz="2" w:space="0" w:color="auto"/>
              <w:right w:val="single" w:sz="2" w:space="0" w:color="auto"/>
            </w:tcBorders>
            <w:vAlign w:val="center"/>
          </w:tcPr>
          <w:p w14:paraId="7531DE85" w14:textId="77777777" w:rsidR="006C011D" w:rsidRPr="005A284F" w:rsidRDefault="00000000" w:rsidP="00E94D55">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950,000,000.00</w:t>
            </w:r>
          </w:p>
        </w:tc>
        <w:tc>
          <w:tcPr>
            <w:tcW w:w="1134" w:type="dxa"/>
            <w:tcBorders>
              <w:top w:val="single" w:sz="2" w:space="0" w:color="auto"/>
              <w:left w:val="single" w:sz="2" w:space="0" w:color="auto"/>
              <w:bottom w:val="single" w:sz="2" w:space="0" w:color="auto"/>
              <w:right w:val="single" w:sz="2" w:space="0" w:color="auto"/>
            </w:tcBorders>
            <w:vAlign w:val="center"/>
          </w:tcPr>
          <w:p w14:paraId="153297E5" w14:textId="77777777" w:rsidR="006C011D" w:rsidRPr="005A284F" w:rsidRDefault="00000000" w:rsidP="00E94D55">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934,309,640.97</w:t>
            </w:r>
          </w:p>
        </w:tc>
        <w:tc>
          <w:tcPr>
            <w:tcW w:w="425" w:type="dxa"/>
            <w:tcBorders>
              <w:top w:val="single" w:sz="2" w:space="0" w:color="auto"/>
              <w:left w:val="single" w:sz="2" w:space="0" w:color="auto"/>
              <w:bottom w:val="single" w:sz="2" w:space="0" w:color="auto"/>
              <w:right w:val="single" w:sz="2" w:space="0" w:color="auto"/>
            </w:tcBorders>
            <w:vAlign w:val="center"/>
          </w:tcPr>
          <w:p w14:paraId="50F9DE2B" w14:textId="77777777" w:rsidR="006C011D" w:rsidRPr="005A284F" w:rsidRDefault="006C011D" w:rsidP="00E94D55">
            <w:pPr>
              <w:spacing w:after="0" w:line="240" w:lineRule="exact"/>
              <w:jc w:val="right"/>
              <w:rPr>
                <w:rFonts w:ascii="Times New Roman" w:eastAsia="宋体" w:hAnsi="Times New Roman" w:cs="Times New Roman"/>
                <w:sz w:val="18"/>
                <w:szCs w:val="18"/>
              </w:rPr>
            </w:pPr>
          </w:p>
        </w:tc>
        <w:tc>
          <w:tcPr>
            <w:tcW w:w="986" w:type="dxa"/>
            <w:tcBorders>
              <w:top w:val="single" w:sz="2" w:space="0" w:color="auto"/>
              <w:left w:val="single" w:sz="2" w:space="0" w:color="auto"/>
              <w:bottom w:val="single" w:sz="2" w:space="0" w:color="auto"/>
              <w:right w:val="single" w:sz="2" w:space="0" w:color="auto"/>
            </w:tcBorders>
            <w:vAlign w:val="center"/>
          </w:tcPr>
          <w:p w14:paraId="1CCCF762" w14:textId="77777777" w:rsidR="006C011D" w:rsidRPr="005A284F" w:rsidRDefault="00000000" w:rsidP="00E94D55">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8,444,403.51</w:t>
            </w:r>
          </w:p>
        </w:tc>
        <w:tc>
          <w:tcPr>
            <w:tcW w:w="1134" w:type="dxa"/>
            <w:tcBorders>
              <w:top w:val="single" w:sz="2" w:space="0" w:color="auto"/>
              <w:left w:val="single" w:sz="2" w:space="0" w:color="auto"/>
              <w:bottom w:val="single" w:sz="2" w:space="0" w:color="auto"/>
              <w:right w:val="single" w:sz="2" w:space="0" w:color="auto"/>
            </w:tcBorders>
            <w:vAlign w:val="center"/>
          </w:tcPr>
          <w:p w14:paraId="7E3B2352" w14:textId="77777777" w:rsidR="006C011D" w:rsidRPr="005A284F" w:rsidRDefault="00000000" w:rsidP="00E94D55">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-16,506,881.48</w:t>
            </w:r>
          </w:p>
        </w:tc>
        <w:tc>
          <w:tcPr>
            <w:tcW w:w="709" w:type="dxa"/>
            <w:tcBorders>
              <w:top w:val="single" w:sz="2" w:space="0" w:color="auto"/>
              <w:left w:val="single" w:sz="2" w:space="0" w:color="auto"/>
              <w:bottom w:val="single" w:sz="2" w:space="0" w:color="auto"/>
              <w:right w:val="single" w:sz="2" w:space="0" w:color="auto"/>
            </w:tcBorders>
            <w:vAlign w:val="center"/>
          </w:tcPr>
          <w:p w14:paraId="3DC6EDE3" w14:textId="2B880260" w:rsidR="006C011D" w:rsidRPr="009F64DD" w:rsidRDefault="009F64DD" w:rsidP="00E94D55">
            <w:pPr>
              <w:spacing w:after="0" w:line="240" w:lineRule="exact"/>
              <w:jc w:val="right"/>
              <w:rPr>
                <w:rFonts w:ascii="Times New Roman" w:eastAsia="宋体" w:hAnsi="Times New Roman" w:cs="Times New Roman"/>
                <w:sz w:val="18"/>
                <w:szCs w:val="18"/>
              </w:rPr>
            </w:pPr>
            <w:r w:rsidRPr="009F64DD">
              <w:rPr>
                <w:rFonts w:ascii="Times New Roman" w:eastAsia="宋体" w:hAnsi="Times New Roman" w:cs="Times New Roman" w:hint="eastAsia"/>
                <w:sz w:val="18"/>
                <w:szCs w:val="18"/>
              </w:rPr>
              <w:t>1,10</w:t>
            </w:r>
            <w:r w:rsidRPr="009F64DD">
              <w:rPr>
                <w:rFonts w:ascii="Times New Roman" w:eastAsia="宋体" w:hAnsi="Times New Roman" w:cs="Times New Roman"/>
                <w:sz w:val="18"/>
                <w:szCs w:val="18"/>
              </w:rPr>
              <w:t>0.00</w:t>
            </w:r>
          </w:p>
        </w:tc>
        <w:tc>
          <w:tcPr>
            <w:tcW w:w="709" w:type="dxa"/>
            <w:tcBorders>
              <w:top w:val="single" w:sz="2" w:space="0" w:color="auto"/>
              <w:left w:val="single" w:sz="2" w:space="0" w:color="auto"/>
              <w:bottom w:val="single" w:sz="2" w:space="0" w:color="auto"/>
              <w:right w:val="single" w:sz="2" w:space="0" w:color="auto"/>
            </w:tcBorders>
            <w:vAlign w:val="center"/>
          </w:tcPr>
          <w:p w14:paraId="13A0E2ED" w14:textId="1EA9EF89" w:rsidR="006C011D" w:rsidRPr="005A284F" w:rsidRDefault="009F64DD" w:rsidP="00E94D55">
            <w:pPr>
              <w:spacing w:after="0"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4</w:t>
            </w:r>
            <w:r w:rsidRPr="005A284F">
              <w:rPr>
                <w:rFonts w:ascii="Times New Roman" w:eastAsia="宋体" w:hAnsi="Times New Roman" w:cs="Times New Roman"/>
                <w:sz w:val="18"/>
                <w:szCs w:val="18"/>
              </w:rPr>
              <w:t>,</w:t>
            </w:r>
            <w:r>
              <w:rPr>
                <w:rFonts w:ascii="Times New Roman" w:eastAsia="宋体" w:hAnsi="Times New Roman" w:cs="Times New Roman" w:hint="eastAsia"/>
                <w:sz w:val="18"/>
                <w:szCs w:val="18"/>
              </w:rPr>
              <w:t>0</w:t>
            </w:r>
            <w:r w:rsidRPr="005A284F">
              <w:rPr>
                <w:rFonts w:ascii="Times New Roman" w:eastAsia="宋体" w:hAnsi="Times New Roman" w:cs="Times New Roman"/>
                <w:sz w:val="18"/>
                <w:szCs w:val="18"/>
              </w:rPr>
              <w:t>00.00</w:t>
            </w:r>
          </w:p>
        </w:tc>
        <w:tc>
          <w:tcPr>
            <w:tcW w:w="1134" w:type="dxa"/>
            <w:tcBorders>
              <w:top w:val="single" w:sz="2" w:space="0" w:color="auto"/>
              <w:left w:val="single" w:sz="2" w:space="0" w:color="auto"/>
              <w:bottom w:val="single" w:sz="2" w:space="0" w:color="auto"/>
              <w:right w:val="single" w:sz="2" w:space="0" w:color="auto"/>
            </w:tcBorders>
            <w:vAlign w:val="center"/>
          </w:tcPr>
          <w:p w14:paraId="1E2E6030" w14:textId="77777777" w:rsidR="006C011D" w:rsidRPr="005A284F" w:rsidRDefault="00000000" w:rsidP="00E94D55">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959,255,825.96</w:t>
            </w:r>
          </w:p>
        </w:tc>
        <w:tc>
          <w:tcPr>
            <w:tcW w:w="425" w:type="dxa"/>
            <w:tcBorders>
              <w:top w:val="single" w:sz="2" w:space="0" w:color="auto"/>
              <w:left w:val="single" w:sz="2" w:space="0" w:color="auto"/>
              <w:bottom w:val="single" w:sz="2" w:space="0" w:color="auto"/>
              <w:right w:val="single" w:sz="2" w:space="0" w:color="auto"/>
            </w:tcBorders>
            <w:vAlign w:val="center"/>
          </w:tcPr>
          <w:p w14:paraId="742CCCDA" w14:textId="77777777" w:rsidR="006C011D" w:rsidRPr="005A284F" w:rsidRDefault="00000000" w:rsidP="00E94D55">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E94D55" w:rsidRPr="005A284F" w14:paraId="55D10951" w14:textId="77777777" w:rsidTr="009F64DD">
        <w:trPr>
          <w:trHeight w:val="240"/>
          <w:jc w:val="center"/>
        </w:trPr>
        <w:tc>
          <w:tcPr>
            <w:tcW w:w="425" w:type="dxa"/>
            <w:tcBorders>
              <w:top w:val="single" w:sz="2" w:space="0" w:color="auto"/>
              <w:left w:val="single" w:sz="2" w:space="0" w:color="auto"/>
              <w:bottom w:val="single" w:sz="2" w:space="0" w:color="auto"/>
              <w:right w:val="single" w:sz="2" w:space="0" w:color="auto"/>
            </w:tcBorders>
            <w:shd w:val="clear" w:color="auto" w:fill="D3D3D3"/>
            <w:vAlign w:val="center"/>
          </w:tcPr>
          <w:p w14:paraId="4019C303" w14:textId="77777777" w:rsidR="006C011D" w:rsidRPr="005A284F" w:rsidRDefault="00000000" w:rsidP="00E94D55">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1135" w:type="dxa"/>
            <w:tcBorders>
              <w:top w:val="single" w:sz="2" w:space="0" w:color="auto"/>
              <w:left w:val="single" w:sz="2" w:space="0" w:color="auto"/>
              <w:bottom w:val="single" w:sz="2" w:space="0" w:color="auto"/>
              <w:right w:val="single" w:sz="2" w:space="0" w:color="auto"/>
            </w:tcBorders>
            <w:shd w:val="clear" w:color="auto" w:fill="D3D3D3"/>
            <w:vAlign w:val="center"/>
          </w:tcPr>
          <w:p w14:paraId="375B19BD" w14:textId="77777777" w:rsidR="006C011D" w:rsidRPr="005A284F" w:rsidRDefault="006C011D" w:rsidP="00E94D55">
            <w:pPr>
              <w:rPr>
                <w:rFonts w:ascii="Times New Roman" w:eastAsia="宋体" w:hAnsi="Times New Roman" w:cs="Times New Roman"/>
              </w:rPr>
            </w:pPr>
          </w:p>
        </w:tc>
        <w:tc>
          <w:tcPr>
            <w:tcW w:w="425" w:type="dxa"/>
            <w:tcBorders>
              <w:top w:val="single" w:sz="2" w:space="0" w:color="auto"/>
              <w:left w:val="single" w:sz="2" w:space="0" w:color="auto"/>
              <w:bottom w:val="single" w:sz="2" w:space="0" w:color="auto"/>
              <w:right w:val="single" w:sz="2" w:space="0" w:color="auto"/>
            </w:tcBorders>
            <w:shd w:val="clear" w:color="auto" w:fill="D3D3D3"/>
            <w:vAlign w:val="center"/>
          </w:tcPr>
          <w:p w14:paraId="3CF744B9" w14:textId="77777777" w:rsidR="006C011D" w:rsidRPr="005A284F" w:rsidRDefault="006C011D" w:rsidP="00E94D55">
            <w:pPr>
              <w:rPr>
                <w:rFonts w:ascii="Times New Roman" w:eastAsia="宋体" w:hAnsi="Times New Roman" w:cs="Times New Roman"/>
              </w:rPr>
            </w:pP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7514379C" w14:textId="77777777" w:rsidR="006C011D" w:rsidRPr="005A284F" w:rsidRDefault="006C011D" w:rsidP="00E94D55">
            <w:pPr>
              <w:rPr>
                <w:rFonts w:ascii="Times New Roman" w:eastAsia="宋体" w:hAnsi="Times New Roman" w:cs="Times New Roman"/>
              </w:rPr>
            </w:pPr>
          </w:p>
        </w:tc>
        <w:tc>
          <w:tcPr>
            <w:tcW w:w="425" w:type="dxa"/>
            <w:tcBorders>
              <w:top w:val="single" w:sz="2" w:space="0" w:color="auto"/>
              <w:left w:val="single" w:sz="2" w:space="0" w:color="auto"/>
              <w:bottom w:val="single" w:sz="2" w:space="0" w:color="auto"/>
              <w:right w:val="single" w:sz="2" w:space="0" w:color="auto"/>
            </w:tcBorders>
            <w:shd w:val="clear" w:color="auto" w:fill="D3D3D3"/>
            <w:vAlign w:val="center"/>
          </w:tcPr>
          <w:p w14:paraId="23A643AD" w14:textId="77777777" w:rsidR="006C011D" w:rsidRPr="005A284F" w:rsidRDefault="006C011D" w:rsidP="00E94D55">
            <w:pPr>
              <w:rPr>
                <w:rFonts w:ascii="Times New Roman" w:eastAsia="宋体" w:hAnsi="Times New Roman" w:cs="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14:paraId="3C7EFBD2" w14:textId="77777777" w:rsidR="006C011D" w:rsidRPr="005A284F" w:rsidRDefault="00000000" w:rsidP="00E94D55">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950,000,000.00</w:t>
            </w:r>
          </w:p>
        </w:tc>
        <w:tc>
          <w:tcPr>
            <w:tcW w:w="1134" w:type="dxa"/>
            <w:tcBorders>
              <w:top w:val="single" w:sz="2" w:space="0" w:color="auto"/>
              <w:left w:val="single" w:sz="2" w:space="0" w:color="auto"/>
              <w:bottom w:val="single" w:sz="2" w:space="0" w:color="auto"/>
              <w:right w:val="single" w:sz="2" w:space="0" w:color="auto"/>
            </w:tcBorders>
            <w:vAlign w:val="center"/>
          </w:tcPr>
          <w:p w14:paraId="6E8F7510" w14:textId="77777777" w:rsidR="006C011D" w:rsidRPr="005A284F" w:rsidRDefault="00000000" w:rsidP="00E94D55">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934,309,640.97</w:t>
            </w:r>
          </w:p>
        </w:tc>
        <w:tc>
          <w:tcPr>
            <w:tcW w:w="425" w:type="dxa"/>
            <w:tcBorders>
              <w:top w:val="single" w:sz="2" w:space="0" w:color="auto"/>
              <w:left w:val="single" w:sz="2" w:space="0" w:color="auto"/>
              <w:bottom w:val="single" w:sz="2" w:space="0" w:color="auto"/>
              <w:right w:val="single" w:sz="2" w:space="0" w:color="auto"/>
            </w:tcBorders>
            <w:vAlign w:val="center"/>
          </w:tcPr>
          <w:p w14:paraId="108AD57C" w14:textId="77777777" w:rsidR="006C011D" w:rsidRPr="005A284F" w:rsidRDefault="006C011D" w:rsidP="00E94D55">
            <w:pPr>
              <w:spacing w:after="0" w:line="240" w:lineRule="exact"/>
              <w:jc w:val="right"/>
              <w:rPr>
                <w:rFonts w:ascii="Times New Roman" w:eastAsia="宋体" w:hAnsi="Times New Roman" w:cs="Times New Roman"/>
                <w:sz w:val="18"/>
                <w:szCs w:val="18"/>
              </w:rPr>
            </w:pPr>
          </w:p>
        </w:tc>
        <w:tc>
          <w:tcPr>
            <w:tcW w:w="986" w:type="dxa"/>
            <w:tcBorders>
              <w:top w:val="single" w:sz="2" w:space="0" w:color="auto"/>
              <w:left w:val="single" w:sz="2" w:space="0" w:color="auto"/>
              <w:bottom w:val="single" w:sz="2" w:space="0" w:color="auto"/>
              <w:right w:val="single" w:sz="2" w:space="0" w:color="auto"/>
            </w:tcBorders>
            <w:vAlign w:val="center"/>
          </w:tcPr>
          <w:p w14:paraId="392CB476" w14:textId="77777777" w:rsidR="006C011D" w:rsidRPr="005A284F" w:rsidRDefault="00000000" w:rsidP="00E94D55">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8,444,403.51</w:t>
            </w:r>
          </w:p>
        </w:tc>
        <w:tc>
          <w:tcPr>
            <w:tcW w:w="1134" w:type="dxa"/>
            <w:tcBorders>
              <w:top w:val="single" w:sz="2" w:space="0" w:color="auto"/>
              <w:left w:val="single" w:sz="2" w:space="0" w:color="auto"/>
              <w:bottom w:val="single" w:sz="2" w:space="0" w:color="auto"/>
              <w:right w:val="single" w:sz="2" w:space="0" w:color="auto"/>
            </w:tcBorders>
            <w:vAlign w:val="center"/>
          </w:tcPr>
          <w:p w14:paraId="0313F879" w14:textId="77777777" w:rsidR="006C011D" w:rsidRPr="005A284F" w:rsidRDefault="00000000" w:rsidP="00E94D55">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-16,506,881.48</w:t>
            </w:r>
          </w:p>
        </w:tc>
        <w:tc>
          <w:tcPr>
            <w:tcW w:w="709" w:type="dxa"/>
            <w:tcBorders>
              <w:top w:val="single" w:sz="2" w:space="0" w:color="auto"/>
              <w:left w:val="single" w:sz="2" w:space="0" w:color="auto"/>
              <w:bottom w:val="single" w:sz="2" w:space="0" w:color="auto"/>
              <w:right w:val="single" w:sz="2" w:space="0" w:color="auto"/>
            </w:tcBorders>
            <w:vAlign w:val="center"/>
          </w:tcPr>
          <w:p w14:paraId="302FF91F" w14:textId="1BCFDF90" w:rsidR="006C011D" w:rsidRPr="009F64DD" w:rsidRDefault="009F64DD" w:rsidP="00E94D55">
            <w:pPr>
              <w:spacing w:after="0" w:line="240" w:lineRule="exact"/>
              <w:jc w:val="right"/>
              <w:rPr>
                <w:rFonts w:ascii="Times New Roman" w:eastAsia="宋体" w:hAnsi="Times New Roman" w:cs="Times New Roman"/>
                <w:sz w:val="18"/>
                <w:szCs w:val="18"/>
              </w:rPr>
            </w:pPr>
            <w:r w:rsidRPr="009F64DD">
              <w:rPr>
                <w:rFonts w:ascii="Times New Roman" w:eastAsia="宋体" w:hAnsi="Times New Roman" w:cs="Times New Roman" w:hint="eastAsia"/>
                <w:sz w:val="18"/>
                <w:szCs w:val="18"/>
              </w:rPr>
              <w:t>1,10</w:t>
            </w:r>
            <w:r w:rsidRPr="009F64DD">
              <w:rPr>
                <w:rFonts w:ascii="Times New Roman" w:eastAsia="宋体" w:hAnsi="Times New Roman" w:cs="Times New Roman"/>
                <w:sz w:val="18"/>
                <w:szCs w:val="18"/>
              </w:rPr>
              <w:t>0.00</w:t>
            </w:r>
          </w:p>
        </w:tc>
        <w:tc>
          <w:tcPr>
            <w:tcW w:w="709" w:type="dxa"/>
            <w:tcBorders>
              <w:top w:val="single" w:sz="2" w:space="0" w:color="auto"/>
              <w:left w:val="single" w:sz="2" w:space="0" w:color="auto"/>
              <w:bottom w:val="single" w:sz="2" w:space="0" w:color="auto"/>
              <w:right w:val="single" w:sz="2" w:space="0" w:color="auto"/>
            </w:tcBorders>
            <w:vAlign w:val="center"/>
          </w:tcPr>
          <w:p w14:paraId="3B74F8D3" w14:textId="2A80D56A" w:rsidR="006C011D" w:rsidRPr="005A284F" w:rsidRDefault="009F64DD" w:rsidP="00E94D55">
            <w:pPr>
              <w:spacing w:after="0"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4</w:t>
            </w:r>
            <w:r w:rsidRPr="005A284F">
              <w:rPr>
                <w:rFonts w:ascii="Times New Roman" w:eastAsia="宋体" w:hAnsi="Times New Roman" w:cs="Times New Roman"/>
                <w:sz w:val="18"/>
                <w:szCs w:val="18"/>
              </w:rPr>
              <w:t>,</w:t>
            </w:r>
            <w:r>
              <w:rPr>
                <w:rFonts w:ascii="Times New Roman" w:eastAsia="宋体" w:hAnsi="Times New Roman" w:cs="Times New Roman" w:hint="eastAsia"/>
                <w:sz w:val="18"/>
                <w:szCs w:val="18"/>
              </w:rPr>
              <w:t>0</w:t>
            </w:r>
            <w:r w:rsidRPr="005A284F">
              <w:rPr>
                <w:rFonts w:ascii="Times New Roman" w:eastAsia="宋体" w:hAnsi="Times New Roman" w:cs="Times New Roman"/>
                <w:sz w:val="18"/>
                <w:szCs w:val="18"/>
              </w:rPr>
              <w:t>00.00</w:t>
            </w:r>
          </w:p>
        </w:tc>
        <w:tc>
          <w:tcPr>
            <w:tcW w:w="1134" w:type="dxa"/>
            <w:tcBorders>
              <w:top w:val="single" w:sz="2" w:space="0" w:color="auto"/>
              <w:left w:val="single" w:sz="2" w:space="0" w:color="auto"/>
              <w:bottom w:val="single" w:sz="2" w:space="0" w:color="auto"/>
              <w:right w:val="single" w:sz="2" w:space="0" w:color="auto"/>
            </w:tcBorders>
            <w:vAlign w:val="center"/>
          </w:tcPr>
          <w:p w14:paraId="117A89FA" w14:textId="77777777" w:rsidR="006C011D" w:rsidRPr="005A284F" w:rsidRDefault="00000000" w:rsidP="00E94D55">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959,255,825.96</w:t>
            </w:r>
          </w:p>
        </w:tc>
        <w:tc>
          <w:tcPr>
            <w:tcW w:w="425" w:type="dxa"/>
            <w:tcBorders>
              <w:top w:val="single" w:sz="2" w:space="0" w:color="auto"/>
              <w:left w:val="single" w:sz="2" w:space="0" w:color="auto"/>
              <w:bottom w:val="single" w:sz="2" w:space="0" w:color="auto"/>
              <w:right w:val="single" w:sz="2" w:space="0" w:color="auto"/>
            </w:tcBorders>
            <w:shd w:val="clear" w:color="auto" w:fill="D3D3D3"/>
            <w:vAlign w:val="center"/>
          </w:tcPr>
          <w:p w14:paraId="250BEEB3" w14:textId="77777777" w:rsidR="006C011D" w:rsidRPr="005A284F" w:rsidRDefault="006C011D" w:rsidP="00E94D55">
            <w:pPr>
              <w:rPr>
                <w:rFonts w:ascii="Times New Roman" w:eastAsia="宋体" w:hAnsi="Times New Roman" w:cs="Times New Roman"/>
              </w:rPr>
            </w:pPr>
          </w:p>
        </w:tc>
      </w:tr>
    </w:tbl>
    <w:p w14:paraId="4F5F3C6B" w14:textId="373645A4"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98" w:name="_Toc989228"/>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3</w:t>
      </w:r>
      <w:r w:rsidRPr="005A284F">
        <w:rPr>
          <w:rFonts w:ascii="Times New Roman" w:eastAsia="宋体" w:hAnsi="Times New Roman" w:cs="Times New Roman"/>
          <w:b/>
          <w:bCs/>
          <w:sz w:val="21"/>
          <w:szCs w:val="21"/>
        </w:rPr>
        <w:t>）可转换公司债券的说明</w:t>
      </w:r>
      <w:bookmarkEnd w:id="298"/>
    </w:p>
    <w:p w14:paraId="139DC677" w14:textId="77777777" w:rsidR="000309B5" w:rsidRPr="005A284F" w:rsidRDefault="00000000" w:rsidP="00E94D55">
      <w:pPr>
        <w:pStyle w:val="a3"/>
        <w:spacing w:before="0" w:beforeAutospacing="0" w:after="0" w:afterAutospacing="0" w:line="276" w:lineRule="auto"/>
        <w:ind w:firstLine="357"/>
        <w:jc w:val="both"/>
        <w:divId w:val="1585649641"/>
        <w:rPr>
          <w:rFonts w:ascii="Times New Roman" w:hAnsi="Times New Roman" w:cs="Times New Roman"/>
        </w:rPr>
      </w:pPr>
      <w:r w:rsidRPr="005A284F">
        <w:rPr>
          <w:rFonts w:ascii="Times New Roman" w:hAnsi="Times New Roman" w:cs="Times New Roman"/>
          <w:sz w:val="18"/>
          <w:szCs w:val="18"/>
        </w:rPr>
        <w:t>经证监许可</w:t>
      </w:r>
      <w:r w:rsidRPr="005A284F">
        <w:rPr>
          <w:rFonts w:ascii="Times New Roman" w:hAnsi="Times New Roman" w:cs="Times New Roman"/>
          <w:sz w:val="18"/>
          <w:szCs w:val="18"/>
        </w:rPr>
        <w:t>[2020]1077</w:t>
      </w:r>
      <w:r w:rsidRPr="005A284F">
        <w:rPr>
          <w:rFonts w:ascii="Times New Roman" w:hAnsi="Times New Roman" w:cs="Times New Roman"/>
          <w:sz w:val="18"/>
          <w:szCs w:val="18"/>
        </w:rPr>
        <w:t>号文核准，本公司于</w:t>
      </w:r>
      <w:r w:rsidRPr="005A284F">
        <w:rPr>
          <w:rFonts w:ascii="Times New Roman" w:hAnsi="Times New Roman" w:cs="Times New Roman"/>
          <w:sz w:val="18"/>
          <w:szCs w:val="18"/>
        </w:rPr>
        <w:t>2020</w:t>
      </w:r>
      <w:r w:rsidRPr="005A284F">
        <w:rPr>
          <w:rFonts w:ascii="Times New Roman" w:hAnsi="Times New Roman" w:cs="Times New Roman"/>
          <w:sz w:val="18"/>
          <w:szCs w:val="18"/>
        </w:rPr>
        <w:t>年</w:t>
      </w:r>
      <w:r w:rsidRPr="005A284F">
        <w:rPr>
          <w:rFonts w:ascii="Times New Roman" w:hAnsi="Times New Roman" w:cs="Times New Roman"/>
          <w:sz w:val="18"/>
          <w:szCs w:val="18"/>
        </w:rPr>
        <w:t>7</w:t>
      </w:r>
      <w:r w:rsidRPr="005A284F">
        <w:rPr>
          <w:rFonts w:ascii="Times New Roman" w:hAnsi="Times New Roman" w:cs="Times New Roman"/>
          <w:sz w:val="18"/>
          <w:szCs w:val="18"/>
        </w:rPr>
        <w:t>月</w:t>
      </w:r>
      <w:r w:rsidRPr="005A284F">
        <w:rPr>
          <w:rFonts w:ascii="Times New Roman" w:hAnsi="Times New Roman" w:cs="Times New Roman"/>
          <w:sz w:val="18"/>
          <w:szCs w:val="18"/>
        </w:rPr>
        <w:t>13</w:t>
      </w:r>
      <w:r w:rsidRPr="005A284F">
        <w:rPr>
          <w:rFonts w:ascii="Times New Roman" w:hAnsi="Times New Roman" w:cs="Times New Roman"/>
          <w:sz w:val="18"/>
          <w:szCs w:val="18"/>
        </w:rPr>
        <w:t>日发行票面金额为</w:t>
      </w:r>
      <w:r w:rsidRPr="005A284F">
        <w:rPr>
          <w:rFonts w:ascii="Times New Roman" w:hAnsi="Times New Roman" w:cs="Times New Roman"/>
          <w:sz w:val="18"/>
          <w:szCs w:val="18"/>
        </w:rPr>
        <w:t>100</w:t>
      </w:r>
      <w:r w:rsidRPr="005A284F">
        <w:rPr>
          <w:rFonts w:ascii="Times New Roman" w:hAnsi="Times New Roman" w:cs="Times New Roman"/>
          <w:sz w:val="18"/>
          <w:szCs w:val="18"/>
        </w:rPr>
        <w:t>元的可转换债券</w:t>
      </w:r>
      <w:r w:rsidRPr="005A284F">
        <w:rPr>
          <w:rFonts w:ascii="Times New Roman" w:hAnsi="Times New Roman" w:cs="Times New Roman"/>
          <w:sz w:val="18"/>
          <w:szCs w:val="18"/>
        </w:rPr>
        <w:t>9,500,000</w:t>
      </w:r>
      <w:r w:rsidRPr="005A284F">
        <w:rPr>
          <w:rFonts w:ascii="Times New Roman" w:hAnsi="Times New Roman" w:cs="Times New Roman"/>
          <w:sz w:val="18"/>
          <w:szCs w:val="18"/>
        </w:rPr>
        <w:t>张。债券票面年利率第一年</w:t>
      </w:r>
      <w:r w:rsidRPr="005A284F">
        <w:rPr>
          <w:rFonts w:ascii="Times New Roman" w:hAnsi="Times New Roman" w:cs="Times New Roman"/>
          <w:sz w:val="18"/>
          <w:szCs w:val="18"/>
        </w:rPr>
        <w:t>0.30%</w:t>
      </w:r>
      <w:r w:rsidRPr="005A284F">
        <w:rPr>
          <w:rFonts w:ascii="Times New Roman" w:hAnsi="Times New Roman" w:cs="Times New Roman"/>
          <w:sz w:val="18"/>
          <w:szCs w:val="18"/>
        </w:rPr>
        <w:t>、第二年</w:t>
      </w:r>
      <w:r w:rsidRPr="005A284F">
        <w:rPr>
          <w:rFonts w:ascii="Times New Roman" w:hAnsi="Times New Roman" w:cs="Times New Roman"/>
          <w:sz w:val="18"/>
          <w:szCs w:val="18"/>
        </w:rPr>
        <w:t>0.60%</w:t>
      </w:r>
      <w:r w:rsidRPr="005A284F">
        <w:rPr>
          <w:rFonts w:ascii="Times New Roman" w:hAnsi="Times New Roman" w:cs="Times New Roman"/>
          <w:sz w:val="18"/>
          <w:szCs w:val="18"/>
        </w:rPr>
        <w:t>、第三年</w:t>
      </w:r>
      <w:r w:rsidRPr="005A284F">
        <w:rPr>
          <w:rFonts w:ascii="Times New Roman" w:hAnsi="Times New Roman" w:cs="Times New Roman"/>
          <w:sz w:val="18"/>
          <w:szCs w:val="18"/>
        </w:rPr>
        <w:t>1.00%</w:t>
      </w:r>
      <w:r w:rsidRPr="005A284F">
        <w:rPr>
          <w:rFonts w:ascii="Times New Roman" w:hAnsi="Times New Roman" w:cs="Times New Roman"/>
          <w:sz w:val="18"/>
          <w:szCs w:val="18"/>
        </w:rPr>
        <w:t>、第四年</w:t>
      </w:r>
      <w:r w:rsidRPr="005A284F">
        <w:rPr>
          <w:rFonts w:ascii="Times New Roman" w:hAnsi="Times New Roman" w:cs="Times New Roman"/>
          <w:sz w:val="18"/>
          <w:szCs w:val="18"/>
        </w:rPr>
        <w:t>1.50%</w:t>
      </w:r>
      <w:r w:rsidRPr="005A284F">
        <w:rPr>
          <w:rFonts w:ascii="Times New Roman" w:hAnsi="Times New Roman" w:cs="Times New Roman"/>
          <w:sz w:val="18"/>
          <w:szCs w:val="18"/>
        </w:rPr>
        <w:t>、第五年</w:t>
      </w:r>
      <w:r w:rsidRPr="005A284F">
        <w:rPr>
          <w:rFonts w:ascii="Times New Roman" w:hAnsi="Times New Roman" w:cs="Times New Roman"/>
          <w:sz w:val="18"/>
          <w:szCs w:val="18"/>
        </w:rPr>
        <w:t>1.80%</w:t>
      </w:r>
      <w:r w:rsidRPr="005A284F">
        <w:rPr>
          <w:rFonts w:ascii="Times New Roman" w:hAnsi="Times New Roman" w:cs="Times New Roman"/>
          <w:sz w:val="18"/>
          <w:szCs w:val="18"/>
        </w:rPr>
        <w:t>、第六年</w:t>
      </w:r>
      <w:r w:rsidRPr="005A284F">
        <w:rPr>
          <w:rFonts w:ascii="Times New Roman" w:hAnsi="Times New Roman" w:cs="Times New Roman"/>
          <w:sz w:val="18"/>
          <w:szCs w:val="18"/>
        </w:rPr>
        <w:t>15.00%</w:t>
      </w:r>
      <w:r w:rsidRPr="005A284F">
        <w:rPr>
          <w:rFonts w:ascii="Times New Roman" w:hAnsi="Times New Roman" w:cs="Times New Roman"/>
          <w:sz w:val="18"/>
          <w:szCs w:val="18"/>
        </w:rPr>
        <w:t>，每年的付息日为本次发行的可转债发行首日起每满一年的当日，如该日为法定节假日或休息日，则顺延至下一个交易日，顺延期间不另付息。每相邻的两个付息日之间为一个计息年度。每年的付息债权登记日为每年付息日的前一交易日，公司将在每年付息日之后的五个交易日内支付当年利息，到期一次归还本金。</w:t>
      </w:r>
    </w:p>
    <w:p w14:paraId="26D384CB" w14:textId="77777777" w:rsidR="000309B5" w:rsidRPr="005A284F" w:rsidRDefault="00000000" w:rsidP="00E94D55">
      <w:pPr>
        <w:pStyle w:val="a3"/>
        <w:spacing w:before="0" w:beforeAutospacing="0" w:after="0" w:afterAutospacing="0" w:line="276" w:lineRule="auto"/>
        <w:ind w:firstLine="357"/>
        <w:jc w:val="both"/>
        <w:divId w:val="1585649641"/>
        <w:rPr>
          <w:rFonts w:ascii="Times New Roman" w:hAnsi="Times New Roman" w:cs="Times New Roman"/>
        </w:rPr>
      </w:pPr>
      <w:r w:rsidRPr="005A284F">
        <w:rPr>
          <w:rFonts w:ascii="Times New Roman" w:hAnsi="Times New Roman" w:cs="Times New Roman"/>
          <w:sz w:val="18"/>
          <w:szCs w:val="18"/>
        </w:rPr>
        <w:t>本次发行可转债的初始转股价格为</w:t>
      </w:r>
      <w:r w:rsidRPr="005A284F">
        <w:rPr>
          <w:rFonts w:ascii="Times New Roman" w:hAnsi="Times New Roman" w:cs="Times New Roman"/>
          <w:sz w:val="18"/>
          <w:szCs w:val="18"/>
        </w:rPr>
        <w:t>9.56</w:t>
      </w:r>
      <w:r w:rsidRPr="005A284F">
        <w:rPr>
          <w:rFonts w:ascii="Times New Roman" w:hAnsi="Times New Roman" w:cs="Times New Roman"/>
          <w:sz w:val="18"/>
          <w:szCs w:val="18"/>
        </w:rPr>
        <w:t>元</w:t>
      </w:r>
      <w:r w:rsidRPr="005A284F">
        <w:rPr>
          <w:rFonts w:ascii="Times New Roman" w:hAnsi="Times New Roman" w:cs="Times New Roman"/>
          <w:sz w:val="18"/>
          <w:szCs w:val="18"/>
        </w:rPr>
        <w:t>/</w:t>
      </w:r>
      <w:r w:rsidRPr="005A284F">
        <w:rPr>
          <w:rFonts w:ascii="Times New Roman" w:hAnsi="Times New Roman" w:cs="Times New Roman"/>
          <w:sz w:val="18"/>
          <w:szCs w:val="18"/>
        </w:rPr>
        <w:t>股，在本次发行之后，当公司因派送股票股利、转增股本、增发新股或配股、派送现金股利等情况（不包括因本次发行的可转债转股而增加的股本）使公司股份发生变化时，将依次对转股价格进行相应调整。</w:t>
      </w:r>
    </w:p>
    <w:p w14:paraId="1B9A371D" w14:textId="77777777" w:rsidR="000309B5" w:rsidRPr="005A284F" w:rsidRDefault="00000000" w:rsidP="00E94D55">
      <w:pPr>
        <w:pStyle w:val="a3"/>
        <w:spacing w:before="0" w:beforeAutospacing="0" w:after="0" w:afterAutospacing="0" w:line="276" w:lineRule="auto"/>
        <w:ind w:firstLine="357"/>
        <w:jc w:val="both"/>
        <w:divId w:val="1585649641"/>
        <w:rPr>
          <w:rFonts w:ascii="Times New Roman" w:hAnsi="Times New Roman" w:cs="Times New Roman"/>
        </w:rPr>
      </w:pPr>
      <w:r w:rsidRPr="005A284F">
        <w:rPr>
          <w:rFonts w:ascii="Times New Roman" w:hAnsi="Times New Roman" w:cs="Times New Roman"/>
          <w:sz w:val="18"/>
          <w:szCs w:val="18"/>
        </w:rPr>
        <w:t>公司于</w:t>
      </w:r>
      <w:r w:rsidRPr="005A284F">
        <w:rPr>
          <w:rFonts w:ascii="Times New Roman" w:hAnsi="Times New Roman" w:cs="Times New Roman"/>
          <w:sz w:val="18"/>
          <w:szCs w:val="18"/>
        </w:rPr>
        <w:t>2020</w:t>
      </w:r>
      <w:r w:rsidRPr="005A284F">
        <w:rPr>
          <w:rFonts w:ascii="Times New Roman" w:hAnsi="Times New Roman" w:cs="Times New Roman"/>
          <w:sz w:val="18"/>
          <w:szCs w:val="18"/>
        </w:rPr>
        <w:t>年</w:t>
      </w:r>
      <w:r w:rsidRPr="005A284F">
        <w:rPr>
          <w:rFonts w:ascii="Times New Roman" w:hAnsi="Times New Roman" w:cs="Times New Roman"/>
          <w:sz w:val="18"/>
          <w:szCs w:val="18"/>
        </w:rPr>
        <w:t>12</w:t>
      </w:r>
      <w:r w:rsidRPr="005A284F">
        <w:rPr>
          <w:rFonts w:ascii="Times New Roman" w:hAnsi="Times New Roman" w:cs="Times New Roman"/>
          <w:sz w:val="18"/>
          <w:szCs w:val="18"/>
        </w:rPr>
        <w:t>月</w:t>
      </w:r>
      <w:r w:rsidRPr="005A284F">
        <w:rPr>
          <w:rFonts w:ascii="Times New Roman" w:hAnsi="Times New Roman" w:cs="Times New Roman"/>
          <w:sz w:val="18"/>
          <w:szCs w:val="18"/>
        </w:rPr>
        <w:t>11</w:t>
      </w:r>
      <w:r w:rsidRPr="005A284F">
        <w:rPr>
          <w:rFonts w:ascii="Times New Roman" w:hAnsi="Times New Roman" w:cs="Times New Roman"/>
          <w:sz w:val="18"/>
          <w:szCs w:val="18"/>
        </w:rPr>
        <w:t>日在中国证券登记结算有限责任公司深圳分公司办理完成了</w:t>
      </w:r>
      <w:r w:rsidRPr="005A284F">
        <w:rPr>
          <w:rFonts w:ascii="Times New Roman" w:hAnsi="Times New Roman" w:cs="Times New Roman"/>
          <w:sz w:val="18"/>
          <w:szCs w:val="18"/>
        </w:rPr>
        <w:t>3</w:t>
      </w:r>
      <w:r w:rsidRPr="005A284F">
        <w:rPr>
          <w:rFonts w:ascii="Times New Roman" w:hAnsi="Times New Roman" w:cs="Times New Roman"/>
          <w:sz w:val="18"/>
          <w:szCs w:val="18"/>
        </w:rPr>
        <w:t>名股权激励对象限制性股票的回购注销事宜，公司总股本由</w:t>
      </w:r>
      <w:r w:rsidRPr="005A284F">
        <w:rPr>
          <w:rFonts w:ascii="Times New Roman" w:hAnsi="Times New Roman" w:cs="Times New Roman"/>
          <w:sz w:val="18"/>
          <w:szCs w:val="18"/>
        </w:rPr>
        <w:t>998,288,980</w:t>
      </w:r>
      <w:r w:rsidRPr="005A284F">
        <w:rPr>
          <w:rFonts w:ascii="Times New Roman" w:hAnsi="Times New Roman" w:cs="Times New Roman"/>
          <w:sz w:val="18"/>
          <w:szCs w:val="18"/>
        </w:rPr>
        <w:t>股变更为</w:t>
      </w:r>
      <w:r w:rsidRPr="005A284F">
        <w:rPr>
          <w:rFonts w:ascii="Times New Roman" w:hAnsi="Times New Roman" w:cs="Times New Roman"/>
          <w:sz w:val="18"/>
          <w:szCs w:val="18"/>
        </w:rPr>
        <w:t>995,938,580</w:t>
      </w:r>
      <w:r w:rsidRPr="005A284F">
        <w:rPr>
          <w:rFonts w:ascii="Times New Roman" w:hAnsi="Times New Roman" w:cs="Times New Roman"/>
          <w:sz w:val="18"/>
          <w:szCs w:val="18"/>
        </w:rPr>
        <w:t>股，共计</w:t>
      </w:r>
      <w:r w:rsidRPr="005A284F">
        <w:rPr>
          <w:rFonts w:ascii="Times New Roman" w:hAnsi="Times New Roman" w:cs="Times New Roman"/>
          <w:sz w:val="18"/>
          <w:szCs w:val="18"/>
        </w:rPr>
        <w:t>2,350,400</w:t>
      </w:r>
      <w:r w:rsidRPr="005A284F">
        <w:rPr>
          <w:rFonts w:ascii="Times New Roman" w:hAnsi="Times New Roman" w:cs="Times New Roman"/>
          <w:sz w:val="18"/>
          <w:szCs w:val="18"/>
        </w:rPr>
        <w:t>股限制性股票回购注销完成。根据公司可转换公司债券转股价格调整的相关条款，</w:t>
      </w:r>
      <w:r w:rsidRPr="005A284F">
        <w:rPr>
          <w:rFonts w:ascii="Times New Roman" w:hAnsi="Times New Roman" w:cs="Times New Roman"/>
          <w:sz w:val="18"/>
          <w:szCs w:val="18"/>
        </w:rPr>
        <w:t>“</w:t>
      </w:r>
      <w:r w:rsidRPr="005A284F">
        <w:rPr>
          <w:rFonts w:ascii="Times New Roman" w:hAnsi="Times New Roman" w:cs="Times New Roman"/>
          <w:sz w:val="18"/>
          <w:szCs w:val="18"/>
        </w:rPr>
        <w:t>龙大转债</w:t>
      </w:r>
      <w:r w:rsidRPr="005A284F">
        <w:rPr>
          <w:rFonts w:ascii="Times New Roman" w:hAnsi="Times New Roman" w:cs="Times New Roman"/>
          <w:sz w:val="18"/>
          <w:szCs w:val="18"/>
        </w:rPr>
        <w:t>”</w:t>
      </w:r>
      <w:r w:rsidRPr="005A284F">
        <w:rPr>
          <w:rFonts w:ascii="Times New Roman" w:hAnsi="Times New Roman" w:cs="Times New Roman"/>
          <w:sz w:val="18"/>
          <w:szCs w:val="18"/>
        </w:rPr>
        <w:t>的转股价格作相应调整：调整前</w:t>
      </w:r>
      <w:r w:rsidRPr="005A284F">
        <w:rPr>
          <w:rFonts w:ascii="Times New Roman" w:hAnsi="Times New Roman" w:cs="Times New Roman"/>
          <w:sz w:val="18"/>
          <w:szCs w:val="18"/>
        </w:rPr>
        <w:t>“</w:t>
      </w:r>
      <w:r w:rsidRPr="005A284F">
        <w:rPr>
          <w:rFonts w:ascii="Times New Roman" w:hAnsi="Times New Roman" w:cs="Times New Roman"/>
          <w:sz w:val="18"/>
          <w:szCs w:val="18"/>
        </w:rPr>
        <w:t>龙大转债</w:t>
      </w:r>
      <w:r w:rsidRPr="005A284F">
        <w:rPr>
          <w:rFonts w:ascii="Times New Roman" w:hAnsi="Times New Roman" w:cs="Times New Roman"/>
          <w:sz w:val="18"/>
          <w:szCs w:val="18"/>
        </w:rPr>
        <w:t>”</w:t>
      </w:r>
      <w:r w:rsidRPr="005A284F">
        <w:rPr>
          <w:rFonts w:ascii="Times New Roman" w:hAnsi="Times New Roman" w:cs="Times New Roman"/>
          <w:sz w:val="18"/>
          <w:szCs w:val="18"/>
        </w:rPr>
        <w:t>转股价格为</w:t>
      </w:r>
      <w:r w:rsidRPr="005A284F">
        <w:rPr>
          <w:rFonts w:ascii="Times New Roman" w:hAnsi="Times New Roman" w:cs="Times New Roman"/>
          <w:sz w:val="18"/>
          <w:szCs w:val="18"/>
        </w:rPr>
        <w:t>9.56</w:t>
      </w:r>
      <w:r w:rsidRPr="005A284F">
        <w:rPr>
          <w:rFonts w:ascii="Times New Roman" w:hAnsi="Times New Roman" w:cs="Times New Roman"/>
          <w:sz w:val="18"/>
          <w:szCs w:val="18"/>
        </w:rPr>
        <w:t>元</w:t>
      </w:r>
      <w:r w:rsidRPr="005A284F">
        <w:rPr>
          <w:rFonts w:ascii="Times New Roman" w:hAnsi="Times New Roman" w:cs="Times New Roman"/>
          <w:sz w:val="18"/>
          <w:szCs w:val="18"/>
        </w:rPr>
        <w:t>/</w:t>
      </w:r>
      <w:r w:rsidRPr="005A284F">
        <w:rPr>
          <w:rFonts w:ascii="Times New Roman" w:hAnsi="Times New Roman" w:cs="Times New Roman"/>
          <w:sz w:val="18"/>
          <w:szCs w:val="18"/>
        </w:rPr>
        <w:t>股，调整后转股价格为</w:t>
      </w:r>
      <w:r w:rsidRPr="005A284F">
        <w:rPr>
          <w:rFonts w:ascii="Times New Roman" w:hAnsi="Times New Roman" w:cs="Times New Roman"/>
          <w:sz w:val="18"/>
          <w:szCs w:val="18"/>
        </w:rPr>
        <w:t>9.57</w:t>
      </w:r>
      <w:r w:rsidRPr="005A284F">
        <w:rPr>
          <w:rFonts w:ascii="Times New Roman" w:hAnsi="Times New Roman" w:cs="Times New Roman"/>
          <w:sz w:val="18"/>
          <w:szCs w:val="18"/>
        </w:rPr>
        <w:t>元</w:t>
      </w:r>
      <w:r w:rsidRPr="005A284F">
        <w:rPr>
          <w:rFonts w:ascii="Times New Roman" w:hAnsi="Times New Roman" w:cs="Times New Roman"/>
          <w:sz w:val="18"/>
          <w:szCs w:val="18"/>
        </w:rPr>
        <w:t>/</w:t>
      </w:r>
      <w:r w:rsidRPr="005A284F">
        <w:rPr>
          <w:rFonts w:ascii="Times New Roman" w:hAnsi="Times New Roman" w:cs="Times New Roman"/>
          <w:sz w:val="18"/>
          <w:szCs w:val="18"/>
        </w:rPr>
        <w:t>股。调整后的转股价格自</w:t>
      </w:r>
      <w:r w:rsidRPr="005A284F">
        <w:rPr>
          <w:rFonts w:ascii="Times New Roman" w:hAnsi="Times New Roman" w:cs="Times New Roman"/>
          <w:sz w:val="18"/>
          <w:szCs w:val="18"/>
        </w:rPr>
        <w:t>2020</w:t>
      </w:r>
      <w:r w:rsidRPr="005A284F">
        <w:rPr>
          <w:rFonts w:ascii="Times New Roman" w:hAnsi="Times New Roman" w:cs="Times New Roman"/>
          <w:sz w:val="18"/>
          <w:szCs w:val="18"/>
        </w:rPr>
        <w:t>年</w:t>
      </w:r>
      <w:r w:rsidRPr="005A284F">
        <w:rPr>
          <w:rFonts w:ascii="Times New Roman" w:hAnsi="Times New Roman" w:cs="Times New Roman"/>
          <w:sz w:val="18"/>
          <w:szCs w:val="18"/>
        </w:rPr>
        <w:t>12</w:t>
      </w:r>
      <w:r w:rsidRPr="005A284F">
        <w:rPr>
          <w:rFonts w:ascii="Times New Roman" w:hAnsi="Times New Roman" w:cs="Times New Roman"/>
          <w:sz w:val="18"/>
          <w:szCs w:val="18"/>
        </w:rPr>
        <w:t>月</w:t>
      </w:r>
      <w:r w:rsidRPr="005A284F">
        <w:rPr>
          <w:rFonts w:ascii="Times New Roman" w:hAnsi="Times New Roman" w:cs="Times New Roman"/>
          <w:sz w:val="18"/>
          <w:szCs w:val="18"/>
        </w:rPr>
        <w:t>14</w:t>
      </w:r>
      <w:r w:rsidRPr="005A284F">
        <w:rPr>
          <w:rFonts w:ascii="Times New Roman" w:hAnsi="Times New Roman" w:cs="Times New Roman"/>
          <w:sz w:val="18"/>
          <w:szCs w:val="18"/>
        </w:rPr>
        <w:t>日起生效。</w:t>
      </w:r>
    </w:p>
    <w:p w14:paraId="06412570" w14:textId="77777777" w:rsidR="000309B5" w:rsidRPr="005A284F" w:rsidRDefault="00000000" w:rsidP="00E94D55">
      <w:pPr>
        <w:pStyle w:val="a3"/>
        <w:spacing w:before="0" w:beforeAutospacing="0" w:after="0" w:afterAutospacing="0" w:line="276" w:lineRule="auto"/>
        <w:ind w:firstLine="357"/>
        <w:jc w:val="both"/>
        <w:divId w:val="1585649641"/>
        <w:rPr>
          <w:rFonts w:ascii="Times New Roman" w:hAnsi="Times New Roman" w:cs="Times New Roman"/>
        </w:rPr>
      </w:pPr>
      <w:r w:rsidRPr="005A284F">
        <w:rPr>
          <w:rFonts w:ascii="Times New Roman" w:hAnsi="Times New Roman" w:cs="Times New Roman"/>
          <w:sz w:val="18"/>
          <w:szCs w:val="18"/>
        </w:rPr>
        <w:t>2021</w:t>
      </w:r>
      <w:r w:rsidRPr="005A284F">
        <w:rPr>
          <w:rFonts w:ascii="Times New Roman" w:hAnsi="Times New Roman" w:cs="Times New Roman"/>
          <w:sz w:val="18"/>
          <w:szCs w:val="18"/>
        </w:rPr>
        <w:t>年</w:t>
      </w:r>
      <w:r w:rsidRPr="005A284F">
        <w:rPr>
          <w:rFonts w:ascii="Times New Roman" w:hAnsi="Times New Roman" w:cs="Times New Roman"/>
          <w:sz w:val="18"/>
          <w:szCs w:val="18"/>
        </w:rPr>
        <w:t>4</w:t>
      </w:r>
      <w:r w:rsidRPr="005A284F">
        <w:rPr>
          <w:rFonts w:ascii="Times New Roman" w:hAnsi="Times New Roman" w:cs="Times New Roman"/>
          <w:sz w:val="18"/>
          <w:szCs w:val="18"/>
        </w:rPr>
        <w:t>月</w:t>
      </w:r>
      <w:r w:rsidRPr="005A284F">
        <w:rPr>
          <w:rFonts w:ascii="Times New Roman" w:hAnsi="Times New Roman" w:cs="Times New Roman"/>
          <w:sz w:val="18"/>
          <w:szCs w:val="18"/>
        </w:rPr>
        <w:t>30</w:t>
      </w:r>
      <w:r w:rsidRPr="005A284F">
        <w:rPr>
          <w:rFonts w:ascii="Times New Roman" w:hAnsi="Times New Roman" w:cs="Times New Roman"/>
          <w:sz w:val="18"/>
          <w:szCs w:val="18"/>
        </w:rPr>
        <w:t>日，公司实施完成了</w:t>
      </w:r>
      <w:r w:rsidRPr="005A284F">
        <w:rPr>
          <w:rFonts w:ascii="Times New Roman" w:hAnsi="Times New Roman" w:cs="Times New Roman"/>
          <w:sz w:val="18"/>
          <w:szCs w:val="18"/>
        </w:rPr>
        <w:t>2020</w:t>
      </w:r>
      <w:r w:rsidRPr="005A284F">
        <w:rPr>
          <w:rFonts w:ascii="Times New Roman" w:hAnsi="Times New Roman" w:cs="Times New Roman"/>
          <w:sz w:val="18"/>
          <w:szCs w:val="18"/>
        </w:rPr>
        <w:t>年度权益分派方案。根据公司可转换公司债券转股价格调整的相关条款，</w:t>
      </w:r>
      <w:r w:rsidRPr="005A284F">
        <w:rPr>
          <w:rFonts w:ascii="Times New Roman" w:hAnsi="Times New Roman" w:cs="Times New Roman"/>
          <w:sz w:val="18"/>
          <w:szCs w:val="18"/>
        </w:rPr>
        <w:t>“</w:t>
      </w:r>
      <w:r w:rsidRPr="005A284F">
        <w:rPr>
          <w:rFonts w:ascii="Times New Roman" w:hAnsi="Times New Roman" w:cs="Times New Roman"/>
          <w:sz w:val="18"/>
          <w:szCs w:val="18"/>
        </w:rPr>
        <w:t>龙大转债</w:t>
      </w:r>
      <w:r w:rsidRPr="005A284F">
        <w:rPr>
          <w:rFonts w:ascii="Times New Roman" w:hAnsi="Times New Roman" w:cs="Times New Roman"/>
          <w:sz w:val="18"/>
          <w:szCs w:val="18"/>
        </w:rPr>
        <w:t>”</w:t>
      </w:r>
      <w:r w:rsidRPr="005A284F">
        <w:rPr>
          <w:rFonts w:ascii="Times New Roman" w:hAnsi="Times New Roman" w:cs="Times New Roman"/>
          <w:sz w:val="18"/>
          <w:szCs w:val="18"/>
        </w:rPr>
        <w:t>的转股价格由</w:t>
      </w:r>
      <w:r w:rsidRPr="005A284F">
        <w:rPr>
          <w:rFonts w:ascii="Times New Roman" w:hAnsi="Times New Roman" w:cs="Times New Roman"/>
          <w:sz w:val="18"/>
          <w:szCs w:val="18"/>
        </w:rPr>
        <w:t>9.57</w:t>
      </w:r>
      <w:r w:rsidRPr="005A284F">
        <w:rPr>
          <w:rFonts w:ascii="Times New Roman" w:hAnsi="Times New Roman" w:cs="Times New Roman"/>
          <w:sz w:val="18"/>
          <w:szCs w:val="18"/>
        </w:rPr>
        <w:t>元</w:t>
      </w:r>
      <w:r w:rsidRPr="005A284F">
        <w:rPr>
          <w:rFonts w:ascii="Times New Roman" w:hAnsi="Times New Roman" w:cs="Times New Roman"/>
          <w:sz w:val="18"/>
          <w:szCs w:val="18"/>
        </w:rPr>
        <w:t>/</w:t>
      </w:r>
      <w:r w:rsidRPr="005A284F">
        <w:rPr>
          <w:rFonts w:ascii="Times New Roman" w:hAnsi="Times New Roman" w:cs="Times New Roman"/>
          <w:sz w:val="18"/>
          <w:szCs w:val="18"/>
        </w:rPr>
        <w:t>股调整为</w:t>
      </w:r>
      <w:r w:rsidRPr="005A284F">
        <w:rPr>
          <w:rFonts w:ascii="Times New Roman" w:hAnsi="Times New Roman" w:cs="Times New Roman"/>
          <w:sz w:val="18"/>
          <w:szCs w:val="18"/>
        </w:rPr>
        <w:t>9.38</w:t>
      </w:r>
      <w:r w:rsidRPr="005A284F">
        <w:rPr>
          <w:rFonts w:ascii="Times New Roman" w:hAnsi="Times New Roman" w:cs="Times New Roman"/>
          <w:sz w:val="18"/>
          <w:szCs w:val="18"/>
        </w:rPr>
        <w:t>元</w:t>
      </w:r>
      <w:r w:rsidRPr="005A284F">
        <w:rPr>
          <w:rFonts w:ascii="Times New Roman" w:hAnsi="Times New Roman" w:cs="Times New Roman"/>
          <w:sz w:val="18"/>
          <w:szCs w:val="18"/>
        </w:rPr>
        <w:t>/</w:t>
      </w:r>
      <w:r w:rsidRPr="005A284F">
        <w:rPr>
          <w:rFonts w:ascii="Times New Roman" w:hAnsi="Times New Roman" w:cs="Times New Roman"/>
          <w:sz w:val="18"/>
          <w:szCs w:val="18"/>
        </w:rPr>
        <w:t>股。调整后的转股价格自</w:t>
      </w:r>
      <w:r w:rsidRPr="005A284F">
        <w:rPr>
          <w:rFonts w:ascii="Times New Roman" w:hAnsi="Times New Roman" w:cs="Times New Roman"/>
          <w:sz w:val="18"/>
          <w:szCs w:val="18"/>
        </w:rPr>
        <w:t>2021</w:t>
      </w:r>
      <w:r w:rsidRPr="005A284F">
        <w:rPr>
          <w:rFonts w:ascii="Times New Roman" w:hAnsi="Times New Roman" w:cs="Times New Roman"/>
          <w:sz w:val="18"/>
          <w:szCs w:val="18"/>
        </w:rPr>
        <w:t>年</w:t>
      </w:r>
      <w:r w:rsidRPr="005A284F">
        <w:rPr>
          <w:rFonts w:ascii="Times New Roman" w:hAnsi="Times New Roman" w:cs="Times New Roman"/>
          <w:sz w:val="18"/>
          <w:szCs w:val="18"/>
        </w:rPr>
        <w:t>4</w:t>
      </w:r>
      <w:r w:rsidRPr="005A284F">
        <w:rPr>
          <w:rFonts w:ascii="Times New Roman" w:hAnsi="Times New Roman" w:cs="Times New Roman"/>
          <w:sz w:val="18"/>
          <w:szCs w:val="18"/>
        </w:rPr>
        <w:t>月</w:t>
      </w:r>
      <w:r w:rsidRPr="005A284F">
        <w:rPr>
          <w:rFonts w:ascii="Times New Roman" w:hAnsi="Times New Roman" w:cs="Times New Roman"/>
          <w:sz w:val="18"/>
          <w:szCs w:val="18"/>
        </w:rPr>
        <w:t>30</w:t>
      </w:r>
      <w:r w:rsidRPr="005A284F">
        <w:rPr>
          <w:rFonts w:ascii="Times New Roman" w:hAnsi="Times New Roman" w:cs="Times New Roman"/>
          <w:sz w:val="18"/>
          <w:szCs w:val="18"/>
        </w:rPr>
        <w:t>日起生效。</w:t>
      </w:r>
    </w:p>
    <w:p w14:paraId="0C45DB42" w14:textId="77777777" w:rsidR="000309B5" w:rsidRPr="005A284F" w:rsidRDefault="00000000" w:rsidP="00E94D55">
      <w:pPr>
        <w:pStyle w:val="a3"/>
        <w:spacing w:before="0" w:beforeAutospacing="0" w:after="0" w:afterAutospacing="0" w:line="276" w:lineRule="auto"/>
        <w:ind w:firstLine="357"/>
        <w:jc w:val="both"/>
        <w:divId w:val="1585649641"/>
        <w:rPr>
          <w:rFonts w:ascii="Times New Roman" w:hAnsi="Times New Roman" w:cs="Times New Roman"/>
        </w:rPr>
      </w:pPr>
      <w:r w:rsidRPr="005A284F">
        <w:rPr>
          <w:rFonts w:ascii="Times New Roman" w:hAnsi="Times New Roman" w:cs="Times New Roman"/>
          <w:sz w:val="18"/>
          <w:szCs w:val="18"/>
        </w:rPr>
        <w:t>自前次转股价格调整日</w:t>
      </w:r>
      <w:r w:rsidRPr="005A284F">
        <w:rPr>
          <w:rFonts w:ascii="Times New Roman" w:hAnsi="Times New Roman" w:cs="Times New Roman"/>
          <w:sz w:val="18"/>
          <w:szCs w:val="18"/>
        </w:rPr>
        <w:t>2021</w:t>
      </w:r>
      <w:r w:rsidRPr="005A284F">
        <w:rPr>
          <w:rFonts w:ascii="Times New Roman" w:hAnsi="Times New Roman" w:cs="Times New Roman"/>
          <w:sz w:val="18"/>
          <w:szCs w:val="18"/>
        </w:rPr>
        <w:t>年</w:t>
      </w:r>
      <w:r w:rsidRPr="005A284F">
        <w:rPr>
          <w:rFonts w:ascii="Times New Roman" w:hAnsi="Times New Roman" w:cs="Times New Roman"/>
          <w:sz w:val="18"/>
          <w:szCs w:val="18"/>
        </w:rPr>
        <w:t>4</w:t>
      </w:r>
      <w:r w:rsidRPr="005A284F">
        <w:rPr>
          <w:rFonts w:ascii="Times New Roman" w:hAnsi="Times New Roman" w:cs="Times New Roman"/>
          <w:sz w:val="18"/>
          <w:szCs w:val="18"/>
        </w:rPr>
        <w:t>月</w:t>
      </w:r>
      <w:r w:rsidRPr="005A284F">
        <w:rPr>
          <w:rFonts w:ascii="Times New Roman" w:hAnsi="Times New Roman" w:cs="Times New Roman"/>
          <w:sz w:val="18"/>
          <w:szCs w:val="18"/>
        </w:rPr>
        <w:t>30</w:t>
      </w:r>
      <w:r w:rsidRPr="005A284F">
        <w:rPr>
          <w:rFonts w:ascii="Times New Roman" w:hAnsi="Times New Roman" w:cs="Times New Roman"/>
          <w:sz w:val="18"/>
          <w:szCs w:val="18"/>
        </w:rPr>
        <w:t>日起至</w:t>
      </w:r>
      <w:r w:rsidRPr="005A284F">
        <w:rPr>
          <w:rFonts w:ascii="Times New Roman" w:hAnsi="Times New Roman" w:cs="Times New Roman"/>
          <w:sz w:val="18"/>
          <w:szCs w:val="18"/>
        </w:rPr>
        <w:t>2021</w:t>
      </w:r>
      <w:r w:rsidRPr="005A284F">
        <w:rPr>
          <w:rFonts w:ascii="Times New Roman" w:hAnsi="Times New Roman" w:cs="Times New Roman"/>
          <w:sz w:val="18"/>
          <w:szCs w:val="18"/>
        </w:rPr>
        <w:t>年</w:t>
      </w:r>
      <w:r w:rsidRPr="005A284F">
        <w:rPr>
          <w:rFonts w:ascii="Times New Roman" w:hAnsi="Times New Roman" w:cs="Times New Roman"/>
          <w:sz w:val="18"/>
          <w:szCs w:val="18"/>
        </w:rPr>
        <w:t>8</w:t>
      </w:r>
      <w:r w:rsidRPr="005A284F">
        <w:rPr>
          <w:rFonts w:ascii="Times New Roman" w:hAnsi="Times New Roman" w:cs="Times New Roman"/>
          <w:sz w:val="18"/>
          <w:szCs w:val="18"/>
        </w:rPr>
        <w:t>月</w:t>
      </w:r>
      <w:r w:rsidRPr="005A284F">
        <w:rPr>
          <w:rFonts w:ascii="Times New Roman" w:hAnsi="Times New Roman" w:cs="Times New Roman"/>
          <w:sz w:val="18"/>
          <w:szCs w:val="18"/>
        </w:rPr>
        <w:t>2</w:t>
      </w:r>
      <w:r w:rsidRPr="005A284F">
        <w:rPr>
          <w:rFonts w:ascii="Times New Roman" w:hAnsi="Times New Roman" w:cs="Times New Roman"/>
          <w:sz w:val="18"/>
          <w:szCs w:val="18"/>
        </w:rPr>
        <w:t>日，公司总股本因激励对象自主行权以及公司非公开发行股票上市成功发生变化，根据公司可转换公司债券转股价格调整的相关条款，</w:t>
      </w:r>
      <w:r w:rsidRPr="005A284F">
        <w:rPr>
          <w:rFonts w:ascii="Times New Roman" w:hAnsi="Times New Roman" w:cs="Times New Roman"/>
          <w:sz w:val="18"/>
          <w:szCs w:val="18"/>
        </w:rPr>
        <w:t>“</w:t>
      </w:r>
      <w:r w:rsidRPr="005A284F">
        <w:rPr>
          <w:rFonts w:ascii="Times New Roman" w:hAnsi="Times New Roman" w:cs="Times New Roman"/>
          <w:sz w:val="18"/>
          <w:szCs w:val="18"/>
        </w:rPr>
        <w:t>龙大转债</w:t>
      </w:r>
      <w:r w:rsidRPr="005A284F">
        <w:rPr>
          <w:rFonts w:ascii="Times New Roman" w:hAnsi="Times New Roman" w:cs="Times New Roman"/>
          <w:sz w:val="18"/>
          <w:szCs w:val="18"/>
        </w:rPr>
        <w:t>”</w:t>
      </w:r>
      <w:r w:rsidRPr="005A284F">
        <w:rPr>
          <w:rFonts w:ascii="Times New Roman" w:hAnsi="Times New Roman" w:cs="Times New Roman"/>
          <w:sz w:val="18"/>
          <w:szCs w:val="18"/>
        </w:rPr>
        <w:t>的转股价由</w:t>
      </w:r>
      <w:r w:rsidRPr="005A284F">
        <w:rPr>
          <w:rFonts w:ascii="Times New Roman" w:hAnsi="Times New Roman" w:cs="Times New Roman"/>
          <w:sz w:val="18"/>
          <w:szCs w:val="18"/>
        </w:rPr>
        <w:t>9.38</w:t>
      </w:r>
      <w:r w:rsidRPr="005A284F">
        <w:rPr>
          <w:rFonts w:ascii="Times New Roman" w:hAnsi="Times New Roman" w:cs="Times New Roman"/>
          <w:sz w:val="18"/>
          <w:szCs w:val="18"/>
        </w:rPr>
        <w:t>元</w:t>
      </w:r>
      <w:r w:rsidRPr="005A284F">
        <w:rPr>
          <w:rFonts w:ascii="Times New Roman" w:hAnsi="Times New Roman" w:cs="Times New Roman"/>
          <w:sz w:val="18"/>
          <w:szCs w:val="18"/>
        </w:rPr>
        <w:t>/</w:t>
      </w:r>
      <w:r w:rsidRPr="005A284F">
        <w:rPr>
          <w:rFonts w:ascii="Times New Roman" w:hAnsi="Times New Roman" w:cs="Times New Roman"/>
          <w:sz w:val="18"/>
          <w:szCs w:val="18"/>
        </w:rPr>
        <w:t>股调整为</w:t>
      </w:r>
      <w:r w:rsidRPr="005A284F">
        <w:rPr>
          <w:rFonts w:ascii="Times New Roman" w:hAnsi="Times New Roman" w:cs="Times New Roman"/>
          <w:sz w:val="18"/>
          <w:szCs w:val="18"/>
        </w:rPr>
        <w:t>9.29</w:t>
      </w:r>
      <w:r w:rsidRPr="005A284F">
        <w:rPr>
          <w:rFonts w:ascii="Times New Roman" w:hAnsi="Times New Roman" w:cs="Times New Roman"/>
          <w:sz w:val="18"/>
          <w:szCs w:val="18"/>
        </w:rPr>
        <w:t>元</w:t>
      </w:r>
      <w:r w:rsidRPr="005A284F">
        <w:rPr>
          <w:rFonts w:ascii="Times New Roman" w:hAnsi="Times New Roman" w:cs="Times New Roman"/>
          <w:sz w:val="18"/>
          <w:szCs w:val="18"/>
        </w:rPr>
        <w:t>/</w:t>
      </w:r>
      <w:r w:rsidRPr="005A284F">
        <w:rPr>
          <w:rFonts w:ascii="Times New Roman" w:hAnsi="Times New Roman" w:cs="Times New Roman"/>
          <w:sz w:val="18"/>
          <w:szCs w:val="18"/>
        </w:rPr>
        <w:t>股。调整后的转股价格自</w:t>
      </w:r>
      <w:r w:rsidRPr="005A284F">
        <w:rPr>
          <w:rFonts w:ascii="Times New Roman" w:hAnsi="Times New Roman" w:cs="Times New Roman"/>
          <w:sz w:val="18"/>
          <w:szCs w:val="18"/>
        </w:rPr>
        <w:t>2021</w:t>
      </w:r>
      <w:r w:rsidRPr="005A284F">
        <w:rPr>
          <w:rFonts w:ascii="Times New Roman" w:hAnsi="Times New Roman" w:cs="Times New Roman"/>
          <w:sz w:val="18"/>
          <w:szCs w:val="18"/>
        </w:rPr>
        <w:t>年</w:t>
      </w:r>
      <w:r w:rsidRPr="005A284F">
        <w:rPr>
          <w:rFonts w:ascii="Times New Roman" w:hAnsi="Times New Roman" w:cs="Times New Roman"/>
          <w:sz w:val="18"/>
          <w:szCs w:val="18"/>
        </w:rPr>
        <w:t>8</w:t>
      </w:r>
      <w:r w:rsidRPr="005A284F">
        <w:rPr>
          <w:rFonts w:ascii="Times New Roman" w:hAnsi="Times New Roman" w:cs="Times New Roman"/>
          <w:sz w:val="18"/>
          <w:szCs w:val="18"/>
        </w:rPr>
        <w:t>月</w:t>
      </w:r>
      <w:r w:rsidRPr="005A284F">
        <w:rPr>
          <w:rFonts w:ascii="Times New Roman" w:hAnsi="Times New Roman" w:cs="Times New Roman"/>
          <w:sz w:val="18"/>
          <w:szCs w:val="18"/>
        </w:rPr>
        <w:t>12</w:t>
      </w:r>
      <w:r w:rsidRPr="005A284F">
        <w:rPr>
          <w:rFonts w:ascii="Times New Roman" w:hAnsi="Times New Roman" w:cs="Times New Roman"/>
          <w:sz w:val="18"/>
          <w:szCs w:val="18"/>
        </w:rPr>
        <w:t>日起生效。</w:t>
      </w:r>
    </w:p>
    <w:p w14:paraId="6EF934D6" w14:textId="77777777" w:rsidR="000309B5" w:rsidRPr="005A284F" w:rsidRDefault="00000000" w:rsidP="00E94D55">
      <w:pPr>
        <w:pStyle w:val="a3"/>
        <w:spacing w:before="0" w:beforeAutospacing="0" w:after="0" w:afterAutospacing="0" w:line="276" w:lineRule="auto"/>
        <w:ind w:firstLine="357"/>
        <w:jc w:val="both"/>
        <w:divId w:val="1585649641"/>
        <w:rPr>
          <w:rFonts w:ascii="Times New Roman" w:hAnsi="Times New Roman" w:cs="Times New Roman"/>
        </w:rPr>
      </w:pPr>
      <w:r w:rsidRPr="005A284F">
        <w:rPr>
          <w:rFonts w:ascii="Times New Roman" w:hAnsi="Times New Roman" w:cs="Times New Roman"/>
          <w:sz w:val="18"/>
          <w:szCs w:val="18"/>
        </w:rPr>
        <w:t>2022</w:t>
      </w:r>
      <w:r w:rsidRPr="005A284F">
        <w:rPr>
          <w:rFonts w:ascii="Times New Roman" w:hAnsi="Times New Roman" w:cs="Times New Roman"/>
          <w:sz w:val="18"/>
          <w:szCs w:val="18"/>
        </w:rPr>
        <w:t>年</w:t>
      </w:r>
      <w:r w:rsidRPr="005A284F">
        <w:rPr>
          <w:rFonts w:ascii="Times New Roman" w:hAnsi="Times New Roman" w:cs="Times New Roman"/>
          <w:sz w:val="18"/>
          <w:szCs w:val="18"/>
        </w:rPr>
        <w:t>3</w:t>
      </w:r>
      <w:r w:rsidRPr="005A284F">
        <w:rPr>
          <w:rFonts w:ascii="Times New Roman" w:hAnsi="Times New Roman" w:cs="Times New Roman"/>
          <w:sz w:val="18"/>
          <w:szCs w:val="18"/>
        </w:rPr>
        <w:t>月</w:t>
      </w:r>
      <w:r w:rsidRPr="005A284F">
        <w:rPr>
          <w:rFonts w:ascii="Times New Roman" w:hAnsi="Times New Roman" w:cs="Times New Roman"/>
          <w:sz w:val="18"/>
          <w:szCs w:val="18"/>
        </w:rPr>
        <w:t>31</w:t>
      </w:r>
      <w:r w:rsidRPr="005A284F">
        <w:rPr>
          <w:rFonts w:ascii="Times New Roman" w:hAnsi="Times New Roman" w:cs="Times New Roman"/>
          <w:sz w:val="18"/>
          <w:szCs w:val="18"/>
        </w:rPr>
        <w:t>日，因公司</w:t>
      </w:r>
      <w:r w:rsidRPr="005A284F">
        <w:rPr>
          <w:rFonts w:ascii="Times New Roman" w:hAnsi="Times New Roman" w:cs="Times New Roman"/>
          <w:sz w:val="18"/>
          <w:szCs w:val="18"/>
        </w:rPr>
        <w:t>2019</w:t>
      </w:r>
      <w:r w:rsidRPr="005A284F">
        <w:rPr>
          <w:rFonts w:ascii="Times New Roman" w:hAnsi="Times New Roman" w:cs="Times New Roman"/>
          <w:sz w:val="18"/>
          <w:szCs w:val="18"/>
        </w:rPr>
        <w:t>年股票期权与限制性股票激励计划第一个、第二个行权期行权及公司限制性股票回购注销，公司对可转换债券当期转股价格进行调整，修正后的转股价格为</w:t>
      </w:r>
      <w:r w:rsidRPr="005A284F">
        <w:rPr>
          <w:rFonts w:ascii="Times New Roman" w:hAnsi="Times New Roman" w:cs="Times New Roman"/>
          <w:sz w:val="18"/>
          <w:szCs w:val="18"/>
        </w:rPr>
        <w:t>9.28</w:t>
      </w:r>
      <w:r w:rsidRPr="005A284F">
        <w:rPr>
          <w:rFonts w:ascii="Times New Roman" w:hAnsi="Times New Roman" w:cs="Times New Roman"/>
          <w:sz w:val="18"/>
          <w:szCs w:val="18"/>
        </w:rPr>
        <w:t>元</w:t>
      </w:r>
      <w:r w:rsidRPr="005A284F">
        <w:rPr>
          <w:rFonts w:ascii="Times New Roman" w:hAnsi="Times New Roman" w:cs="Times New Roman"/>
          <w:sz w:val="18"/>
          <w:szCs w:val="18"/>
        </w:rPr>
        <w:t>/</w:t>
      </w:r>
      <w:r w:rsidRPr="005A284F">
        <w:rPr>
          <w:rFonts w:ascii="Times New Roman" w:hAnsi="Times New Roman" w:cs="Times New Roman"/>
          <w:sz w:val="18"/>
          <w:szCs w:val="18"/>
        </w:rPr>
        <w:t>股。</w:t>
      </w:r>
    </w:p>
    <w:p w14:paraId="696CE8FB" w14:textId="77777777" w:rsidR="000309B5" w:rsidRPr="005A284F" w:rsidRDefault="00000000" w:rsidP="00E94D55">
      <w:pPr>
        <w:pStyle w:val="a3"/>
        <w:spacing w:before="0" w:beforeAutospacing="0" w:after="0" w:afterAutospacing="0" w:line="276" w:lineRule="auto"/>
        <w:ind w:firstLine="357"/>
        <w:jc w:val="both"/>
        <w:divId w:val="1585649641"/>
        <w:rPr>
          <w:rFonts w:ascii="Times New Roman" w:hAnsi="Times New Roman" w:cs="Times New Roman"/>
        </w:rPr>
      </w:pPr>
      <w:r w:rsidRPr="005A284F">
        <w:rPr>
          <w:rFonts w:ascii="Times New Roman" w:hAnsi="Times New Roman" w:cs="Times New Roman"/>
          <w:sz w:val="18"/>
          <w:szCs w:val="18"/>
        </w:rPr>
        <w:t>2022</w:t>
      </w:r>
      <w:r w:rsidRPr="005A284F">
        <w:rPr>
          <w:rFonts w:ascii="Times New Roman" w:hAnsi="Times New Roman" w:cs="Times New Roman"/>
          <w:sz w:val="18"/>
          <w:szCs w:val="18"/>
        </w:rPr>
        <w:t>年</w:t>
      </w:r>
      <w:r w:rsidRPr="005A284F">
        <w:rPr>
          <w:rFonts w:ascii="Times New Roman" w:hAnsi="Times New Roman" w:cs="Times New Roman"/>
          <w:sz w:val="18"/>
          <w:szCs w:val="18"/>
        </w:rPr>
        <w:t>8</w:t>
      </w:r>
      <w:r w:rsidRPr="005A284F">
        <w:rPr>
          <w:rFonts w:ascii="Times New Roman" w:hAnsi="Times New Roman" w:cs="Times New Roman"/>
          <w:sz w:val="18"/>
          <w:szCs w:val="18"/>
        </w:rPr>
        <w:t>月</w:t>
      </w:r>
      <w:r w:rsidRPr="005A284F">
        <w:rPr>
          <w:rFonts w:ascii="Times New Roman" w:hAnsi="Times New Roman" w:cs="Times New Roman"/>
          <w:sz w:val="18"/>
          <w:szCs w:val="18"/>
        </w:rPr>
        <w:t>19</w:t>
      </w:r>
      <w:r w:rsidRPr="005A284F">
        <w:rPr>
          <w:rFonts w:ascii="Times New Roman" w:hAnsi="Times New Roman" w:cs="Times New Roman"/>
          <w:sz w:val="18"/>
          <w:szCs w:val="18"/>
        </w:rPr>
        <w:t>日，因公司</w:t>
      </w:r>
      <w:r w:rsidRPr="005A284F">
        <w:rPr>
          <w:rFonts w:ascii="Times New Roman" w:hAnsi="Times New Roman" w:cs="Times New Roman"/>
          <w:sz w:val="18"/>
          <w:szCs w:val="18"/>
        </w:rPr>
        <w:t>2019</w:t>
      </w:r>
      <w:r w:rsidRPr="005A284F">
        <w:rPr>
          <w:rFonts w:ascii="Times New Roman" w:hAnsi="Times New Roman" w:cs="Times New Roman"/>
          <w:sz w:val="18"/>
          <w:szCs w:val="18"/>
        </w:rPr>
        <w:t>年股票期权与限制性股票激励计划第二个行权期行权及公司限制性股票回购注销，公司对可转换债券当期转股价格进行调整，修正后的转股价格为</w:t>
      </w:r>
      <w:r w:rsidRPr="005A284F">
        <w:rPr>
          <w:rFonts w:ascii="Times New Roman" w:hAnsi="Times New Roman" w:cs="Times New Roman"/>
          <w:sz w:val="18"/>
          <w:szCs w:val="18"/>
        </w:rPr>
        <w:t>9.30</w:t>
      </w:r>
      <w:r w:rsidRPr="005A284F">
        <w:rPr>
          <w:rFonts w:ascii="Times New Roman" w:hAnsi="Times New Roman" w:cs="Times New Roman"/>
          <w:sz w:val="18"/>
          <w:szCs w:val="18"/>
        </w:rPr>
        <w:t>元</w:t>
      </w:r>
      <w:r w:rsidRPr="005A284F">
        <w:rPr>
          <w:rFonts w:ascii="Times New Roman" w:hAnsi="Times New Roman" w:cs="Times New Roman"/>
          <w:sz w:val="18"/>
          <w:szCs w:val="18"/>
        </w:rPr>
        <w:t>/</w:t>
      </w:r>
      <w:r w:rsidRPr="005A284F">
        <w:rPr>
          <w:rFonts w:ascii="Times New Roman" w:hAnsi="Times New Roman" w:cs="Times New Roman"/>
          <w:sz w:val="18"/>
          <w:szCs w:val="18"/>
        </w:rPr>
        <w:t>股。</w:t>
      </w:r>
    </w:p>
    <w:p w14:paraId="1232CD1D" w14:textId="77777777" w:rsidR="000309B5" w:rsidRPr="005A284F" w:rsidRDefault="00000000" w:rsidP="00E94D55">
      <w:pPr>
        <w:pStyle w:val="a3"/>
        <w:spacing w:before="0" w:beforeAutospacing="0" w:after="0" w:afterAutospacing="0" w:line="276" w:lineRule="auto"/>
        <w:ind w:firstLine="357"/>
        <w:jc w:val="both"/>
        <w:divId w:val="1585649641"/>
        <w:rPr>
          <w:rFonts w:ascii="Times New Roman" w:hAnsi="Times New Roman" w:cs="Times New Roman"/>
        </w:rPr>
      </w:pPr>
      <w:r w:rsidRPr="005A284F">
        <w:rPr>
          <w:rFonts w:ascii="Times New Roman" w:hAnsi="Times New Roman" w:cs="Times New Roman"/>
          <w:sz w:val="18"/>
          <w:szCs w:val="18"/>
        </w:rPr>
        <w:lastRenderedPageBreak/>
        <w:t>本次可转债转股期自可转债发行结束之日满六个月后的第一个交易日起至可转债到期日止，即</w:t>
      </w:r>
      <w:r w:rsidRPr="005A284F">
        <w:rPr>
          <w:rFonts w:ascii="Times New Roman" w:hAnsi="Times New Roman" w:cs="Times New Roman"/>
          <w:sz w:val="18"/>
          <w:szCs w:val="18"/>
        </w:rPr>
        <w:t>2021</w:t>
      </w:r>
      <w:r w:rsidRPr="005A284F">
        <w:rPr>
          <w:rFonts w:ascii="Times New Roman" w:hAnsi="Times New Roman" w:cs="Times New Roman"/>
          <w:sz w:val="18"/>
          <w:szCs w:val="18"/>
        </w:rPr>
        <w:t>年</w:t>
      </w:r>
      <w:r w:rsidRPr="005A284F">
        <w:rPr>
          <w:rFonts w:ascii="Times New Roman" w:hAnsi="Times New Roman" w:cs="Times New Roman"/>
          <w:sz w:val="18"/>
          <w:szCs w:val="18"/>
        </w:rPr>
        <w:t>1</w:t>
      </w:r>
      <w:r w:rsidRPr="005A284F">
        <w:rPr>
          <w:rFonts w:ascii="Times New Roman" w:hAnsi="Times New Roman" w:cs="Times New Roman"/>
          <w:sz w:val="18"/>
          <w:szCs w:val="18"/>
        </w:rPr>
        <w:t>月</w:t>
      </w:r>
      <w:r w:rsidRPr="005A284F">
        <w:rPr>
          <w:rFonts w:ascii="Times New Roman" w:hAnsi="Times New Roman" w:cs="Times New Roman"/>
          <w:sz w:val="18"/>
          <w:szCs w:val="18"/>
        </w:rPr>
        <w:t>13</w:t>
      </w:r>
      <w:r w:rsidRPr="005A284F">
        <w:rPr>
          <w:rFonts w:ascii="Times New Roman" w:hAnsi="Times New Roman" w:cs="Times New Roman"/>
          <w:sz w:val="18"/>
          <w:szCs w:val="18"/>
        </w:rPr>
        <w:t>日至</w:t>
      </w:r>
      <w:r w:rsidRPr="005A284F">
        <w:rPr>
          <w:rFonts w:ascii="Times New Roman" w:hAnsi="Times New Roman" w:cs="Times New Roman"/>
          <w:sz w:val="18"/>
          <w:szCs w:val="18"/>
        </w:rPr>
        <w:t>2026</w:t>
      </w:r>
      <w:r w:rsidRPr="005A284F">
        <w:rPr>
          <w:rFonts w:ascii="Times New Roman" w:hAnsi="Times New Roman" w:cs="Times New Roman"/>
          <w:sz w:val="18"/>
          <w:szCs w:val="18"/>
        </w:rPr>
        <w:t>年</w:t>
      </w:r>
      <w:r w:rsidRPr="005A284F">
        <w:rPr>
          <w:rFonts w:ascii="Times New Roman" w:hAnsi="Times New Roman" w:cs="Times New Roman"/>
          <w:sz w:val="18"/>
          <w:szCs w:val="18"/>
        </w:rPr>
        <w:t>7</w:t>
      </w:r>
      <w:r w:rsidRPr="005A284F">
        <w:rPr>
          <w:rFonts w:ascii="Times New Roman" w:hAnsi="Times New Roman" w:cs="Times New Roman"/>
          <w:sz w:val="18"/>
          <w:szCs w:val="18"/>
        </w:rPr>
        <w:t>月</w:t>
      </w:r>
      <w:r w:rsidRPr="005A284F">
        <w:rPr>
          <w:rFonts w:ascii="Times New Roman" w:hAnsi="Times New Roman" w:cs="Times New Roman"/>
          <w:sz w:val="18"/>
          <w:szCs w:val="18"/>
        </w:rPr>
        <w:t>12</w:t>
      </w:r>
      <w:r w:rsidRPr="005A284F">
        <w:rPr>
          <w:rFonts w:ascii="Times New Roman" w:hAnsi="Times New Roman" w:cs="Times New Roman"/>
          <w:sz w:val="18"/>
          <w:szCs w:val="18"/>
        </w:rPr>
        <w:t>日。</w:t>
      </w:r>
    </w:p>
    <w:p w14:paraId="41F3828A" w14:textId="2F928211"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299" w:name="_Toc989229"/>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4</w:t>
      </w:r>
      <w:r w:rsidRPr="005A284F">
        <w:rPr>
          <w:rFonts w:ascii="Times New Roman" w:eastAsia="宋体" w:hAnsi="Times New Roman" w:cs="Times New Roman"/>
          <w:b/>
          <w:bCs/>
          <w:sz w:val="21"/>
          <w:szCs w:val="21"/>
        </w:rPr>
        <w:t>）划分为金融负债的其他金融工具说明</w:t>
      </w:r>
      <w:bookmarkEnd w:id="299"/>
    </w:p>
    <w:p w14:paraId="35E3BA08"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期末发行在外的优先股、永续债等其他金融工具基本情况</w:t>
      </w:r>
    </w:p>
    <w:p w14:paraId="7C648CD6" w14:textId="77777777" w:rsidR="000309B5" w:rsidRPr="005A284F" w:rsidRDefault="00000000">
      <w:pPr>
        <w:pStyle w:val="a3"/>
        <w:divId w:val="1841701710"/>
        <w:rPr>
          <w:rFonts w:ascii="Times New Roman" w:hAnsi="Times New Roman" w:cs="Times New Roman"/>
          <w:sz w:val="18"/>
          <w:szCs w:val="18"/>
        </w:rPr>
      </w:pPr>
      <w:r w:rsidRPr="005A284F">
        <w:rPr>
          <w:rFonts w:ascii="Times New Roman" w:hAnsi="Times New Roman" w:cs="Times New Roman"/>
          <w:sz w:val="18"/>
          <w:szCs w:val="18"/>
        </w:rPr>
        <w:t>无</w:t>
      </w:r>
    </w:p>
    <w:p w14:paraId="387BD5F8"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期末发行在外的优先股、永续债等金融工具变动情况表</w:t>
      </w:r>
    </w:p>
    <w:p w14:paraId="0B13ABD9" w14:textId="77777777" w:rsidR="000309B5" w:rsidRPr="005A284F" w:rsidRDefault="00000000">
      <w:pPr>
        <w:pStyle w:val="a3"/>
        <w:divId w:val="1229993226"/>
        <w:rPr>
          <w:rFonts w:ascii="Times New Roman" w:hAnsi="Times New Roman" w:cs="Times New Roman"/>
          <w:sz w:val="18"/>
          <w:szCs w:val="18"/>
        </w:rPr>
      </w:pPr>
      <w:r w:rsidRPr="005A284F">
        <w:rPr>
          <w:rFonts w:ascii="Times New Roman" w:hAnsi="Times New Roman" w:cs="Times New Roman"/>
          <w:sz w:val="18"/>
          <w:szCs w:val="18"/>
        </w:rPr>
        <w:t>无</w:t>
      </w:r>
    </w:p>
    <w:p w14:paraId="0CB449C0" w14:textId="77777777" w:rsidR="006C011D" w:rsidRPr="005A284F" w:rsidRDefault="00000000">
      <w:pPr>
        <w:pStyle w:val="3"/>
        <w:spacing w:line="280" w:lineRule="exact"/>
        <w:jc w:val="left"/>
        <w:rPr>
          <w:rFonts w:ascii="Times New Roman" w:hAnsi="Times New Roman" w:cs="Times New Roman"/>
          <w:b/>
          <w:bCs/>
        </w:rPr>
      </w:pPr>
      <w:bookmarkStart w:id="300" w:name="_Toc989230"/>
      <w:r w:rsidRPr="005A284F">
        <w:rPr>
          <w:rFonts w:ascii="Times New Roman" w:hAnsi="Times New Roman" w:cs="Times New Roman"/>
          <w:b/>
          <w:bCs/>
        </w:rPr>
        <w:t>47</w:t>
      </w:r>
      <w:r w:rsidRPr="005A284F">
        <w:rPr>
          <w:rFonts w:ascii="Times New Roman" w:hAnsi="Times New Roman" w:cs="Times New Roman"/>
          <w:b/>
          <w:bCs/>
        </w:rPr>
        <w:t>、租赁负债</w:t>
      </w:r>
      <w:bookmarkEnd w:id="300"/>
    </w:p>
    <w:p w14:paraId="7B7DFAC7"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46D37F1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0A8EB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10F37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58196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r>
      <w:tr w:rsidR="006C011D" w:rsidRPr="005A284F" w14:paraId="6E414C3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ABEE30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房屋及建筑物</w:t>
            </w:r>
          </w:p>
        </w:tc>
        <w:tc>
          <w:tcPr>
            <w:tcW w:w="3213" w:type="dxa"/>
            <w:tcBorders>
              <w:top w:val="single" w:sz="2" w:space="0" w:color="auto"/>
              <w:left w:val="single" w:sz="2" w:space="0" w:color="auto"/>
              <w:bottom w:val="single" w:sz="2" w:space="0" w:color="auto"/>
              <w:right w:val="single" w:sz="2" w:space="0" w:color="auto"/>
            </w:tcBorders>
            <w:vAlign w:val="center"/>
          </w:tcPr>
          <w:p w14:paraId="481774C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87,806,724.28</w:t>
            </w:r>
          </w:p>
        </w:tc>
        <w:tc>
          <w:tcPr>
            <w:tcW w:w="3213" w:type="dxa"/>
            <w:tcBorders>
              <w:top w:val="single" w:sz="2" w:space="0" w:color="auto"/>
              <w:left w:val="single" w:sz="2" w:space="0" w:color="auto"/>
              <w:bottom w:val="single" w:sz="2" w:space="0" w:color="auto"/>
              <w:right w:val="single" w:sz="2" w:space="0" w:color="auto"/>
            </w:tcBorders>
            <w:vAlign w:val="center"/>
          </w:tcPr>
          <w:p w14:paraId="46E8DBB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10,929,491.14</w:t>
            </w:r>
          </w:p>
        </w:tc>
      </w:tr>
      <w:tr w:rsidR="006C011D" w:rsidRPr="005A284F" w14:paraId="4263E78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A15292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土地</w:t>
            </w:r>
          </w:p>
        </w:tc>
        <w:tc>
          <w:tcPr>
            <w:tcW w:w="3213" w:type="dxa"/>
            <w:tcBorders>
              <w:top w:val="single" w:sz="2" w:space="0" w:color="auto"/>
              <w:left w:val="single" w:sz="2" w:space="0" w:color="auto"/>
              <w:bottom w:val="single" w:sz="2" w:space="0" w:color="auto"/>
              <w:right w:val="single" w:sz="2" w:space="0" w:color="auto"/>
            </w:tcBorders>
            <w:vAlign w:val="center"/>
          </w:tcPr>
          <w:p w14:paraId="78D7A05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39,894,256.71</w:t>
            </w:r>
          </w:p>
        </w:tc>
        <w:tc>
          <w:tcPr>
            <w:tcW w:w="3213" w:type="dxa"/>
            <w:tcBorders>
              <w:top w:val="single" w:sz="2" w:space="0" w:color="auto"/>
              <w:left w:val="single" w:sz="2" w:space="0" w:color="auto"/>
              <w:bottom w:val="single" w:sz="2" w:space="0" w:color="auto"/>
              <w:right w:val="single" w:sz="2" w:space="0" w:color="auto"/>
            </w:tcBorders>
            <w:vAlign w:val="center"/>
          </w:tcPr>
          <w:p w14:paraId="032F232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39,238,660.58</w:t>
            </w:r>
          </w:p>
        </w:tc>
      </w:tr>
      <w:tr w:rsidR="006C011D" w:rsidRPr="005A284F" w14:paraId="0C91162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DB622E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减：一年内到期的租赁负债</w:t>
            </w:r>
          </w:p>
        </w:tc>
        <w:tc>
          <w:tcPr>
            <w:tcW w:w="3213" w:type="dxa"/>
            <w:tcBorders>
              <w:top w:val="single" w:sz="2" w:space="0" w:color="auto"/>
              <w:left w:val="single" w:sz="2" w:space="0" w:color="auto"/>
              <w:bottom w:val="single" w:sz="2" w:space="0" w:color="auto"/>
              <w:right w:val="single" w:sz="2" w:space="0" w:color="auto"/>
            </w:tcBorders>
            <w:vAlign w:val="center"/>
          </w:tcPr>
          <w:p w14:paraId="1F64CD6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-5,209,173.97</w:t>
            </w:r>
          </w:p>
        </w:tc>
        <w:tc>
          <w:tcPr>
            <w:tcW w:w="3213" w:type="dxa"/>
            <w:tcBorders>
              <w:top w:val="single" w:sz="2" w:space="0" w:color="auto"/>
              <w:left w:val="single" w:sz="2" w:space="0" w:color="auto"/>
              <w:bottom w:val="single" w:sz="2" w:space="0" w:color="auto"/>
              <w:right w:val="single" w:sz="2" w:space="0" w:color="auto"/>
            </w:tcBorders>
            <w:vAlign w:val="center"/>
          </w:tcPr>
          <w:p w14:paraId="7927F28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-2,053,770.99</w:t>
            </w:r>
          </w:p>
        </w:tc>
      </w:tr>
      <w:tr w:rsidR="006C011D" w:rsidRPr="005A284F" w14:paraId="54E86BD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0B33ED"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9D3E49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122,491,807.02</w:t>
            </w:r>
          </w:p>
        </w:tc>
        <w:tc>
          <w:tcPr>
            <w:tcW w:w="3213" w:type="dxa"/>
            <w:tcBorders>
              <w:top w:val="single" w:sz="2" w:space="0" w:color="auto"/>
              <w:left w:val="single" w:sz="2" w:space="0" w:color="auto"/>
              <w:bottom w:val="single" w:sz="2" w:space="0" w:color="auto"/>
              <w:right w:val="single" w:sz="2" w:space="0" w:color="auto"/>
            </w:tcBorders>
            <w:vAlign w:val="center"/>
          </w:tcPr>
          <w:p w14:paraId="20F43D8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48,114,380.73</w:t>
            </w:r>
          </w:p>
        </w:tc>
      </w:tr>
    </w:tbl>
    <w:p w14:paraId="737EA345"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w:t>
      </w:r>
    </w:p>
    <w:p w14:paraId="5C4A91CA" w14:textId="77777777" w:rsidR="000309B5" w:rsidRPr="005A284F" w:rsidRDefault="00000000">
      <w:pPr>
        <w:pStyle w:val="a3"/>
        <w:spacing w:before="0" w:beforeAutospacing="0" w:after="0" w:afterAutospacing="0"/>
        <w:jc w:val="both"/>
        <w:divId w:val="1067267170"/>
        <w:rPr>
          <w:rFonts w:ascii="Times New Roman" w:hAnsi="Times New Roman" w:cs="Times New Roman"/>
          <w:sz w:val="21"/>
          <w:szCs w:val="21"/>
        </w:rPr>
      </w:pPr>
      <w:r w:rsidRPr="005A284F">
        <w:rPr>
          <w:rFonts w:ascii="Times New Roman" w:hAnsi="Times New Roman" w:cs="Times New Roman"/>
          <w:sz w:val="21"/>
          <w:szCs w:val="21"/>
        </w:rPr>
        <w:t>无</w:t>
      </w:r>
    </w:p>
    <w:p w14:paraId="33C7D8D0" w14:textId="77777777" w:rsidR="006C011D" w:rsidRPr="005A284F" w:rsidRDefault="00000000">
      <w:pPr>
        <w:pStyle w:val="3"/>
        <w:spacing w:line="280" w:lineRule="exact"/>
        <w:jc w:val="left"/>
        <w:rPr>
          <w:rFonts w:ascii="Times New Roman" w:hAnsi="Times New Roman" w:cs="Times New Roman"/>
          <w:b/>
          <w:bCs/>
        </w:rPr>
      </w:pPr>
      <w:bookmarkStart w:id="301" w:name="_Toc989231"/>
      <w:r w:rsidRPr="005A284F">
        <w:rPr>
          <w:rFonts w:ascii="Times New Roman" w:hAnsi="Times New Roman" w:cs="Times New Roman"/>
          <w:b/>
          <w:bCs/>
        </w:rPr>
        <w:t>48</w:t>
      </w:r>
      <w:r w:rsidRPr="005A284F">
        <w:rPr>
          <w:rFonts w:ascii="Times New Roman" w:hAnsi="Times New Roman" w:cs="Times New Roman"/>
          <w:b/>
          <w:bCs/>
        </w:rPr>
        <w:t>、长期应付款</w:t>
      </w:r>
      <w:bookmarkEnd w:id="301"/>
    </w:p>
    <w:p w14:paraId="14D562A8"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5227CA0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36784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B062C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CA4E3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r>
      <w:tr w:rsidR="006C011D" w:rsidRPr="005A284F" w14:paraId="4260146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7F63C2"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14:paraId="4123002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53,938,471.30</w:t>
            </w:r>
          </w:p>
        </w:tc>
        <w:tc>
          <w:tcPr>
            <w:tcW w:w="3213" w:type="dxa"/>
            <w:tcBorders>
              <w:top w:val="single" w:sz="2" w:space="0" w:color="auto"/>
              <w:left w:val="single" w:sz="2" w:space="0" w:color="auto"/>
              <w:bottom w:val="single" w:sz="2" w:space="0" w:color="auto"/>
              <w:right w:val="single" w:sz="2" w:space="0" w:color="auto"/>
            </w:tcBorders>
            <w:vAlign w:val="center"/>
          </w:tcPr>
          <w:p w14:paraId="76CA1A4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26,518,125.50</w:t>
            </w:r>
          </w:p>
        </w:tc>
      </w:tr>
      <w:tr w:rsidR="006C011D" w:rsidRPr="005A284F" w14:paraId="26D566D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FA9265"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79CF1FA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53,938,471.30</w:t>
            </w:r>
          </w:p>
        </w:tc>
        <w:tc>
          <w:tcPr>
            <w:tcW w:w="3213" w:type="dxa"/>
            <w:tcBorders>
              <w:top w:val="single" w:sz="2" w:space="0" w:color="auto"/>
              <w:left w:val="single" w:sz="2" w:space="0" w:color="auto"/>
              <w:bottom w:val="single" w:sz="2" w:space="0" w:color="auto"/>
              <w:right w:val="single" w:sz="2" w:space="0" w:color="auto"/>
            </w:tcBorders>
            <w:vAlign w:val="center"/>
          </w:tcPr>
          <w:p w14:paraId="19FD55E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26,518,125.50</w:t>
            </w:r>
          </w:p>
        </w:tc>
      </w:tr>
    </w:tbl>
    <w:p w14:paraId="63D743D5" w14:textId="77777777" w:rsidR="006C011D" w:rsidRPr="005A284F" w:rsidRDefault="00000000">
      <w:pPr>
        <w:keepNext/>
        <w:keepLines/>
        <w:spacing w:before="300" w:after="300" w:line="280" w:lineRule="exact"/>
        <w:outlineLvl w:val="3"/>
        <w:rPr>
          <w:rFonts w:ascii="Times New Roman" w:eastAsia="宋体" w:hAnsi="Times New Roman" w:cs="Times New Roman"/>
          <w:b/>
          <w:bCs/>
          <w:sz w:val="18"/>
          <w:szCs w:val="18"/>
        </w:rPr>
      </w:pPr>
      <w:bookmarkStart w:id="302" w:name="_Toc989232"/>
      <w:r w:rsidRPr="005A284F">
        <w:rPr>
          <w:rFonts w:ascii="Times New Roman" w:eastAsia="宋体" w:hAnsi="Times New Roman" w:cs="Times New Roman"/>
          <w:b/>
          <w:bCs/>
          <w:sz w:val="18"/>
          <w:szCs w:val="18"/>
        </w:rPr>
        <w:t>（</w:t>
      </w:r>
      <w:r w:rsidRPr="005A284F">
        <w:rPr>
          <w:rFonts w:ascii="Times New Roman" w:eastAsia="宋体" w:hAnsi="Times New Roman" w:cs="Times New Roman"/>
          <w:b/>
          <w:bCs/>
          <w:sz w:val="18"/>
          <w:szCs w:val="18"/>
        </w:rPr>
        <w:t>1</w:t>
      </w:r>
      <w:r w:rsidRPr="005A284F">
        <w:rPr>
          <w:rFonts w:ascii="Times New Roman" w:eastAsia="宋体" w:hAnsi="Times New Roman" w:cs="Times New Roman"/>
          <w:b/>
          <w:bCs/>
          <w:sz w:val="18"/>
          <w:szCs w:val="18"/>
        </w:rPr>
        <w:t>）</w:t>
      </w:r>
      <w:r w:rsidRPr="005A284F">
        <w:rPr>
          <w:rFonts w:ascii="Times New Roman" w:eastAsia="宋体" w:hAnsi="Times New Roman" w:cs="Times New Roman"/>
          <w:b/>
          <w:bCs/>
          <w:sz w:val="18"/>
          <w:szCs w:val="18"/>
        </w:rPr>
        <w:t xml:space="preserve"> </w:t>
      </w:r>
      <w:r w:rsidRPr="005A284F">
        <w:rPr>
          <w:rFonts w:ascii="Times New Roman" w:eastAsia="宋体" w:hAnsi="Times New Roman" w:cs="Times New Roman"/>
          <w:b/>
          <w:bCs/>
          <w:sz w:val="18"/>
          <w:szCs w:val="18"/>
        </w:rPr>
        <w:t>按款项性质列示长期应付款</w:t>
      </w:r>
      <w:bookmarkEnd w:id="302"/>
    </w:p>
    <w:p w14:paraId="54523AA3"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66D0501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A06D8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95FC7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02BB1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r>
      <w:tr w:rsidR="006C011D" w:rsidRPr="005A284F" w14:paraId="40B0787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09DBAC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应付融资款</w:t>
            </w:r>
          </w:p>
        </w:tc>
        <w:tc>
          <w:tcPr>
            <w:tcW w:w="3213" w:type="dxa"/>
            <w:tcBorders>
              <w:top w:val="single" w:sz="2" w:space="0" w:color="auto"/>
              <w:left w:val="single" w:sz="2" w:space="0" w:color="auto"/>
              <w:bottom w:val="single" w:sz="2" w:space="0" w:color="auto"/>
              <w:right w:val="single" w:sz="2" w:space="0" w:color="auto"/>
            </w:tcBorders>
            <w:vAlign w:val="center"/>
          </w:tcPr>
          <w:p w14:paraId="1E1258A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88,836,198.51</w:t>
            </w:r>
          </w:p>
        </w:tc>
        <w:tc>
          <w:tcPr>
            <w:tcW w:w="3213" w:type="dxa"/>
            <w:tcBorders>
              <w:top w:val="single" w:sz="2" w:space="0" w:color="auto"/>
              <w:left w:val="single" w:sz="2" w:space="0" w:color="auto"/>
              <w:bottom w:val="single" w:sz="2" w:space="0" w:color="auto"/>
              <w:right w:val="single" w:sz="2" w:space="0" w:color="auto"/>
            </w:tcBorders>
            <w:vAlign w:val="center"/>
          </w:tcPr>
          <w:p w14:paraId="40DEDC2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51,643,825.93</w:t>
            </w:r>
          </w:p>
        </w:tc>
      </w:tr>
      <w:tr w:rsidR="006C011D" w:rsidRPr="005A284F" w14:paraId="7892A076"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D0A653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减：一年内到期部分</w:t>
            </w:r>
          </w:p>
        </w:tc>
        <w:tc>
          <w:tcPr>
            <w:tcW w:w="3213" w:type="dxa"/>
            <w:tcBorders>
              <w:top w:val="single" w:sz="2" w:space="0" w:color="auto"/>
              <w:left w:val="single" w:sz="2" w:space="0" w:color="auto"/>
              <w:bottom w:val="single" w:sz="2" w:space="0" w:color="auto"/>
              <w:right w:val="single" w:sz="2" w:space="0" w:color="auto"/>
            </w:tcBorders>
            <w:vAlign w:val="center"/>
          </w:tcPr>
          <w:p w14:paraId="22D8DB3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34,897,727.21</w:t>
            </w:r>
          </w:p>
        </w:tc>
        <w:tc>
          <w:tcPr>
            <w:tcW w:w="3213" w:type="dxa"/>
            <w:tcBorders>
              <w:top w:val="single" w:sz="2" w:space="0" w:color="auto"/>
              <w:left w:val="single" w:sz="2" w:space="0" w:color="auto"/>
              <w:bottom w:val="single" w:sz="2" w:space="0" w:color="auto"/>
              <w:right w:val="single" w:sz="2" w:space="0" w:color="auto"/>
            </w:tcBorders>
            <w:vAlign w:val="center"/>
          </w:tcPr>
          <w:p w14:paraId="745EEC0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25,125,700.43</w:t>
            </w:r>
          </w:p>
        </w:tc>
      </w:tr>
      <w:tr w:rsidR="006C011D" w:rsidRPr="005A284F" w14:paraId="1633254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C22C4E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CE7C8E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53,938,471.30</w:t>
            </w:r>
          </w:p>
        </w:tc>
        <w:tc>
          <w:tcPr>
            <w:tcW w:w="3213" w:type="dxa"/>
            <w:tcBorders>
              <w:top w:val="single" w:sz="2" w:space="0" w:color="auto"/>
              <w:left w:val="single" w:sz="2" w:space="0" w:color="auto"/>
              <w:bottom w:val="single" w:sz="2" w:space="0" w:color="auto"/>
              <w:right w:val="single" w:sz="2" w:space="0" w:color="auto"/>
            </w:tcBorders>
            <w:vAlign w:val="center"/>
          </w:tcPr>
          <w:p w14:paraId="73120AB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26,518,125.50</w:t>
            </w:r>
          </w:p>
        </w:tc>
      </w:tr>
    </w:tbl>
    <w:p w14:paraId="4329807D"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w:t>
      </w:r>
    </w:p>
    <w:p w14:paraId="2A330CA2" w14:textId="77777777" w:rsidR="000309B5" w:rsidRPr="005A284F" w:rsidRDefault="00000000">
      <w:pPr>
        <w:pStyle w:val="a3"/>
        <w:divId w:val="954291634"/>
        <w:rPr>
          <w:rFonts w:ascii="Times New Roman" w:hAnsi="Times New Roman" w:cs="Times New Roman"/>
          <w:sz w:val="18"/>
          <w:szCs w:val="18"/>
        </w:rPr>
      </w:pPr>
      <w:r w:rsidRPr="005A284F">
        <w:rPr>
          <w:rFonts w:ascii="Times New Roman" w:hAnsi="Times New Roman" w:cs="Times New Roman"/>
          <w:sz w:val="18"/>
          <w:szCs w:val="18"/>
        </w:rPr>
        <w:t>无</w:t>
      </w:r>
    </w:p>
    <w:p w14:paraId="037878CC" w14:textId="22949CDF" w:rsidR="006C011D" w:rsidRPr="005A284F" w:rsidRDefault="00000000">
      <w:pPr>
        <w:keepNext/>
        <w:keepLines/>
        <w:spacing w:before="300" w:after="300" w:line="280" w:lineRule="exact"/>
        <w:outlineLvl w:val="3"/>
        <w:rPr>
          <w:rFonts w:ascii="Times New Roman" w:eastAsia="宋体" w:hAnsi="Times New Roman" w:cs="Times New Roman"/>
          <w:b/>
          <w:bCs/>
          <w:sz w:val="18"/>
          <w:szCs w:val="18"/>
        </w:rPr>
      </w:pPr>
      <w:bookmarkStart w:id="303" w:name="_Toc989233"/>
      <w:r w:rsidRPr="005A284F">
        <w:rPr>
          <w:rFonts w:ascii="Times New Roman" w:eastAsia="宋体" w:hAnsi="Times New Roman" w:cs="Times New Roman"/>
          <w:b/>
          <w:bCs/>
          <w:sz w:val="18"/>
          <w:szCs w:val="18"/>
        </w:rPr>
        <w:t>（</w:t>
      </w:r>
      <w:r w:rsidRPr="005A284F">
        <w:rPr>
          <w:rFonts w:ascii="Times New Roman" w:eastAsia="宋体" w:hAnsi="Times New Roman" w:cs="Times New Roman"/>
          <w:b/>
          <w:bCs/>
          <w:sz w:val="18"/>
          <w:szCs w:val="18"/>
        </w:rPr>
        <w:t>2</w:t>
      </w:r>
      <w:r w:rsidRPr="005A284F">
        <w:rPr>
          <w:rFonts w:ascii="Times New Roman" w:eastAsia="宋体" w:hAnsi="Times New Roman" w:cs="Times New Roman"/>
          <w:b/>
          <w:bCs/>
          <w:sz w:val="18"/>
          <w:szCs w:val="18"/>
        </w:rPr>
        <w:t>）专项应付款</w:t>
      </w:r>
      <w:bookmarkEnd w:id="303"/>
    </w:p>
    <w:p w14:paraId="097AA106" w14:textId="77777777" w:rsidR="000309B5" w:rsidRPr="005A284F" w:rsidRDefault="00000000">
      <w:pPr>
        <w:pStyle w:val="a3"/>
        <w:divId w:val="639651325"/>
        <w:rPr>
          <w:rFonts w:ascii="Times New Roman" w:hAnsi="Times New Roman" w:cs="Times New Roman"/>
          <w:sz w:val="18"/>
          <w:szCs w:val="18"/>
        </w:rPr>
      </w:pPr>
      <w:r w:rsidRPr="005A284F">
        <w:rPr>
          <w:rFonts w:ascii="Times New Roman" w:hAnsi="Times New Roman" w:cs="Times New Roman"/>
          <w:sz w:val="18"/>
          <w:szCs w:val="18"/>
        </w:rPr>
        <w:t>无</w:t>
      </w:r>
    </w:p>
    <w:p w14:paraId="408027BD" w14:textId="77777777" w:rsidR="006C011D" w:rsidRPr="005A284F" w:rsidRDefault="00000000">
      <w:pPr>
        <w:pStyle w:val="3"/>
        <w:spacing w:line="280" w:lineRule="exact"/>
        <w:jc w:val="left"/>
        <w:rPr>
          <w:rFonts w:ascii="Times New Roman" w:hAnsi="Times New Roman" w:cs="Times New Roman"/>
          <w:b/>
          <w:bCs/>
        </w:rPr>
      </w:pPr>
      <w:bookmarkStart w:id="304" w:name="_Toc989234"/>
      <w:r w:rsidRPr="005A284F">
        <w:rPr>
          <w:rFonts w:ascii="Times New Roman" w:hAnsi="Times New Roman" w:cs="Times New Roman"/>
          <w:b/>
          <w:bCs/>
        </w:rPr>
        <w:lastRenderedPageBreak/>
        <w:t>49</w:t>
      </w:r>
      <w:r w:rsidRPr="005A284F">
        <w:rPr>
          <w:rFonts w:ascii="Times New Roman" w:hAnsi="Times New Roman" w:cs="Times New Roman"/>
          <w:b/>
          <w:bCs/>
        </w:rPr>
        <w:t>、长期应付职工薪酬</w:t>
      </w:r>
      <w:bookmarkEnd w:id="304"/>
    </w:p>
    <w:p w14:paraId="2F432902" w14:textId="77777777" w:rsidR="000309B5" w:rsidRPr="005A284F" w:rsidRDefault="00000000">
      <w:pPr>
        <w:pStyle w:val="a3"/>
        <w:divId w:val="2034306423"/>
        <w:rPr>
          <w:rFonts w:ascii="Times New Roman" w:hAnsi="Times New Roman" w:cs="Times New Roman"/>
          <w:sz w:val="18"/>
          <w:szCs w:val="18"/>
        </w:rPr>
      </w:pPr>
      <w:r w:rsidRPr="005A284F">
        <w:rPr>
          <w:rFonts w:ascii="Times New Roman" w:hAnsi="Times New Roman" w:cs="Times New Roman"/>
          <w:sz w:val="18"/>
          <w:szCs w:val="18"/>
        </w:rPr>
        <w:t>无</w:t>
      </w:r>
    </w:p>
    <w:p w14:paraId="3E88ED38" w14:textId="77777777" w:rsidR="006C011D" w:rsidRPr="005A284F" w:rsidRDefault="00000000">
      <w:pPr>
        <w:pStyle w:val="3"/>
        <w:spacing w:line="280" w:lineRule="exact"/>
        <w:jc w:val="left"/>
        <w:rPr>
          <w:rFonts w:ascii="Times New Roman" w:hAnsi="Times New Roman" w:cs="Times New Roman"/>
          <w:b/>
          <w:bCs/>
        </w:rPr>
      </w:pPr>
      <w:bookmarkStart w:id="305" w:name="_Toc989237"/>
      <w:r w:rsidRPr="005A284F">
        <w:rPr>
          <w:rFonts w:ascii="Times New Roman" w:hAnsi="Times New Roman" w:cs="Times New Roman"/>
          <w:b/>
          <w:bCs/>
        </w:rPr>
        <w:t>50</w:t>
      </w:r>
      <w:r w:rsidRPr="005A284F">
        <w:rPr>
          <w:rFonts w:ascii="Times New Roman" w:hAnsi="Times New Roman" w:cs="Times New Roman"/>
          <w:b/>
          <w:bCs/>
        </w:rPr>
        <w:t>、预计负债</w:t>
      </w:r>
      <w:bookmarkEnd w:id="305"/>
    </w:p>
    <w:p w14:paraId="6D6ED691" w14:textId="77777777" w:rsidR="000309B5" w:rsidRPr="005A284F" w:rsidRDefault="00000000">
      <w:pPr>
        <w:pStyle w:val="a3"/>
        <w:divId w:val="1301305268"/>
        <w:rPr>
          <w:rFonts w:ascii="Times New Roman" w:hAnsi="Times New Roman" w:cs="Times New Roman"/>
          <w:sz w:val="18"/>
          <w:szCs w:val="18"/>
        </w:rPr>
      </w:pPr>
      <w:r w:rsidRPr="005A284F">
        <w:rPr>
          <w:rFonts w:ascii="Times New Roman" w:hAnsi="Times New Roman" w:cs="Times New Roman"/>
          <w:sz w:val="18"/>
          <w:szCs w:val="18"/>
        </w:rPr>
        <w:t>无</w:t>
      </w:r>
    </w:p>
    <w:p w14:paraId="502A75CE" w14:textId="77777777" w:rsidR="006C011D" w:rsidRPr="005A284F" w:rsidRDefault="00000000">
      <w:pPr>
        <w:pStyle w:val="3"/>
        <w:spacing w:line="280" w:lineRule="exact"/>
        <w:jc w:val="left"/>
        <w:rPr>
          <w:rFonts w:ascii="Times New Roman" w:hAnsi="Times New Roman" w:cs="Times New Roman"/>
          <w:b/>
          <w:bCs/>
        </w:rPr>
      </w:pPr>
      <w:bookmarkStart w:id="306" w:name="_Toc989238"/>
      <w:r w:rsidRPr="005A284F">
        <w:rPr>
          <w:rFonts w:ascii="Times New Roman" w:hAnsi="Times New Roman" w:cs="Times New Roman"/>
          <w:b/>
          <w:bCs/>
        </w:rPr>
        <w:t>51</w:t>
      </w:r>
      <w:r w:rsidRPr="005A284F">
        <w:rPr>
          <w:rFonts w:ascii="Times New Roman" w:hAnsi="Times New Roman" w:cs="Times New Roman"/>
          <w:b/>
          <w:bCs/>
        </w:rPr>
        <w:t>、递延收益</w:t>
      </w:r>
      <w:bookmarkEnd w:id="306"/>
    </w:p>
    <w:p w14:paraId="07F646DE"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6C011D" w:rsidRPr="005A284F" w14:paraId="23362E24"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E095CC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8385B7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519A7A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本期增加</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44210E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本期减少</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58E65B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2E0555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形成原因</w:t>
            </w:r>
          </w:p>
        </w:tc>
      </w:tr>
      <w:tr w:rsidR="006C011D" w:rsidRPr="005A284F" w14:paraId="6D501509"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094DE96"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政府补助</w:t>
            </w:r>
          </w:p>
        </w:tc>
        <w:tc>
          <w:tcPr>
            <w:tcW w:w="1606" w:type="dxa"/>
            <w:tcBorders>
              <w:top w:val="single" w:sz="2" w:space="0" w:color="auto"/>
              <w:left w:val="single" w:sz="2" w:space="0" w:color="auto"/>
              <w:bottom w:val="single" w:sz="2" w:space="0" w:color="auto"/>
              <w:right w:val="single" w:sz="2" w:space="0" w:color="auto"/>
            </w:tcBorders>
            <w:vAlign w:val="center"/>
          </w:tcPr>
          <w:p w14:paraId="1A2C139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47,454,260.66</w:t>
            </w:r>
          </w:p>
        </w:tc>
        <w:tc>
          <w:tcPr>
            <w:tcW w:w="1606" w:type="dxa"/>
            <w:tcBorders>
              <w:top w:val="single" w:sz="2" w:space="0" w:color="auto"/>
              <w:left w:val="single" w:sz="2" w:space="0" w:color="auto"/>
              <w:bottom w:val="single" w:sz="2" w:space="0" w:color="auto"/>
              <w:right w:val="single" w:sz="2" w:space="0" w:color="auto"/>
            </w:tcBorders>
            <w:vAlign w:val="center"/>
          </w:tcPr>
          <w:p w14:paraId="27F814F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3493FC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2,176,715.37</w:t>
            </w:r>
          </w:p>
        </w:tc>
        <w:tc>
          <w:tcPr>
            <w:tcW w:w="1606" w:type="dxa"/>
            <w:tcBorders>
              <w:top w:val="single" w:sz="2" w:space="0" w:color="auto"/>
              <w:left w:val="single" w:sz="2" w:space="0" w:color="auto"/>
              <w:bottom w:val="single" w:sz="2" w:space="0" w:color="auto"/>
              <w:right w:val="single" w:sz="2" w:space="0" w:color="auto"/>
            </w:tcBorders>
            <w:vAlign w:val="center"/>
          </w:tcPr>
          <w:p w14:paraId="5C201B9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45,277,545.29</w:t>
            </w:r>
          </w:p>
        </w:tc>
        <w:tc>
          <w:tcPr>
            <w:tcW w:w="1606" w:type="dxa"/>
            <w:tcBorders>
              <w:top w:val="single" w:sz="2" w:space="0" w:color="auto"/>
              <w:left w:val="single" w:sz="2" w:space="0" w:color="auto"/>
              <w:bottom w:val="single" w:sz="2" w:space="0" w:color="auto"/>
              <w:right w:val="single" w:sz="2" w:space="0" w:color="auto"/>
            </w:tcBorders>
            <w:vAlign w:val="center"/>
          </w:tcPr>
          <w:p w14:paraId="56CF648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与资产相关</w:t>
            </w:r>
          </w:p>
        </w:tc>
      </w:tr>
      <w:tr w:rsidR="006C011D" w:rsidRPr="005A284F" w14:paraId="73C7EBE5"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443E87D"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14:paraId="2C3AE4B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47,454,260.66</w:t>
            </w:r>
          </w:p>
        </w:tc>
        <w:tc>
          <w:tcPr>
            <w:tcW w:w="1606" w:type="dxa"/>
            <w:tcBorders>
              <w:top w:val="single" w:sz="2" w:space="0" w:color="auto"/>
              <w:left w:val="single" w:sz="2" w:space="0" w:color="auto"/>
              <w:bottom w:val="single" w:sz="2" w:space="0" w:color="auto"/>
              <w:right w:val="single" w:sz="2" w:space="0" w:color="auto"/>
            </w:tcBorders>
            <w:vAlign w:val="center"/>
          </w:tcPr>
          <w:p w14:paraId="6A6624F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BA5E13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2,176,715.37</w:t>
            </w:r>
          </w:p>
        </w:tc>
        <w:tc>
          <w:tcPr>
            <w:tcW w:w="1606" w:type="dxa"/>
            <w:tcBorders>
              <w:top w:val="single" w:sz="2" w:space="0" w:color="auto"/>
              <w:left w:val="single" w:sz="2" w:space="0" w:color="auto"/>
              <w:bottom w:val="single" w:sz="2" w:space="0" w:color="auto"/>
              <w:right w:val="single" w:sz="2" w:space="0" w:color="auto"/>
            </w:tcBorders>
            <w:vAlign w:val="center"/>
          </w:tcPr>
          <w:p w14:paraId="55BCE22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45,277,545.29</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A3BD0D9" w14:textId="77777777" w:rsidR="006C011D" w:rsidRPr="005A284F" w:rsidRDefault="006C011D">
            <w:pPr>
              <w:rPr>
                <w:rFonts w:ascii="Times New Roman" w:eastAsia="宋体" w:hAnsi="Times New Roman" w:cs="Times New Roman"/>
              </w:rPr>
            </w:pPr>
          </w:p>
        </w:tc>
      </w:tr>
    </w:tbl>
    <w:p w14:paraId="57B1B2F1"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w:t>
      </w:r>
    </w:p>
    <w:p w14:paraId="572AA00A" w14:textId="77777777" w:rsidR="000309B5" w:rsidRPr="005A284F" w:rsidRDefault="00000000">
      <w:pPr>
        <w:pStyle w:val="a3"/>
        <w:divId w:val="1117025212"/>
        <w:rPr>
          <w:rFonts w:ascii="Times New Roman" w:hAnsi="Times New Roman" w:cs="Times New Roman"/>
          <w:sz w:val="18"/>
          <w:szCs w:val="18"/>
        </w:rPr>
      </w:pPr>
      <w:r w:rsidRPr="005A284F">
        <w:rPr>
          <w:rFonts w:ascii="Times New Roman" w:hAnsi="Times New Roman" w:cs="Times New Roman"/>
          <w:sz w:val="18"/>
          <w:szCs w:val="18"/>
        </w:rPr>
        <w:t>无</w:t>
      </w:r>
    </w:p>
    <w:p w14:paraId="194A8D55" w14:textId="77777777" w:rsidR="006C011D" w:rsidRPr="005A284F" w:rsidRDefault="00000000">
      <w:pPr>
        <w:pStyle w:val="3"/>
        <w:spacing w:line="280" w:lineRule="exact"/>
        <w:jc w:val="left"/>
        <w:rPr>
          <w:rFonts w:ascii="Times New Roman" w:hAnsi="Times New Roman" w:cs="Times New Roman"/>
          <w:b/>
          <w:bCs/>
        </w:rPr>
      </w:pPr>
      <w:bookmarkStart w:id="307" w:name="_Toc989239"/>
      <w:r w:rsidRPr="005A284F">
        <w:rPr>
          <w:rFonts w:ascii="Times New Roman" w:hAnsi="Times New Roman" w:cs="Times New Roman"/>
          <w:b/>
          <w:bCs/>
        </w:rPr>
        <w:t>52</w:t>
      </w:r>
      <w:r w:rsidRPr="005A284F">
        <w:rPr>
          <w:rFonts w:ascii="Times New Roman" w:hAnsi="Times New Roman" w:cs="Times New Roman"/>
          <w:b/>
          <w:bCs/>
        </w:rPr>
        <w:t>、其他非流动负债</w:t>
      </w:r>
      <w:bookmarkEnd w:id="307"/>
    </w:p>
    <w:p w14:paraId="39427BF4" w14:textId="77777777" w:rsidR="000309B5" w:rsidRPr="005A284F" w:rsidRDefault="00000000">
      <w:pPr>
        <w:pStyle w:val="a3"/>
        <w:divId w:val="262107706"/>
        <w:rPr>
          <w:rFonts w:ascii="Times New Roman" w:hAnsi="Times New Roman" w:cs="Times New Roman"/>
          <w:sz w:val="18"/>
          <w:szCs w:val="18"/>
        </w:rPr>
      </w:pPr>
      <w:r w:rsidRPr="005A284F">
        <w:rPr>
          <w:rFonts w:ascii="Times New Roman" w:hAnsi="Times New Roman" w:cs="Times New Roman"/>
          <w:sz w:val="18"/>
          <w:szCs w:val="18"/>
        </w:rPr>
        <w:t>无</w:t>
      </w:r>
    </w:p>
    <w:p w14:paraId="469A21F2" w14:textId="77777777" w:rsidR="006C011D" w:rsidRPr="005A284F" w:rsidRDefault="00000000">
      <w:pPr>
        <w:pStyle w:val="3"/>
        <w:spacing w:line="280" w:lineRule="exact"/>
        <w:jc w:val="left"/>
        <w:rPr>
          <w:rFonts w:ascii="Times New Roman" w:hAnsi="Times New Roman" w:cs="Times New Roman"/>
          <w:b/>
          <w:bCs/>
        </w:rPr>
      </w:pPr>
      <w:bookmarkStart w:id="308" w:name="_Toc989240"/>
      <w:r w:rsidRPr="005A284F">
        <w:rPr>
          <w:rFonts w:ascii="Times New Roman" w:hAnsi="Times New Roman" w:cs="Times New Roman"/>
          <w:b/>
          <w:bCs/>
        </w:rPr>
        <w:t>53</w:t>
      </w:r>
      <w:r w:rsidRPr="005A284F">
        <w:rPr>
          <w:rFonts w:ascii="Times New Roman" w:hAnsi="Times New Roman" w:cs="Times New Roman"/>
          <w:b/>
          <w:bCs/>
        </w:rPr>
        <w:t>、股本</w:t>
      </w:r>
      <w:bookmarkEnd w:id="308"/>
    </w:p>
    <w:p w14:paraId="221526BE"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923"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04"/>
        <w:gridCol w:w="1490"/>
        <w:gridCol w:w="1134"/>
        <w:gridCol w:w="991"/>
        <w:gridCol w:w="1205"/>
        <w:gridCol w:w="1205"/>
        <w:gridCol w:w="1205"/>
        <w:gridCol w:w="1489"/>
      </w:tblGrid>
      <w:tr w:rsidR="006C011D" w:rsidRPr="005A284F" w14:paraId="5AA346B6" w14:textId="77777777" w:rsidTr="00E94D55">
        <w:trPr>
          <w:trHeight w:val="240"/>
        </w:trPr>
        <w:tc>
          <w:tcPr>
            <w:tcW w:w="120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07C1B18" w14:textId="77777777" w:rsidR="006C011D" w:rsidRPr="005A284F" w:rsidRDefault="006C011D">
            <w:pPr>
              <w:rPr>
                <w:rFonts w:ascii="Times New Roman" w:eastAsia="宋体" w:hAnsi="Times New Roman" w:cs="Times New Roman"/>
              </w:rPr>
            </w:pPr>
          </w:p>
        </w:tc>
        <w:tc>
          <w:tcPr>
            <w:tcW w:w="149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42839E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c>
          <w:tcPr>
            <w:tcW w:w="5740"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2642A9D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本次变动增减（</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w:t>
            </w:r>
          </w:p>
        </w:tc>
        <w:tc>
          <w:tcPr>
            <w:tcW w:w="148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679684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r>
      <w:tr w:rsidR="006C011D" w:rsidRPr="005A284F" w14:paraId="2C46481D" w14:textId="77777777" w:rsidTr="00E94D55">
        <w:trPr>
          <w:trHeight w:val="240"/>
        </w:trPr>
        <w:tc>
          <w:tcPr>
            <w:tcW w:w="120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4DC8DCE" w14:textId="77777777" w:rsidR="006C011D" w:rsidRPr="005A284F" w:rsidRDefault="006C011D">
            <w:pPr>
              <w:rPr>
                <w:rFonts w:ascii="Times New Roman" w:eastAsia="宋体" w:hAnsi="Times New Roman" w:cs="Times New Roman"/>
              </w:rPr>
            </w:pPr>
          </w:p>
        </w:tc>
        <w:tc>
          <w:tcPr>
            <w:tcW w:w="149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C3901EF" w14:textId="77777777" w:rsidR="006C011D" w:rsidRPr="005A284F" w:rsidRDefault="006C011D">
            <w:pPr>
              <w:rPr>
                <w:rFonts w:ascii="Times New Roman" w:eastAsia="宋体" w:hAnsi="Times New Roman" w:cs="Times New Roman"/>
              </w:rPr>
            </w:pP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120C0F7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发行新股</w:t>
            </w:r>
          </w:p>
        </w:tc>
        <w:tc>
          <w:tcPr>
            <w:tcW w:w="991" w:type="dxa"/>
            <w:tcBorders>
              <w:top w:val="single" w:sz="2" w:space="0" w:color="auto"/>
              <w:left w:val="single" w:sz="2" w:space="0" w:color="auto"/>
              <w:bottom w:val="single" w:sz="2" w:space="0" w:color="auto"/>
              <w:right w:val="single" w:sz="2" w:space="0" w:color="auto"/>
            </w:tcBorders>
            <w:shd w:val="clear" w:color="auto" w:fill="D3D3D3"/>
            <w:vAlign w:val="center"/>
          </w:tcPr>
          <w:p w14:paraId="73B9C8F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送股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396017F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公积金转股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3684C71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1ED654B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小计</w:t>
            </w:r>
          </w:p>
        </w:tc>
        <w:tc>
          <w:tcPr>
            <w:tcW w:w="148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F7D7D8D" w14:textId="77777777" w:rsidR="006C011D" w:rsidRPr="005A284F" w:rsidRDefault="006C011D">
            <w:pPr>
              <w:rPr>
                <w:rFonts w:ascii="Times New Roman" w:eastAsia="宋体" w:hAnsi="Times New Roman" w:cs="Times New Roman"/>
              </w:rPr>
            </w:pPr>
          </w:p>
        </w:tc>
      </w:tr>
      <w:tr w:rsidR="006C011D" w:rsidRPr="005A284F" w14:paraId="44A21370" w14:textId="77777777" w:rsidTr="00E94D55">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14:paraId="1F495BB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股份总数</w:t>
            </w:r>
          </w:p>
        </w:tc>
        <w:tc>
          <w:tcPr>
            <w:tcW w:w="1490" w:type="dxa"/>
            <w:tcBorders>
              <w:top w:val="single" w:sz="2" w:space="0" w:color="auto"/>
              <w:left w:val="single" w:sz="2" w:space="0" w:color="auto"/>
              <w:bottom w:val="single" w:sz="2" w:space="0" w:color="auto"/>
              <w:right w:val="single" w:sz="2" w:space="0" w:color="auto"/>
            </w:tcBorders>
            <w:vAlign w:val="center"/>
          </w:tcPr>
          <w:p w14:paraId="5C50A43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1,079,160,261.00</w:t>
            </w:r>
          </w:p>
        </w:tc>
        <w:tc>
          <w:tcPr>
            <w:tcW w:w="1134" w:type="dxa"/>
            <w:tcBorders>
              <w:top w:val="single" w:sz="2" w:space="0" w:color="auto"/>
              <w:left w:val="single" w:sz="2" w:space="0" w:color="auto"/>
              <w:bottom w:val="single" w:sz="2" w:space="0" w:color="auto"/>
              <w:right w:val="single" w:sz="2" w:space="0" w:color="auto"/>
            </w:tcBorders>
            <w:vAlign w:val="center"/>
          </w:tcPr>
          <w:p w14:paraId="1CB8D44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428.00</w:t>
            </w:r>
          </w:p>
        </w:tc>
        <w:tc>
          <w:tcPr>
            <w:tcW w:w="991" w:type="dxa"/>
            <w:tcBorders>
              <w:top w:val="single" w:sz="2" w:space="0" w:color="auto"/>
              <w:left w:val="single" w:sz="2" w:space="0" w:color="auto"/>
              <w:bottom w:val="single" w:sz="2" w:space="0" w:color="auto"/>
              <w:right w:val="single" w:sz="2" w:space="0" w:color="auto"/>
            </w:tcBorders>
            <w:vAlign w:val="center"/>
          </w:tcPr>
          <w:p w14:paraId="79B4A31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1E2DBB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713D44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EC33E4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428.00</w:t>
            </w:r>
          </w:p>
        </w:tc>
        <w:tc>
          <w:tcPr>
            <w:tcW w:w="1489" w:type="dxa"/>
            <w:tcBorders>
              <w:top w:val="single" w:sz="2" w:space="0" w:color="auto"/>
              <w:left w:val="single" w:sz="2" w:space="0" w:color="auto"/>
              <w:bottom w:val="single" w:sz="2" w:space="0" w:color="auto"/>
              <w:right w:val="single" w:sz="2" w:space="0" w:color="auto"/>
            </w:tcBorders>
            <w:vAlign w:val="center"/>
          </w:tcPr>
          <w:p w14:paraId="5338C9C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1,079,160,689.00</w:t>
            </w:r>
          </w:p>
        </w:tc>
      </w:tr>
    </w:tbl>
    <w:p w14:paraId="18D08D5A"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w:t>
      </w:r>
    </w:p>
    <w:p w14:paraId="13CB6B1F" w14:textId="1A9B1A72" w:rsidR="000309B5" w:rsidRPr="005A284F" w:rsidRDefault="00000000">
      <w:pPr>
        <w:pStyle w:val="a3"/>
        <w:divId w:val="1064109572"/>
        <w:rPr>
          <w:rFonts w:ascii="Times New Roman" w:hAnsi="Times New Roman" w:cs="Times New Roman"/>
          <w:sz w:val="18"/>
          <w:szCs w:val="18"/>
        </w:rPr>
      </w:pPr>
      <w:r w:rsidRPr="005A284F">
        <w:rPr>
          <w:rFonts w:ascii="Times New Roman" w:hAnsi="Times New Roman" w:cs="Times New Roman"/>
          <w:sz w:val="18"/>
          <w:szCs w:val="18"/>
        </w:rPr>
        <w:t>1</w:t>
      </w:r>
      <w:r w:rsidRPr="005A284F">
        <w:rPr>
          <w:rFonts w:ascii="Times New Roman" w:hAnsi="Times New Roman" w:cs="Times New Roman"/>
          <w:sz w:val="18"/>
          <w:szCs w:val="18"/>
        </w:rPr>
        <w:t>、公司可转债发生债转股，增加股本</w:t>
      </w:r>
      <w:r w:rsidRPr="005A284F">
        <w:rPr>
          <w:rFonts w:ascii="Times New Roman" w:hAnsi="Times New Roman" w:cs="Times New Roman"/>
          <w:sz w:val="18"/>
          <w:szCs w:val="18"/>
        </w:rPr>
        <w:t>428.00</w:t>
      </w:r>
      <w:r w:rsidRPr="005A284F">
        <w:rPr>
          <w:rFonts w:ascii="Times New Roman" w:hAnsi="Times New Roman" w:cs="Times New Roman"/>
          <w:sz w:val="18"/>
          <w:szCs w:val="18"/>
        </w:rPr>
        <w:t>元。</w:t>
      </w:r>
    </w:p>
    <w:p w14:paraId="7DD94B4A" w14:textId="77777777" w:rsidR="006C011D" w:rsidRPr="005A284F" w:rsidRDefault="00000000">
      <w:pPr>
        <w:pStyle w:val="3"/>
        <w:spacing w:line="280" w:lineRule="exact"/>
        <w:jc w:val="left"/>
        <w:rPr>
          <w:rFonts w:ascii="Times New Roman" w:hAnsi="Times New Roman" w:cs="Times New Roman"/>
          <w:b/>
          <w:bCs/>
        </w:rPr>
      </w:pPr>
      <w:bookmarkStart w:id="309" w:name="_Toc989241"/>
      <w:r w:rsidRPr="005A284F">
        <w:rPr>
          <w:rFonts w:ascii="Times New Roman" w:hAnsi="Times New Roman" w:cs="Times New Roman"/>
          <w:b/>
          <w:bCs/>
        </w:rPr>
        <w:t>54</w:t>
      </w:r>
      <w:r w:rsidRPr="005A284F">
        <w:rPr>
          <w:rFonts w:ascii="Times New Roman" w:hAnsi="Times New Roman" w:cs="Times New Roman"/>
          <w:b/>
          <w:bCs/>
        </w:rPr>
        <w:t>、其他权益工具</w:t>
      </w:r>
      <w:bookmarkEnd w:id="309"/>
    </w:p>
    <w:p w14:paraId="142A5D95" w14:textId="2E4FACE9" w:rsidR="006C011D" w:rsidRPr="005A284F" w:rsidRDefault="00000000">
      <w:pPr>
        <w:keepNext/>
        <w:keepLines/>
        <w:spacing w:before="300" w:after="300" w:line="280" w:lineRule="exact"/>
        <w:outlineLvl w:val="3"/>
        <w:rPr>
          <w:rFonts w:ascii="Times New Roman" w:eastAsia="宋体" w:hAnsi="Times New Roman" w:cs="Times New Roman"/>
          <w:b/>
          <w:bCs/>
          <w:sz w:val="18"/>
          <w:szCs w:val="18"/>
        </w:rPr>
      </w:pPr>
      <w:bookmarkStart w:id="310" w:name="_Toc989242"/>
      <w:r w:rsidRPr="005A284F">
        <w:rPr>
          <w:rFonts w:ascii="Times New Roman" w:eastAsia="宋体" w:hAnsi="Times New Roman" w:cs="Times New Roman"/>
          <w:b/>
          <w:bCs/>
          <w:sz w:val="18"/>
          <w:szCs w:val="18"/>
        </w:rPr>
        <w:t>（</w:t>
      </w:r>
      <w:r w:rsidRPr="005A284F">
        <w:rPr>
          <w:rFonts w:ascii="Times New Roman" w:eastAsia="宋体" w:hAnsi="Times New Roman" w:cs="Times New Roman"/>
          <w:b/>
          <w:bCs/>
          <w:sz w:val="18"/>
          <w:szCs w:val="18"/>
        </w:rPr>
        <w:t>1</w:t>
      </w:r>
      <w:r w:rsidRPr="005A284F">
        <w:rPr>
          <w:rFonts w:ascii="Times New Roman" w:eastAsia="宋体" w:hAnsi="Times New Roman" w:cs="Times New Roman"/>
          <w:b/>
          <w:bCs/>
          <w:sz w:val="18"/>
          <w:szCs w:val="18"/>
        </w:rPr>
        <w:t>）期末发行在外的优先股、永续债等其他金融工具基本情况</w:t>
      </w:r>
      <w:bookmarkEnd w:id="310"/>
    </w:p>
    <w:p w14:paraId="3854CECF" w14:textId="4B523798" w:rsidR="000309B5" w:rsidRPr="005A284F" w:rsidRDefault="00000000">
      <w:pPr>
        <w:pStyle w:val="a3"/>
        <w:spacing w:before="0" w:beforeAutospacing="0" w:after="0" w:afterAutospacing="0"/>
        <w:jc w:val="both"/>
        <w:divId w:val="56326427"/>
        <w:rPr>
          <w:rFonts w:ascii="Times New Roman" w:hAnsi="Times New Roman" w:cs="Times New Roman"/>
          <w:sz w:val="21"/>
          <w:szCs w:val="21"/>
        </w:rPr>
      </w:pPr>
      <w:r w:rsidRPr="005A284F">
        <w:rPr>
          <w:rFonts w:ascii="Times New Roman" w:hAnsi="Times New Roman" w:cs="Times New Roman"/>
          <w:color w:val="000000"/>
          <w:spacing w:val="-3"/>
          <w:sz w:val="18"/>
          <w:szCs w:val="18"/>
        </w:rPr>
        <w:t>见附注五、</w:t>
      </w:r>
      <w:r w:rsidRPr="005A284F">
        <w:rPr>
          <w:rFonts w:ascii="Times New Roman" w:hAnsi="Times New Roman" w:cs="Times New Roman"/>
          <w:color w:val="000000"/>
          <w:spacing w:val="-3"/>
          <w:sz w:val="18"/>
          <w:szCs w:val="18"/>
        </w:rPr>
        <w:t>36</w:t>
      </w:r>
      <w:r w:rsidRPr="005A284F">
        <w:rPr>
          <w:rFonts w:ascii="Times New Roman" w:hAnsi="Times New Roman" w:cs="Times New Roman"/>
          <w:color w:val="000000"/>
          <w:spacing w:val="-3"/>
          <w:sz w:val="18"/>
          <w:szCs w:val="18"/>
        </w:rPr>
        <w:t>。</w:t>
      </w:r>
    </w:p>
    <w:p w14:paraId="288E9F16" w14:textId="41A93A90" w:rsidR="006C011D" w:rsidRPr="005A284F" w:rsidRDefault="00000000">
      <w:pPr>
        <w:keepNext/>
        <w:keepLines/>
        <w:spacing w:before="300" w:after="300" w:line="280" w:lineRule="exact"/>
        <w:outlineLvl w:val="3"/>
        <w:rPr>
          <w:rFonts w:ascii="Times New Roman" w:eastAsia="宋体" w:hAnsi="Times New Roman" w:cs="Times New Roman"/>
          <w:b/>
          <w:bCs/>
          <w:sz w:val="18"/>
          <w:szCs w:val="18"/>
        </w:rPr>
      </w:pPr>
      <w:bookmarkStart w:id="311" w:name="_Toc989243"/>
      <w:r w:rsidRPr="005A284F">
        <w:rPr>
          <w:rFonts w:ascii="Times New Roman" w:eastAsia="宋体" w:hAnsi="Times New Roman" w:cs="Times New Roman"/>
          <w:b/>
          <w:bCs/>
          <w:sz w:val="18"/>
          <w:szCs w:val="18"/>
        </w:rPr>
        <w:t>（</w:t>
      </w:r>
      <w:r w:rsidRPr="005A284F">
        <w:rPr>
          <w:rFonts w:ascii="Times New Roman" w:eastAsia="宋体" w:hAnsi="Times New Roman" w:cs="Times New Roman"/>
          <w:b/>
          <w:bCs/>
          <w:sz w:val="18"/>
          <w:szCs w:val="18"/>
        </w:rPr>
        <w:t>2</w:t>
      </w:r>
      <w:r w:rsidRPr="005A284F">
        <w:rPr>
          <w:rFonts w:ascii="Times New Roman" w:eastAsia="宋体" w:hAnsi="Times New Roman" w:cs="Times New Roman"/>
          <w:b/>
          <w:bCs/>
          <w:sz w:val="18"/>
          <w:szCs w:val="18"/>
        </w:rPr>
        <w:t>）期末发行在外的优先股、永续债等金融工具变动情况表</w:t>
      </w:r>
      <w:bookmarkEnd w:id="311"/>
    </w:p>
    <w:p w14:paraId="0279D834"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923"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71"/>
        <w:gridCol w:w="1197"/>
        <w:gridCol w:w="1418"/>
        <w:gridCol w:w="598"/>
        <w:gridCol w:w="1071"/>
        <w:gridCol w:w="1071"/>
        <w:gridCol w:w="945"/>
        <w:gridCol w:w="1197"/>
        <w:gridCol w:w="1355"/>
      </w:tblGrid>
      <w:tr w:rsidR="006C011D" w:rsidRPr="005A284F" w14:paraId="62166114" w14:textId="77777777" w:rsidTr="00E94D55">
        <w:trPr>
          <w:trHeight w:val="240"/>
          <w:jc w:val="center"/>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767E1C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发行在外的金融工具</w:t>
            </w:r>
          </w:p>
        </w:tc>
        <w:tc>
          <w:tcPr>
            <w:tcW w:w="261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74CC96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w:t>
            </w:r>
          </w:p>
        </w:tc>
        <w:tc>
          <w:tcPr>
            <w:tcW w:w="166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7D6B9C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本期增加</w:t>
            </w:r>
          </w:p>
        </w:tc>
        <w:tc>
          <w:tcPr>
            <w:tcW w:w="201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3A0CBF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本期减少</w:t>
            </w:r>
          </w:p>
        </w:tc>
        <w:tc>
          <w:tcPr>
            <w:tcW w:w="25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ABDE56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w:t>
            </w:r>
          </w:p>
        </w:tc>
      </w:tr>
      <w:tr w:rsidR="006C011D" w:rsidRPr="005A284F" w14:paraId="638F1051" w14:textId="77777777" w:rsidTr="00E94D55">
        <w:trPr>
          <w:trHeight w:val="240"/>
          <w:jc w:val="center"/>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F97332E" w14:textId="77777777" w:rsidR="006C011D" w:rsidRPr="005A284F" w:rsidRDefault="006C011D">
            <w:pPr>
              <w:rPr>
                <w:rFonts w:ascii="Times New Roman" w:eastAsia="宋体" w:hAnsi="Times New Roman" w:cs="Times New Roman"/>
              </w:rPr>
            </w:pPr>
          </w:p>
        </w:tc>
        <w:tc>
          <w:tcPr>
            <w:tcW w:w="1197" w:type="dxa"/>
            <w:tcBorders>
              <w:top w:val="single" w:sz="2" w:space="0" w:color="auto"/>
              <w:left w:val="single" w:sz="2" w:space="0" w:color="auto"/>
              <w:bottom w:val="single" w:sz="2" w:space="0" w:color="auto"/>
              <w:right w:val="single" w:sz="2" w:space="0" w:color="auto"/>
            </w:tcBorders>
            <w:shd w:val="clear" w:color="auto" w:fill="D3D3D3"/>
            <w:vAlign w:val="center"/>
          </w:tcPr>
          <w:p w14:paraId="3693294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数量</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46A454A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账面价值</w:t>
            </w:r>
          </w:p>
        </w:tc>
        <w:tc>
          <w:tcPr>
            <w:tcW w:w="598" w:type="dxa"/>
            <w:tcBorders>
              <w:top w:val="single" w:sz="2" w:space="0" w:color="auto"/>
              <w:left w:val="single" w:sz="2" w:space="0" w:color="auto"/>
              <w:bottom w:val="single" w:sz="2" w:space="0" w:color="auto"/>
              <w:right w:val="single" w:sz="2" w:space="0" w:color="auto"/>
            </w:tcBorders>
            <w:shd w:val="clear" w:color="auto" w:fill="D3D3D3"/>
            <w:vAlign w:val="center"/>
          </w:tcPr>
          <w:p w14:paraId="295050C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数量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938A2E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账面价值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CCEA7B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数量</w:t>
            </w:r>
          </w:p>
        </w:tc>
        <w:tc>
          <w:tcPr>
            <w:tcW w:w="945" w:type="dxa"/>
            <w:tcBorders>
              <w:top w:val="single" w:sz="2" w:space="0" w:color="auto"/>
              <w:left w:val="single" w:sz="2" w:space="0" w:color="auto"/>
              <w:bottom w:val="single" w:sz="2" w:space="0" w:color="auto"/>
              <w:right w:val="single" w:sz="2" w:space="0" w:color="auto"/>
            </w:tcBorders>
            <w:shd w:val="clear" w:color="auto" w:fill="D3D3D3"/>
            <w:vAlign w:val="center"/>
          </w:tcPr>
          <w:p w14:paraId="7F045CC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账面价值</w:t>
            </w:r>
          </w:p>
        </w:tc>
        <w:tc>
          <w:tcPr>
            <w:tcW w:w="1197" w:type="dxa"/>
            <w:tcBorders>
              <w:top w:val="single" w:sz="2" w:space="0" w:color="auto"/>
              <w:left w:val="single" w:sz="2" w:space="0" w:color="auto"/>
              <w:bottom w:val="single" w:sz="2" w:space="0" w:color="auto"/>
              <w:right w:val="single" w:sz="2" w:space="0" w:color="auto"/>
            </w:tcBorders>
            <w:shd w:val="clear" w:color="auto" w:fill="D3D3D3"/>
            <w:vAlign w:val="center"/>
          </w:tcPr>
          <w:p w14:paraId="656968C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数量</w:t>
            </w:r>
          </w:p>
        </w:tc>
        <w:tc>
          <w:tcPr>
            <w:tcW w:w="1355" w:type="dxa"/>
            <w:tcBorders>
              <w:top w:val="single" w:sz="2" w:space="0" w:color="auto"/>
              <w:left w:val="single" w:sz="2" w:space="0" w:color="auto"/>
              <w:bottom w:val="single" w:sz="2" w:space="0" w:color="auto"/>
              <w:right w:val="single" w:sz="2" w:space="0" w:color="auto"/>
            </w:tcBorders>
            <w:shd w:val="clear" w:color="auto" w:fill="D3D3D3"/>
            <w:vAlign w:val="center"/>
          </w:tcPr>
          <w:p w14:paraId="17E5BCF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账面价值</w:t>
            </w:r>
          </w:p>
        </w:tc>
      </w:tr>
      <w:tr w:rsidR="006C011D" w:rsidRPr="005A284F" w14:paraId="22CB4913" w14:textId="77777777" w:rsidTr="00E94D55">
        <w:trPr>
          <w:trHeight w:val="240"/>
          <w:jc w:val="center"/>
        </w:trPr>
        <w:tc>
          <w:tcPr>
            <w:tcW w:w="1071" w:type="dxa"/>
            <w:tcBorders>
              <w:top w:val="single" w:sz="2" w:space="0" w:color="auto"/>
              <w:left w:val="single" w:sz="2" w:space="0" w:color="auto"/>
              <w:bottom w:val="single" w:sz="2" w:space="0" w:color="auto"/>
              <w:right w:val="single" w:sz="2" w:space="0" w:color="auto"/>
            </w:tcBorders>
            <w:vAlign w:val="center"/>
          </w:tcPr>
          <w:p w14:paraId="0271E34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可转换公司债券</w:t>
            </w:r>
          </w:p>
        </w:tc>
        <w:tc>
          <w:tcPr>
            <w:tcW w:w="1197" w:type="dxa"/>
            <w:tcBorders>
              <w:top w:val="single" w:sz="2" w:space="0" w:color="auto"/>
              <w:left w:val="single" w:sz="2" w:space="0" w:color="auto"/>
              <w:bottom w:val="single" w:sz="2" w:space="0" w:color="auto"/>
              <w:right w:val="single" w:sz="2" w:space="0" w:color="auto"/>
            </w:tcBorders>
            <w:vAlign w:val="center"/>
          </w:tcPr>
          <w:p w14:paraId="6629955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9,460,527.00</w:t>
            </w:r>
          </w:p>
        </w:tc>
        <w:tc>
          <w:tcPr>
            <w:tcW w:w="1418" w:type="dxa"/>
            <w:tcBorders>
              <w:top w:val="single" w:sz="2" w:space="0" w:color="auto"/>
              <w:left w:val="single" w:sz="2" w:space="0" w:color="auto"/>
              <w:bottom w:val="single" w:sz="2" w:space="0" w:color="auto"/>
              <w:right w:val="single" w:sz="2" w:space="0" w:color="auto"/>
            </w:tcBorders>
            <w:vAlign w:val="center"/>
          </w:tcPr>
          <w:p w14:paraId="6453871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171,570,156.57</w:t>
            </w:r>
          </w:p>
        </w:tc>
        <w:tc>
          <w:tcPr>
            <w:tcW w:w="598" w:type="dxa"/>
            <w:tcBorders>
              <w:top w:val="single" w:sz="2" w:space="0" w:color="auto"/>
              <w:left w:val="single" w:sz="2" w:space="0" w:color="auto"/>
              <w:bottom w:val="single" w:sz="2" w:space="0" w:color="auto"/>
              <w:right w:val="single" w:sz="2" w:space="0" w:color="auto"/>
            </w:tcBorders>
            <w:vAlign w:val="center"/>
          </w:tcPr>
          <w:p w14:paraId="7373908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37D0DF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F8EBFE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51</w:t>
            </w:r>
          </w:p>
        </w:tc>
        <w:tc>
          <w:tcPr>
            <w:tcW w:w="945" w:type="dxa"/>
            <w:tcBorders>
              <w:top w:val="single" w:sz="2" w:space="0" w:color="auto"/>
              <w:left w:val="single" w:sz="2" w:space="0" w:color="auto"/>
              <w:bottom w:val="single" w:sz="2" w:space="0" w:color="auto"/>
              <w:right w:val="single" w:sz="2" w:space="0" w:color="auto"/>
            </w:tcBorders>
            <w:vAlign w:val="center"/>
          </w:tcPr>
          <w:p w14:paraId="02642F8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924.90</w:t>
            </w:r>
          </w:p>
        </w:tc>
        <w:tc>
          <w:tcPr>
            <w:tcW w:w="1197" w:type="dxa"/>
            <w:tcBorders>
              <w:top w:val="single" w:sz="2" w:space="0" w:color="auto"/>
              <w:left w:val="single" w:sz="2" w:space="0" w:color="auto"/>
              <w:bottom w:val="single" w:sz="2" w:space="0" w:color="auto"/>
              <w:right w:val="single" w:sz="2" w:space="0" w:color="auto"/>
            </w:tcBorders>
            <w:vAlign w:val="center"/>
          </w:tcPr>
          <w:p w14:paraId="5880DDA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9,460,476.00</w:t>
            </w:r>
          </w:p>
        </w:tc>
        <w:tc>
          <w:tcPr>
            <w:tcW w:w="1355" w:type="dxa"/>
            <w:tcBorders>
              <w:top w:val="single" w:sz="2" w:space="0" w:color="auto"/>
              <w:left w:val="single" w:sz="2" w:space="0" w:color="auto"/>
              <w:bottom w:val="single" w:sz="2" w:space="0" w:color="auto"/>
              <w:right w:val="single" w:sz="2" w:space="0" w:color="auto"/>
            </w:tcBorders>
            <w:vAlign w:val="center"/>
          </w:tcPr>
          <w:p w14:paraId="62C4610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171,569,231.67</w:t>
            </w:r>
          </w:p>
        </w:tc>
      </w:tr>
      <w:tr w:rsidR="006C011D" w:rsidRPr="005A284F" w14:paraId="104A463C" w14:textId="77777777" w:rsidTr="00E94D55">
        <w:trPr>
          <w:trHeight w:val="240"/>
          <w:jc w:val="center"/>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BBF1738"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合计</w:t>
            </w:r>
          </w:p>
        </w:tc>
        <w:tc>
          <w:tcPr>
            <w:tcW w:w="1197" w:type="dxa"/>
            <w:tcBorders>
              <w:top w:val="single" w:sz="2" w:space="0" w:color="auto"/>
              <w:left w:val="single" w:sz="2" w:space="0" w:color="auto"/>
              <w:bottom w:val="single" w:sz="2" w:space="0" w:color="auto"/>
              <w:right w:val="single" w:sz="2" w:space="0" w:color="auto"/>
            </w:tcBorders>
            <w:vAlign w:val="center"/>
          </w:tcPr>
          <w:p w14:paraId="1CEABDD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9,460,527.00</w:t>
            </w:r>
          </w:p>
        </w:tc>
        <w:tc>
          <w:tcPr>
            <w:tcW w:w="1418" w:type="dxa"/>
            <w:tcBorders>
              <w:top w:val="single" w:sz="2" w:space="0" w:color="auto"/>
              <w:left w:val="single" w:sz="2" w:space="0" w:color="auto"/>
              <w:bottom w:val="single" w:sz="2" w:space="0" w:color="auto"/>
              <w:right w:val="single" w:sz="2" w:space="0" w:color="auto"/>
            </w:tcBorders>
            <w:vAlign w:val="center"/>
          </w:tcPr>
          <w:p w14:paraId="7481128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171,570,156.57</w:t>
            </w:r>
          </w:p>
        </w:tc>
        <w:tc>
          <w:tcPr>
            <w:tcW w:w="598" w:type="dxa"/>
            <w:tcBorders>
              <w:top w:val="single" w:sz="2" w:space="0" w:color="auto"/>
              <w:left w:val="single" w:sz="2" w:space="0" w:color="auto"/>
              <w:bottom w:val="single" w:sz="2" w:space="0" w:color="auto"/>
              <w:right w:val="single" w:sz="2" w:space="0" w:color="auto"/>
            </w:tcBorders>
            <w:vAlign w:val="center"/>
          </w:tcPr>
          <w:p w14:paraId="16AFCA5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0F124D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E1E6A3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51</w:t>
            </w:r>
          </w:p>
        </w:tc>
        <w:tc>
          <w:tcPr>
            <w:tcW w:w="945" w:type="dxa"/>
            <w:tcBorders>
              <w:top w:val="single" w:sz="2" w:space="0" w:color="auto"/>
              <w:left w:val="single" w:sz="2" w:space="0" w:color="auto"/>
              <w:bottom w:val="single" w:sz="2" w:space="0" w:color="auto"/>
              <w:right w:val="single" w:sz="2" w:space="0" w:color="auto"/>
            </w:tcBorders>
            <w:vAlign w:val="center"/>
          </w:tcPr>
          <w:p w14:paraId="1FDEEAB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924.90</w:t>
            </w:r>
          </w:p>
        </w:tc>
        <w:tc>
          <w:tcPr>
            <w:tcW w:w="1197" w:type="dxa"/>
            <w:tcBorders>
              <w:top w:val="single" w:sz="2" w:space="0" w:color="auto"/>
              <w:left w:val="single" w:sz="2" w:space="0" w:color="auto"/>
              <w:bottom w:val="single" w:sz="2" w:space="0" w:color="auto"/>
              <w:right w:val="single" w:sz="2" w:space="0" w:color="auto"/>
            </w:tcBorders>
            <w:vAlign w:val="center"/>
          </w:tcPr>
          <w:p w14:paraId="45DE999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9,460,476.00</w:t>
            </w:r>
          </w:p>
        </w:tc>
        <w:tc>
          <w:tcPr>
            <w:tcW w:w="1355" w:type="dxa"/>
            <w:tcBorders>
              <w:top w:val="single" w:sz="2" w:space="0" w:color="auto"/>
              <w:left w:val="single" w:sz="2" w:space="0" w:color="auto"/>
              <w:bottom w:val="single" w:sz="2" w:space="0" w:color="auto"/>
              <w:right w:val="single" w:sz="2" w:space="0" w:color="auto"/>
            </w:tcBorders>
            <w:vAlign w:val="center"/>
          </w:tcPr>
          <w:p w14:paraId="07B6F10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171,569,231.67</w:t>
            </w:r>
          </w:p>
        </w:tc>
      </w:tr>
    </w:tbl>
    <w:p w14:paraId="0C751C5B"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其他权益工具本期增减变动情况、变动原因说明，以及相关会计处理的依据：</w:t>
      </w:r>
    </w:p>
    <w:p w14:paraId="03CD7726" w14:textId="370E9786" w:rsidR="000309B5" w:rsidRPr="005A284F" w:rsidRDefault="00000000">
      <w:pPr>
        <w:pStyle w:val="a3"/>
        <w:spacing w:before="0" w:beforeAutospacing="0" w:after="0" w:afterAutospacing="0"/>
        <w:textAlignment w:val="baseline"/>
        <w:divId w:val="23672636"/>
        <w:rPr>
          <w:rFonts w:ascii="Times New Roman" w:hAnsi="Times New Roman" w:cs="Times New Roman"/>
        </w:rPr>
      </w:pPr>
      <w:r w:rsidRPr="005A284F">
        <w:rPr>
          <w:rFonts w:ascii="Times New Roman" w:hAnsi="Times New Roman" w:cs="Times New Roman"/>
          <w:color w:val="000000"/>
          <w:spacing w:val="-1"/>
          <w:sz w:val="18"/>
          <w:szCs w:val="18"/>
        </w:rPr>
        <w:t>其他权益工具增减变动情况见附注七、</w:t>
      </w:r>
      <w:r w:rsidRPr="005A284F">
        <w:rPr>
          <w:rFonts w:ascii="Times New Roman" w:hAnsi="Times New Roman" w:cs="Times New Roman"/>
          <w:color w:val="000000"/>
          <w:spacing w:val="-1"/>
          <w:sz w:val="18"/>
          <w:szCs w:val="18"/>
        </w:rPr>
        <w:t>4</w:t>
      </w:r>
      <w:r w:rsidR="004E0542">
        <w:rPr>
          <w:rFonts w:ascii="Times New Roman" w:hAnsi="Times New Roman" w:cs="Times New Roman" w:hint="eastAsia"/>
          <w:color w:val="000000"/>
          <w:spacing w:val="-1"/>
          <w:sz w:val="18"/>
          <w:szCs w:val="18"/>
        </w:rPr>
        <w:t>6</w:t>
      </w:r>
      <w:r w:rsidRPr="005A284F">
        <w:rPr>
          <w:rFonts w:ascii="Times New Roman" w:hAnsi="Times New Roman" w:cs="Times New Roman"/>
          <w:color w:val="000000"/>
          <w:spacing w:val="-1"/>
          <w:sz w:val="18"/>
          <w:szCs w:val="18"/>
        </w:rPr>
        <w:t>。</w:t>
      </w:r>
    </w:p>
    <w:p w14:paraId="7C60A718"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w:t>
      </w:r>
    </w:p>
    <w:p w14:paraId="22F75010" w14:textId="77777777" w:rsidR="000309B5" w:rsidRPr="005A284F" w:rsidRDefault="00000000">
      <w:pPr>
        <w:pStyle w:val="a3"/>
        <w:divId w:val="504899073"/>
        <w:rPr>
          <w:rFonts w:ascii="Times New Roman" w:hAnsi="Times New Roman" w:cs="Times New Roman"/>
          <w:sz w:val="18"/>
          <w:szCs w:val="18"/>
        </w:rPr>
      </w:pPr>
      <w:r w:rsidRPr="005A284F">
        <w:rPr>
          <w:rFonts w:ascii="Times New Roman" w:hAnsi="Times New Roman" w:cs="Times New Roman"/>
          <w:sz w:val="18"/>
          <w:szCs w:val="18"/>
        </w:rPr>
        <w:t>无</w:t>
      </w:r>
    </w:p>
    <w:p w14:paraId="04C73189" w14:textId="77777777" w:rsidR="006C011D" w:rsidRPr="005A284F" w:rsidRDefault="00000000">
      <w:pPr>
        <w:pStyle w:val="3"/>
        <w:spacing w:line="280" w:lineRule="exact"/>
        <w:jc w:val="left"/>
        <w:rPr>
          <w:rFonts w:ascii="Times New Roman" w:hAnsi="Times New Roman" w:cs="Times New Roman"/>
          <w:b/>
          <w:bCs/>
        </w:rPr>
      </w:pPr>
      <w:bookmarkStart w:id="312" w:name="_Toc989244"/>
      <w:r w:rsidRPr="005A284F">
        <w:rPr>
          <w:rFonts w:ascii="Times New Roman" w:hAnsi="Times New Roman" w:cs="Times New Roman"/>
          <w:b/>
          <w:bCs/>
        </w:rPr>
        <w:t>55</w:t>
      </w:r>
      <w:r w:rsidRPr="005A284F">
        <w:rPr>
          <w:rFonts w:ascii="Times New Roman" w:hAnsi="Times New Roman" w:cs="Times New Roman"/>
          <w:b/>
          <w:bCs/>
        </w:rPr>
        <w:t>、资本公积</w:t>
      </w:r>
      <w:bookmarkEnd w:id="312"/>
    </w:p>
    <w:p w14:paraId="68C3FF54"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C011D" w:rsidRPr="005A284F" w14:paraId="62071DE9"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22719F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11B505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FE654B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24C464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331A15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r>
      <w:tr w:rsidR="006C011D" w:rsidRPr="005A284F" w14:paraId="01103065"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61350EE"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资本溢价（股本溢价）</w:t>
            </w:r>
          </w:p>
        </w:tc>
        <w:tc>
          <w:tcPr>
            <w:tcW w:w="1928" w:type="dxa"/>
            <w:tcBorders>
              <w:top w:val="single" w:sz="2" w:space="0" w:color="auto"/>
              <w:left w:val="single" w:sz="2" w:space="0" w:color="auto"/>
              <w:bottom w:val="single" w:sz="2" w:space="0" w:color="auto"/>
              <w:right w:val="single" w:sz="2" w:space="0" w:color="auto"/>
            </w:tcBorders>
            <w:vAlign w:val="center"/>
          </w:tcPr>
          <w:p w14:paraId="6E1499C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789,715,307.68</w:t>
            </w:r>
          </w:p>
        </w:tc>
        <w:tc>
          <w:tcPr>
            <w:tcW w:w="1928" w:type="dxa"/>
            <w:tcBorders>
              <w:top w:val="single" w:sz="2" w:space="0" w:color="auto"/>
              <w:left w:val="single" w:sz="2" w:space="0" w:color="auto"/>
              <w:bottom w:val="single" w:sz="2" w:space="0" w:color="auto"/>
              <w:right w:val="single" w:sz="2" w:space="0" w:color="auto"/>
            </w:tcBorders>
            <w:vAlign w:val="center"/>
          </w:tcPr>
          <w:p w14:paraId="275BF63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4,296.68</w:t>
            </w:r>
          </w:p>
        </w:tc>
        <w:tc>
          <w:tcPr>
            <w:tcW w:w="1928" w:type="dxa"/>
            <w:tcBorders>
              <w:top w:val="single" w:sz="2" w:space="0" w:color="auto"/>
              <w:left w:val="single" w:sz="2" w:space="0" w:color="auto"/>
              <w:bottom w:val="single" w:sz="2" w:space="0" w:color="auto"/>
              <w:right w:val="single" w:sz="2" w:space="0" w:color="auto"/>
            </w:tcBorders>
            <w:vAlign w:val="center"/>
          </w:tcPr>
          <w:p w14:paraId="0E01086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8AD07C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789,719,604.36</w:t>
            </w:r>
          </w:p>
        </w:tc>
      </w:tr>
      <w:tr w:rsidR="006C011D" w:rsidRPr="005A284F" w14:paraId="632E6BB0"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51D30A9"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其他资本公积</w:t>
            </w:r>
          </w:p>
        </w:tc>
        <w:tc>
          <w:tcPr>
            <w:tcW w:w="1928" w:type="dxa"/>
            <w:tcBorders>
              <w:top w:val="single" w:sz="2" w:space="0" w:color="auto"/>
              <w:left w:val="single" w:sz="2" w:space="0" w:color="auto"/>
              <w:bottom w:val="single" w:sz="2" w:space="0" w:color="auto"/>
              <w:right w:val="single" w:sz="2" w:space="0" w:color="auto"/>
            </w:tcBorders>
            <w:vAlign w:val="center"/>
          </w:tcPr>
          <w:p w14:paraId="2BE0B66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34,927,424.60</w:t>
            </w:r>
          </w:p>
        </w:tc>
        <w:tc>
          <w:tcPr>
            <w:tcW w:w="1928" w:type="dxa"/>
            <w:tcBorders>
              <w:top w:val="single" w:sz="2" w:space="0" w:color="auto"/>
              <w:left w:val="single" w:sz="2" w:space="0" w:color="auto"/>
              <w:bottom w:val="single" w:sz="2" w:space="0" w:color="auto"/>
              <w:right w:val="single" w:sz="2" w:space="0" w:color="auto"/>
            </w:tcBorders>
            <w:vAlign w:val="center"/>
          </w:tcPr>
          <w:p w14:paraId="66C2B87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72C147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119BB2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34,927,424.60</w:t>
            </w:r>
          </w:p>
        </w:tc>
      </w:tr>
      <w:tr w:rsidR="006C011D" w:rsidRPr="005A284F" w14:paraId="3265C340"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6E61D93"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450953B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824,642,732.28</w:t>
            </w:r>
          </w:p>
        </w:tc>
        <w:tc>
          <w:tcPr>
            <w:tcW w:w="1928" w:type="dxa"/>
            <w:tcBorders>
              <w:top w:val="single" w:sz="2" w:space="0" w:color="auto"/>
              <w:left w:val="single" w:sz="2" w:space="0" w:color="auto"/>
              <w:bottom w:val="single" w:sz="2" w:space="0" w:color="auto"/>
              <w:right w:val="single" w:sz="2" w:space="0" w:color="auto"/>
            </w:tcBorders>
            <w:vAlign w:val="center"/>
          </w:tcPr>
          <w:p w14:paraId="11DC652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4,296.68</w:t>
            </w:r>
          </w:p>
        </w:tc>
        <w:tc>
          <w:tcPr>
            <w:tcW w:w="1928" w:type="dxa"/>
            <w:tcBorders>
              <w:top w:val="single" w:sz="2" w:space="0" w:color="auto"/>
              <w:left w:val="single" w:sz="2" w:space="0" w:color="auto"/>
              <w:bottom w:val="single" w:sz="2" w:space="0" w:color="auto"/>
              <w:right w:val="single" w:sz="2" w:space="0" w:color="auto"/>
            </w:tcBorders>
            <w:vAlign w:val="center"/>
          </w:tcPr>
          <w:p w14:paraId="4F203C7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2BC71C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824,647,028.96</w:t>
            </w:r>
          </w:p>
        </w:tc>
      </w:tr>
    </w:tbl>
    <w:p w14:paraId="05002D91"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其他说明，包括本期增减变动情况、变动原因说明：</w:t>
      </w:r>
    </w:p>
    <w:p w14:paraId="72E0D9CE" w14:textId="734DBBDC" w:rsidR="000309B5" w:rsidRPr="005A284F" w:rsidRDefault="00000000">
      <w:pPr>
        <w:pStyle w:val="a3"/>
        <w:spacing w:before="144" w:beforeAutospacing="0" w:after="0" w:afterAutospacing="0" w:line="240" w:lineRule="atLeast"/>
        <w:ind w:left="393"/>
        <w:textAlignment w:val="baseline"/>
        <w:divId w:val="134642673"/>
        <w:rPr>
          <w:rFonts w:ascii="Times New Roman" w:hAnsi="Times New Roman" w:cs="Times New Roman"/>
        </w:rPr>
      </w:pPr>
      <w:r w:rsidRPr="005A284F">
        <w:rPr>
          <w:rFonts w:ascii="Times New Roman" w:hAnsi="Times New Roman" w:cs="Times New Roman"/>
          <w:color w:val="000000"/>
          <w:spacing w:val="-1"/>
          <w:sz w:val="18"/>
          <w:szCs w:val="18"/>
        </w:rPr>
        <w:t>1</w:t>
      </w:r>
      <w:r w:rsidRPr="005A284F">
        <w:rPr>
          <w:rFonts w:ascii="Times New Roman" w:hAnsi="Times New Roman" w:cs="Times New Roman"/>
          <w:color w:val="000000"/>
          <w:spacing w:val="-1"/>
          <w:sz w:val="18"/>
          <w:szCs w:val="18"/>
        </w:rPr>
        <w:t>、公司发生可转债转股，由于</w:t>
      </w:r>
      <w:r w:rsidR="004E0542">
        <w:rPr>
          <w:rFonts w:ascii="Times New Roman" w:hAnsi="Times New Roman" w:cs="Times New Roman" w:hint="eastAsia"/>
          <w:color w:val="000000"/>
          <w:spacing w:val="-1"/>
          <w:sz w:val="18"/>
          <w:szCs w:val="18"/>
        </w:rPr>
        <w:t>债券</w:t>
      </w:r>
      <w:r w:rsidR="000F52DB">
        <w:rPr>
          <w:rFonts w:ascii="Times New Roman" w:hAnsi="Times New Roman" w:cs="Times New Roman" w:hint="eastAsia"/>
          <w:color w:val="000000"/>
          <w:spacing w:val="-1"/>
          <w:sz w:val="18"/>
          <w:szCs w:val="18"/>
        </w:rPr>
        <w:t>回售</w:t>
      </w:r>
      <w:r w:rsidR="004E0542">
        <w:rPr>
          <w:rFonts w:ascii="Times New Roman" w:hAnsi="Times New Roman" w:cs="Times New Roman" w:hint="eastAsia"/>
          <w:color w:val="000000"/>
          <w:spacing w:val="-1"/>
          <w:sz w:val="18"/>
          <w:szCs w:val="18"/>
        </w:rPr>
        <w:t>及</w:t>
      </w:r>
      <w:r w:rsidRPr="005A284F">
        <w:rPr>
          <w:rFonts w:ascii="Times New Roman" w:hAnsi="Times New Roman" w:cs="Times New Roman"/>
          <w:color w:val="000000"/>
          <w:spacing w:val="-1"/>
          <w:sz w:val="18"/>
          <w:szCs w:val="18"/>
        </w:rPr>
        <w:t>债转股增加的资本公积（股本溢价）为</w:t>
      </w:r>
      <w:r w:rsidRPr="005A284F">
        <w:rPr>
          <w:rFonts w:ascii="Times New Roman" w:hAnsi="Times New Roman" w:cs="Times New Roman"/>
          <w:color w:val="000000"/>
          <w:spacing w:val="-1"/>
          <w:sz w:val="18"/>
          <w:szCs w:val="18"/>
        </w:rPr>
        <w:t>4</w:t>
      </w:r>
      <w:r w:rsidR="00E94D55">
        <w:rPr>
          <w:rFonts w:ascii="Times New Roman" w:hAnsi="Times New Roman" w:cs="Times New Roman" w:hint="eastAsia"/>
          <w:color w:val="000000"/>
          <w:spacing w:val="-1"/>
          <w:sz w:val="18"/>
          <w:szCs w:val="18"/>
        </w:rPr>
        <w:t>,</w:t>
      </w:r>
      <w:r w:rsidRPr="005A284F">
        <w:rPr>
          <w:rFonts w:ascii="Times New Roman" w:hAnsi="Times New Roman" w:cs="Times New Roman"/>
          <w:color w:val="000000"/>
          <w:spacing w:val="-1"/>
          <w:sz w:val="18"/>
          <w:szCs w:val="18"/>
        </w:rPr>
        <w:t>245.70</w:t>
      </w:r>
      <w:r w:rsidRPr="005A284F">
        <w:rPr>
          <w:rFonts w:ascii="Times New Roman" w:hAnsi="Times New Roman" w:cs="Times New Roman"/>
          <w:color w:val="000000"/>
          <w:spacing w:val="-1"/>
          <w:sz w:val="18"/>
          <w:szCs w:val="18"/>
        </w:rPr>
        <w:t>元。</w:t>
      </w:r>
    </w:p>
    <w:p w14:paraId="3710B4A3" w14:textId="52271E1C" w:rsidR="000309B5" w:rsidRPr="005A284F" w:rsidRDefault="00000000">
      <w:pPr>
        <w:pStyle w:val="a3"/>
        <w:spacing w:before="144" w:beforeAutospacing="0" w:after="0" w:afterAutospacing="0" w:line="240" w:lineRule="atLeast"/>
        <w:ind w:left="393"/>
        <w:textAlignment w:val="baseline"/>
        <w:divId w:val="134642673"/>
        <w:rPr>
          <w:rFonts w:ascii="Times New Roman" w:hAnsi="Times New Roman" w:cs="Times New Roman"/>
        </w:rPr>
      </w:pPr>
      <w:r w:rsidRPr="005A284F">
        <w:rPr>
          <w:rFonts w:ascii="Times New Roman" w:hAnsi="Times New Roman" w:cs="Times New Roman"/>
          <w:color w:val="000000"/>
          <w:spacing w:val="-1"/>
          <w:sz w:val="18"/>
          <w:szCs w:val="18"/>
        </w:rPr>
        <w:t>2</w:t>
      </w:r>
      <w:r w:rsidRPr="005A284F">
        <w:rPr>
          <w:rFonts w:ascii="Times New Roman" w:hAnsi="Times New Roman" w:cs="Times New Roman"/>
          <w:color w:val="000000"/>
          <w:spacing w:val="-1"/>
          <w:sz w:val="18"/>
          <w:szCs w:val="18"/>
        </w:rPr>
        <w:t>、</w:t>
      </w:r>
      <w:r w:rsidR="00182BE9" w:rsidRPr="005A284F">
        <w:rPr>
          <w:rFonts w:ascii="Times New Roman" w:hAnsi="Times New Roman" w:cs="Times New Roman"/>
          <w:sz w:val="18"/>
          <w:szCs w:val="18"/>
        </w:rPr>
        <w:t>四川龙炸餐饮管理有限公司</w:t>
      </w:r>
      <w:r w:rsidRPr="005A284F">
        <w:rPr>
          <w:rFonts w:ascii="Times New Roman" w:hAnsi="Times New Roman" w:cs="Times New Roman"/>
          <w:color w:val="000000"/>
          <w:spacing w:val="-1"/>
          <w:sz w:val="18"/>
          <w:szCs w:val="18"/>
        </w:rPr>
        <w:t>少数股东退投资款增加资本公积</w:t>
      </w:r>
      <w:r w:rsidRPr="005A284F">
        <w:rPr>
          <w:rFonts w:ascii="Times New Roman" w:hAnsi="Times New Roman" w:cs="Times New Roman"/>
          <w:color w:val="000000"/>
          <w:spacing w:val="-1"/>
          <w:sz w:val="18"/>
          <w:szCs w:val="18"/>
        </w:rPr>
        <w:t>50.98</w:t>
      </w:r>
      <w:r w:rsidRPr="005A284F">
        <w:rPr>
          <w:rFonts w:ascii="Times New Roman" w:hAnsi="Times New Roman" w:cs="Times New Roman"/>
          <w:color w:val="000000"/>
          <w:spacing w:val="-1"/>
          <w:sz w:val="18"/>
          <w:szCs w:val="18"/>
        </w:rPr>
        <w:t>元。</w:t>
      </w:r>
    </w:p>
    <w:p w14:paraId="16EEB459" w14:textId="77777777" w:rsidR="006C011D" w:rsidRPr="005A284F" w:rsidRDefault="00000000">
      <w:pPr>
        <w:pStyle w:val="3"/>
        <w:spacing w:line="280" w:lineRule="exact"/>
        <w:jc w:val="left"/>
        <w:rPr>
          <w:rFonts w:ascii="Times New Roman" w:hAnsi="Times New Roman" w:cs="Times New Roman"/>
          <w:b/>
          <w:bCs/>
        </w:rPr>
      </w:pPr>
      <w:bookmarkStart w:id="313" w:name="_Toc989245"/>
      <w:r w:rsidRPr="005A284F">
        <w:rPr>
          <w:rFonts w:ascii="Times New Roman" w:hAnsi="Times New Roman" w:cs="Times New Roman"/>
          <w:b/>
          <w:bCs/>
        </w:rPr>
        <w:t>56</w:t>
      </w:r>
      <w:r w:rsidRPr="005A284F">
        <w:rPr>
          <w:rFonts w:ascii="Times New Roman" w:hAnsi="Times New Roman" w:cs="Times New Roman"/>
          <w:b/>
          <w:bCs/>
        </w:rPr>
        <w:t>、库存股</w:t>
      </w:r>
      <w:bookmarkEnd w:id="313"/>
    </w:p>
    <w:p w14:paraId="5E8979B8"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C011D" w:rsidRPr="005A284F" w14:paraId="712BB3E8"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B0F7B4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BFA5C0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EA8E8E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0FB017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8730FA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r>
      <w:tr w:rsidR="006C011D" w:rsidRPr="005A284F" w14:paraId="73EB2138"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4A1C77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为员工持股计划或者股权激励而收购的本公司股份</w:t>
            </w:r>
          </w:p>
        </w:tc>
        <w:tc>
          <w:tcPr>
            <w:tcW w:w="1928" w:type="dxa"/>
            <w:tcBorders>
              <w:top w:val="single" w:sz="2" w:space="0" w:color="auto"/>
              <w:left w:val="single" w:sz="2" w:space="0" w:color="auto"/>
              <w:bottom w:val="single" w:sz="2" w:space="0" w:color="auto"/>
              <w:right w:val="single" w:sz="2" w:space="0" w:color="auto"/>
            </w:tcBorders>
            <w:vAlign w:val="center"/>
          </w:tcPr>
          <w:p w14:paraId="3D6CECC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330,025,083.29</w:t>
            </w:r>
          </w:p>
        </w:tc>
        <w:tc>
          <w:tcPr>
            <w:tcW w:w="1928" w:type="dxa"/>
            <w:tcBorders>
              <w:top w:val="single" w:sz="2" w:space="0" w:color="auto"/>
              <w:left w:val="single" w:sz="2" w:space="0" w:color="auto"/>
              <w:bottom w:val="single" w:sz="2" w:space="0" w:color="auto"/>
              <w:right w:val="single" w:sz="2" w:space="0" w:color="auto"/>
            </w:tcBorders>
            <w:vAlign w:val="center"/>
          </w:tcPr>
          <w:p w14:paraId="16C4670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7B093F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C29353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330,025,083.29</w:t>
            </w:r>
          </w:p>
        </w:tc>
      </w:tr>
      <w:tr w:rsidR="006C011D" w:rsidRPr="005A284F" w14:paraId="74F14217"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E6661EC"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58C768E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330,025,083.29</w:t>
            </w:r>
          </w:p>
        </w:tc>
        <w:tc>
          <w:tcPr>
            <w:tcW w:w="1928" w:type="dxa"/>
            <w:tcBorders>
              <w:top w:val="single" w:sz="2" w:space="0" w:color="auto"/>
              <w:left w:val="single" w:sz="2" w:space="0" w:color="auto"/>
              <w:bottom w:val="single" w:sz="2" w:space="0" w:color="auto"/>
              <w:right w:val="single" w:sz="2" w:space="0" w:color="auto"/>
            </w:tcBorders>
            <w:vAlign w:val="center"/>
          </w:tcPr>
          <w:p w14:paraId="750F913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144145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BCD7AE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330,025,083.29</w:t>
            </w:r>
          </w:p>
        </w:tc>
      </w:tr>
    </w:tbl>
    <w:p w14:paraId="66815973"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其他说明，包括本期增减变动情况、变动原因说明：</w:t>
      </w:r>
    </w:p>
    <w:p w14:paraId="0B517C9A" w14:textId="77777777" w:rsidR="000309B5" w:rsidRPr="005A284F" w:rsidRDefault="00000000">
      <w:pPr>
        <w:pStyle w:val="a3"/>
        <w:divId w:val="1649557875"/>
        <w:rPr>
          <w:rFonts w:ascii="Times New Roman" w:hAnsi="Times New Roman" w:cs="Times New Roman"/>
          <w:sz w:val="18"/>
          <w:szCs w:val="18"/>
        </w:rPr>
      </w:pPr>
      <w:r w:rsidRPr="005A284F">
        <w:rPr>
          <w:rFonts w:ascii="Times New Roman" w:hAnsi="Times New Roman" w:cs="Times New Roman"/>
          <w:sz w:val="18"/>
          <w:szCs w:val="18"/>
        </w:rPr>
        <w:t>无</w:t>
      </w:r>
    </w:p>
    <w:p w14:paraId="5025E208" w14:textId="77777777" w:rsidR="006C011D" w:rsidRPr="005A284F" w:rsidRDefault="00000000">
      <w:pPr>
        <w:pStyle w:val="3"/>
        <w:spacing w:line="280" w:lineRule="exact"/>
        <w:jc w:val="left"/>
        <w:rPr>
          <w:rFonts w:ascii="Times New Roman" w:hAnsi="Times New Roman" w:cs="Times New Roman"/>
          <w:b/>
          <w:bCs/>
        </w:rPr>
      </w:pPr>
      <w:bookmarkStart w:id="314" w:name="_Toc989246"/>
      <w:r w:rsidRPr="005A284F">
        <w:rPr>
          <w:rFonts w:ascii="Times New Roman" w:hAnsi="Times New Roman" w:cs="Times New Roman"/>
          <w:b/>
          <w:bCs/>
        </w:rPr>
        <w:t>57</w:t>
      </w:r>
      <w:r w:rsidRPr="005A284F">
        <w:rPr>
          <w:rFonts w:ascii="Times New Roman" w:hAnsi="Times New Roman" w:cs="Times New Roman"/>
          <w:b/>
          <w:bCs/>
        </w:rPr>
        <w:t>、其他综合收益</w:t>
      </w:r>
      <w:bookmarkEnd w:id="314"/>
    </w:p>
    <w:p w14:paraId="585D2EB0"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0" w:type="dxa"/>
          <w:right w:w="0" w:type="dxa"/>
        </w:tblCellMar>
        <w:tblLook w:val="04A0" w:firstRow="1" w:lastRow="0" w:firstColumn="1" w:lastColumn="0" w:noHBand="0" w:noVBand="1"/>
      </w:tblPr>
      <w:tblGrid>
        <w:gridCol w:w="1071"/>
        <w:gridCol w:w="1234"/>
        <w:gridCol w:w="908"/>
        <w:gridCol w:w="1071"/>
        <w:gridCol w:w="1071"/>
        <w:gridCol w:w="1071"/>
        <w:gridCol w:w="1071"/>
        <w:gridCol w:w="903"/>
        <w:gridCol w:w="1239"/>
      </w:tblGrid>
      <w:tr w:rsidR="006C011D" w:rsidRPr="005A284F" w14:paraId="6336CBE9" w14:textId="77777777" w:rsidTr="001C2948">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9D4F15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12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93BD44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c>
          <w:tcPr>
            <w:tcW w:w="6095"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174A6AD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本期发生额</w:t>
            </w:r>
          </w:p>
        </w:tc>
        <w:tc>
          <w:tcPr>
            <w:tcW w:w="123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CF0F6B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r>
      <w:tr w:rsidR="006C011D" w:rsidRPr="005A284F" w14:paraId="3D941FB3" w14:textId="77777777" w:rsidTr="001C2948">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8399145" w14:textId="77777777" w:rsidR="006C011D" w:rsidRPr="005A284F" w:rsidRDefault="006C011D">
            <w:pPr>
              <w:rPr>
                <w:rFonts w:ascii="Times New Roman" w:eastAsia="宋体" w:hAnsi="Times New Roman" w:cs="Times New Roman"/>
              </w:rPr>
            </w:pPr>
          </w:p>
        </w:tc>
        <w:tc>
          <w:tcPr>
            <w:tcW w:w="12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386E5EC" w14:textId="77777777" w:rsidR="006C011D" w:rsidRPr="005A284F" w:rsidRDefault="006C011D">
            <w:pPr>
              <w:rPr>
                <w:rFonts w:ascii="Times New Roman" w:eastAsia="宋体" w:hAnsi="Times New Roman" w:cs="Times New Roman"/>
              </w:rPr>
            </w:pPr>
          </w:p>
        </w:tc>
        <w:tc>
          <w:tcPr>
            <w:tcW w:w="908" w:type="dxa"/>
            <w:tcBorders>
              <w:top w:val="single" w:sz="2" w:space="0" w:color="auto"/>
              <w:left w:val="single" w:sz="2" w:space="0" w:color="auto"/>
              <w:bottom w:val="single" w:sz="2" w:space="0" w:color="auto"/>
              <w:right w:val="single" w:sz="2" w:space="0" w:color="auto"/>
            </w:tcBorders>
            <w:shd w:val="clear" w:color="auto" w:fill="D3D3D3"/>
            <w:vAlign w:val="center"/>
          </w:tcPr>
          <w:p w14:paraId="492F711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本期所得税前发生额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C13525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减：前期计入其他综合收益当期转入损益</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C4A56D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减：前期计入其他综合收益当期转入留存收益</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AF1D59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减：所得税费用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A9BBBC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税后归属于母公司</w:t>
            </w:r>
          </w:p>
        </w:tc>
        <w:tc>
          <w:tcPr>
            <w:tcW w:w="903" w:type="dxa"/>
            <w:tcBorders>
              <w:top w:val="single" w:sz="2" w:space="0" w:color="auto"/>
              <w:left w:val="single" w:sz="2" w:space="0" w:color="auto"/>
              <w:bottom w:val="single" w:sz="2" w:space="0" w:color="auto"/>
              <w:right w:val="single" w:sz="2" w:space="0" w:color="auto"/>
            </w:tcBorders>
            <w:shd w:val="clear" w:color="auto" w:fill="D3D3D3"/>
            <w:vAlign w:val="center"/>
          </w:tcPr>
          <w:p w14:paraId="137F846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税后归属于少数股东</w:t>
            </w:r>
          </w:p>
        </w:tc>
        <w:tc>
          <w:tcPr>
            <w:tcW w:w="123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E084036" w14:textId="77777777" w:rsidR="006C011D" w:rsidRPr="005A284F" w:rsidRDefault="006C011D">
            <w:pPr>
              <w:rPr>
                <w:rFonts w:ascii="Times New Roman" w:eastAsia="宋体" w:hAnsi="Times New Roman" w:cs="Times New Roman"/>
              </w:rPr>
            </w:pPr>
          </w:p>
        </w:tc>
      </w:tr>
      <w:tr w:rsidR="006C011D" w:rsidRPr="005A284F" w14:paraId="757AD2DA" w14:textId="77777777" w:rsidTr="001C2948">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690E5D3"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一、不能重分类进损益的其他综合收益</w:t>
            </w:r>
          </w:p>
        </w:tc>
        <w:tc>
          <w:tcPr>
            <w:tcW w:w="1234" w:type="dxa"/>
            <w:tcBorders>
              <w:top w:val="single" w:sz="2" w:space="0" w:color="auto"/>
              <w:left w:val="single" w:sz="2" w:space="0" w:color="auto"/>
              <w:bottom w:val="single" w:sz="2" w:space="0" w:color="auto"/>
              <w:right w:val="single" w:sz="2" w:space="0" w:color="auto"/>
            </w:tcBorders>
            <w:vAlign w:val="center"/>
          </w:tcPr>
          <w:p w14:paraId="2FCDBAA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-12,100,000.00</w:t>
            </w:r>
          </w:p>
        </w:tc>
        <w:tc>
          <w:tcPr>
            <w:tcW w:w="908" w:type="dxa"/>
            <w:tcBorders>
              <w:top w:val="single" w:sz="2" w:space="0" w:color="auto"/>
              <w:left w:val="single" w:sz="2" w:space="0" w:color="auto"/>
              <w:bottom w:val="single" w:sz="2" w:space="0" w:color="auto"/>
              <w:right w:val="single" w:sz="2" w:space="0" w:color="auto"/>
            </w:tcBorders>
            <w:vAlign w:val="center"/>
          </w:tcPr>
          <w:p w14:paraId="027E5AD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46F5FC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FB9B97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30E1F1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FCAB89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03" w:type="dxa"/>
            <w:tcBorders>
              <w:top w:val="single" w:sz="2" w:space="0" w:color="auto"/>
              <w:left w:val="single" w:sz="2" w:space="0" w:color="auto"/>
              <w:bottom w:val="single" w:sz="2" w:space="0" w:color="auto"/>
              <w:right w:val="single" w:sz="2" w:space="0" w:color="auto"/>
            </w:tcBorders>
            <w:vAlign w:val="center"/>
          </w:tcPr>
          <w:p w14:paraId="3F18B53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39" w:type="dxa"/>
            <w:tcBorders>
              <w:top w:val="single" w:sz="2" w:space="0" w:color="auto"/>
              <w:left w:val="single" w:sz="2" w:space="0" w:color="auto"/>
              <w:bottom w:val="single" w:sz="2" w:space="0" w:color="auto"/>
              <w:right w:val="single" w:sz="2" w:space="0" w:color="auto"/>
            </w:tcBorders>
            <w:vAlign w:val="center"/>
          </w:tcPr>
          <w:p w14:paraId="31ED3E4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-12,100,000.00</w:t>
            </w:r>
          </w:p>
        </w:tc>
      </w:tr>
      <w:tr w:rsidR="006C011D" w:rsidRPr="005A284F" w14:paraId="77EA5FFC" w14:textId="77777777" w:rsidTr="001C2948">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3F7E3B8" w14:textId="77777777" w:rsidR="006C011D" w:rsidRPr="005A284F" w:rsidRDefault="00000000">
            <w:pPr>
              <w:spacing w:before="40" w:after="4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其他权益工具投资公允价值变</w:t>
            </w:r>
            <w:r w:rsidRPr="005A284F">
              <w:rPr>
                <w:rFonts w:ascii="Times New Roman" w:eastAsia="宋体" w:hAnsi="Times New Roman" w:cs="Times New Roman"/>
                <w:sz w:val="18"/>
                <w:szCs w:val="18"/>
              </w:rPr>
              <w:lastRenderedPageBreak/>
              <w:t>动</w:t>
            </w:r>
          </w:p>
        </w:tc>
        <w:tc>
          <w:tcPr>
            <w:tcW w:w="1234" w:type="dxa"/>
            <w:tcBorders>
              <w:top w:val="single" w:sz="2" w:space="0" w:color="auto"/>
              <w:left w:val="single" w:sz="2" w:space="0" w:color="auto"/>
              <w:bottom w:val="single" w:sz="2" w:space="0" w:color="auto"/>
              <w:right w:val="single" w:sz="2" w:space="0" w:color="auto"/>
            </w:tcBorders>
            <w:vAlign w:val="center"/>
          </w:tcPr>
          <w:p w14:paraId="57E7BA5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-12,100,000.00</w:t>
            </w:r>
          </w:p>
        </w:tc>
        <w:tc>
          <w:tcPr>
            <w:tcW w:w="908" w:type="dxa"/>
            <w:tcBorders>
              <w:top w:val="single" w:sz="2" w:space="0" w:color="auto"/>
              <w:left w:val="single" w:sz="2" w:space="0" w:color="auto"/>
              <w:bottom w:val="single" w:sz="2" w:space="0" w:color="auto"/>
              <w:right w:val="single" w:sz="2" w:space="0" w:color="auto"/>
            </w:tcBorders>
            <w:vAlign w:val="center"/>
          </w:tcPr>
          <w:p w14:paraId="6FE3C9A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0BB30A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845762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BD315C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BF6678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03" w:type="dxa"/>
            <w:tcBorders>
              <w:top w:val="single" w:sz="2" w:space="0" w:color="auto"/>
              <w:left w:val="single" w:sz="2" w:space="0" w:color="auto"/>
              <w:bottom w:val="single" w:sz="2" w:space="0" w:color="auto"/>
              <w:right w:val="single" w:sz="2" w:space="0" w:color="auto"/>
            </w:tcBorders>
            <w:vAlign w:val="center"/>
          </w:tcPr>
          <w:p w14:paraId="06EF6F4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39" w:type="dxa"/>
            <w:tcBorders>
              <w:top w:val="single" w:sz="2" w:space="0" w:color="auto"/>
              <w:left w:val="single" w:sz="2" w:space="0" w:color="auto"/>
              <w:bottom w:val="single" w:sz="2" w:space="0" w:color="auto"/>
              <w:right w:val="single" w:sz="2" w:space="0" w:color="auto"/>
            </w:tcBorders>
            <w:vAlign w:val="center"/>
          </w:tcPr>
          <w:p w14:paraId="2A8CD59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-12,100,000.00</w:t>
            </w:r>
          </w:p>
        </w:tc>
      </w:tr>
      <w:tr w:rsidR="006C011D" w:rsidRPr="005A284F" w14:paraId="2BBD5451" w14:textId="77777777" w:rsidTr="001C2948">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57142D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其他综合收益合计</w:t>
            </w:r>
          </w:p>
        </w:tc>
        <w:tc>
          <w:tcPr>
            <w:tcW w:w="1234" w:type="dxa"/>
            <w:tcBorders>
              <w:top w:val="single" w:sz="2" w:space="0" w:color="auto"/>
              <w:left w:val="single" w:sz="2" w:space="0" w:color="auto"/>
              <w:bottom w:val="single" w:sz="2" w:space="0" w:color="auto"/>
              <w:right w:val="single" w:sz="2" w:space="0" w:color="auto"/>
            </w:tcBorders>
            <w:vAlign w:val="center"/>
          </w:tcPr>
          <w:p w14:paraId="151E8C3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-12,100,000.00</w:t>
            </w:r>
          </w:p>
        </w:tc>
        <w:tc>
          <w:tcPr>
            <w:tcW w:w="908" w:type="dxa"/>
            <w:tcBorders>
              <w:top w:val="single" w:sz="2" w:space="0" w:color="auto"/>
              <w:left w:val="single" w:sz="2" w:space="0" w:color="auto"/>
              <w:bottom w:val="single" w:sz="2" w:space="0" w:color="auto"/>
              <w:right w:val="single" w:sz="2" w:space="0" w:color="auto"/>
            </w:tcBorders>
            <w:vAlign w:val="center"/>
          </w:tcPr>
          <w:p w14:paraId="4FF6374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3B29C9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62D4C5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2D7053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DEF033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03" w:type="dxa"/>
            <w:tcBorders>
              <w:top w:val="single" w:sz="2" w:space="0" w:color="auto"/>
              <w:left w:val="single" w:sz="2" w:space="0" w:color="auto"/>
              <w:bottom w:val="single" w:sz="2" w:space="0" w:color="auto"/>
              <w:right w:val="single" w:sz="2" w:space="0" w:color="auto"/>
            </w:tcBorders>
            <w:vAlign w:val="center"/>
          </w:tcPr>
          <w:p w14:paraId="155C1E4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39" w:type="dxa"/>
            <w:tcBorders>
              <w:top w:val="single" w:sz="2" w:space="0" w:color="auto"/>
              <w:left w:val="single" w:sz="2" w:space="0" w:color="auto"/>
              <w:bottom w:val="single" w:sz="2" w:space="0" w:color="auto"/>
              <w:right w:val="single" w:sz="2" w:space="0" w:color="auto"/>
            </w:tcBorders>
            <w:vAlign w:val="center"/>
          </w:tcPr>
          <w:p w14:paraId="0A02E2A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-12,100,000.00</w:t>
            </w:r>
          </w:p>
        </w:tc>
      </w:tr>
    </w:tbl>
    <w:p w14:paraId="19587DBF"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其他说明，包括对现金流量套期损益的有效部分转为被套期项目初始确认金额调整：</w:t>
      </w:r>
    </w:p>
    <w:p w14:paraId="18AB0A74" w14:textId="77777777" w:rsidR="009F64DD" w:rsidRPr="005A284F" w:rsidRDefault="009F64DD" w:rsidP="009F64DD">
      <w:pPr>
        <w:pStyle w:val="a3"/>
        <w:rPr>
          <w:rFonts w:ascii="Times New Roman" w:hAnsi="Times New Roman" w:cs="Times New Roman"/>
          <w:sz w:val="18"/>
          <w:szCs w:val="18"/>
        </w:rPr>
      </w:pPr>
      <w:bookmarkStart w:id="315" w:name="_Toc989247"/>
      <w:r w:rsidRPr="005A284F">
        <w:rPr>
          <w:rFonts w:ascii="Times New Roman" w:hAnsi="Times New Roman" w:cs="Times New Roman"/>
          <w:sz w:val="18"/>
          <w:szCs w:val="18"/>
        </w:rPr>
        <w:t>无</w:t>
      </w:r>
    </w:p>
    <w:p w14:paraId="1A8FCE68" w14:textId="77777777" w:rsidR="006C011D" w:rsidRPr="005A284F" w:rsidRDefault="00000000">
      <w:pPr>
        <w:pStyle w:val="3"/>
        <w:spacing w:line="280" w:lineRule="exact"/>
        <w:jc w:val="left"/>
        <w:rPr>
          <w:rFonts w:ascii="Times New Roman" w:hAnsi="Times New Roman" w:cs="Times New Roman"/>
          <w:b/>
          <w:bCs/>
        </w:rPr>
      </w:pPr>
      <w:r w:rsidRPr="005A284F">
        <w:rPr>
          <w:rFonts w:ascii="Times New Roman" w:hAnsi="Times New Roman" w:cs="Times New Roman"/>
          <w:b/>
          <w:bCs/>
        </w:rPr>
        <w:t>58</w:t>
      </w:r>
      <w:r w:rsidRPr="005A284F">
        <w:rPr>
          <w:rFonts w:ascii="Times New Roman" w:hAnsi="Times New Roman" w:cs="Times New Roman"/>
          <w:b/>
          <w:bCs/>
        </w:rPr>
        <w:t>、专项储备</w:t>
      </w:r>
      <w:bookmarkEnd w:id="315"/>
    </w:p>
    <w:p w14:paraId="501D6BDD" w14:textId="77777777" w:rsidR="000309B5" w:rsidRPr="005A284F" w:rsidRDefault="00000000">
      <w:pPr>
        <w:pStyle w:val="a3"/>
        <w:divId w:val="2009017795"/>
        <w:rPr>
          <w:rFonts w:ascii="Times New Roman" w:hAnsi="Times New Roman" w:cs="Times New Roman"/>
          <w:sz w:val="18"/>
          <w:szCs w:val="18"/>
        </w:rPr>
      </w:pPr>
      <w:r w:rsidRPr="005A284F">
        <w:rPr>
          <w:rFonts w:ascii="Times New Roman" w:hAnsi="Times New Roman" w:cs="Times New Roman"/>
          <w:sz w:val="18"/>
          <w:szCs w:val="18"/>
        </w:rPr>
        <w:t>无</w:t>
      </w:r>
    </w:p>
    <w:p w14:paraId="13BFD2DB" w14:textId="77777777" w:rsidR="006C011D" w:rsidRPr="005A284F" w:rsidRDefault="00000000">
      <w:pPr>
        <w:pStyle w:val="3"/>
        <w:spacing w:line="280" w:lineRule="exact"/>
        <w:jc w:val="left"/>
        <w:rPr>
          <w:rFonts w:ascii="Times New Roman" w:hAnsi="Times New Roman" w:cs="Times New Roman"/>
          <w:b/>
          <w:bCs/>
        </w:rPr>
      </w:pPr>
      <w:bookmarkStart w:id="316" w:name="_Toc989248"/>
      <w:r w:rsidRPr="005A284F">
        <w:rPr>
          <w:rFonts w:ascii="Times New Roman" w:hAnsi="Times New Roman" w:cs="Times New Roman"/>
          <w:b/>
          <w:bCs/>
        </w:rPr>
        <w:t>59</w:t>
      </w:r>
      <w:r w:rsidRPr="005A284F">
        <w:rPr>
          <w:rFonts w:ascii="Times New Roman" w:hAnsi="Times New Roman" w:cs="Times New Roman"/>
          <w:b/>
          <w:bCs/>
        </w:rPr>
        <w:t>、盈余公积</w:t>
      </w:r>
      <w:bookmarkEnd w:id="316"/>
    </w:p>
    <w:p w14:paraId="4108DFAB"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C011D" w:rsidRPr="005A284F" w14:paraId="2592326A"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C79813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C5F93A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9B0DBC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0ECB7F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45A419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r>
      <w:tr w:rsidR="006C011D" w:rsidRPr="005A284F" w14:paraId="3F77B9F4"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4A4E512"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法定盈余公积</w:t>
            </w:r>
          </w:p>
        </w:tc>
        <w:tc>
          <w:tcPr>
            <w:tcW w:w="1928" w:type="dxa"/>
            <w:tcBorders>
              <w:top w:val="single" w:sz="2" w:space="0" w:color="auto"/>
              <w:left w:val="single" w:sz="2" w:space="0" w:color="auto"/>
              <w:bottom w:val="single" w:sz="2" w:space="0" w:color="auto"/>
              <w:right w:val="single" w:sz="2" w:space="0" w:color="auto"/>
            </w:tcBorders>
            <w:vAlign w:val="center"/>
          </w:tcPr>
          <w:p w14:paraId="74F4D83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131,858,964.58</w:t>
            </w:r>
          </w:p>
        </w:tc>
        <w:tc>
          <w:tcPr>
            <w:tcW w:w="1928" w:type="dxa"/>
            <w:tcBorders>
              <w:top w:val="single" w:sz="2" w:space="0" w:color="auto"/>
              <w:left w:val="single" w:sz="2" w:space="0" w:color="auto"/>
              <w:bottom w:val="single" w:sz="2" w:space="0" w:color="auto"/>
              <w:right w:val="single" w:sz="2" w:space="0" w:color="auto"/>
            </w:tcBorders>
            <w:vAlign w:val="center"/>
          </w:tcPr>
          <w:p w14:paraId="701715A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0A7CFD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0DD28E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131,858,964.58</w:t>
            </w:r>
          </w:p>
        </w:tc>
      </w:tr>
      <w:tr w:rsidR="006C011D" w:rsidRPr="005A284F" w14:paraId="3FE9A96B"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F25A5C6"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任意盈余公积</w:t>
            </w:r>
          </w:p>
        </w:tc>
        <w:tc>
          <w:tcPr>
            <w:tcW w:w="1928" w:type="dxa"/>
            <w:tcBorders>
              <w:top w:val="single" w:sz="2" w:space="0" w:color="auto"/>
              <w:left w:val="single" w:sz="2" w:space="0" w:color="auto"/>
              <w:bottom w:val="single" w:sz="2" w:space="0" w:color="auto"/>
              <w:right w:val="single" w:sz="2" w:space="0" w:color="auto"/>
            </w:tcBorders>
            <w:vAlign w:val="center"/>
          </w:tcPr>
          <w:p w14:paraId="125583F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131,858,964.58</w:t>
            </w:r>
          </w:p>
        </w:tc>
        <w:tc>
          <w:tcPr>
            <w:tcW w:w="1928" w:type="dxa"/>
            <w:tcBorders>
              <w:top w:val="single" w:sz="2" w:space="0" w:color="auto"/>
              <w:left w:val="single" w:sz="2" w:space="0" w:color="auto"/>
              <w:bottom w:val="single" w:sz="2" w:space="0" w:color="auto"/>
              <w:right w:val="single" w:sz="2" w:space="0" w:color="auto"/>
            </w:tcBorders>
            <w:vAlign w:val="center"/>
          </w:tcPr>
          <w:p w14:paraId="75B41E8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A04EB2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9BF032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131,858,964.58</w:t>
            </w:r>
          </w:p>
        </w:tc>
      </w:tr>
      <w:tr w:rsidR="006C011D" w:rsidRPr="005A284F" w14:paraId="37557349"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2154012"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0447AFF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263,717,929.16</w:t>
            </w:r>
          </w:p>
        </w:tc>
        <w:tc>
          <w:tcPr>
            <w:tcW w:w="1928" w:type="dxa"/>
            <w:tcBorders>
              <w:top w:val="single" w:sz="2" w:space="0" w:color="auto"/>
              <w:left w:val="single" w:sz="2" w:space="0" w:color="auto"/>
              <w:bottom w:val="single" w:sz="2" w:space="0" w:color="auto"/>
              <w:right w:val="single" w:sz="2" w:space="0" w:color="auto"/>
            </w:tcBorders>
            <w:vAlign w:val="center"/>
          </w:tcPr>
          <w:p w14:paraId="4D3707E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337F47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4AA60E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263,717,929.16</w:t>
            </w:r>
          </w:p>
        </w:tc>
      </w:tr>
    </w:tbl>
    <w:p w14:paraId="643495C7"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盈余公积说明，包括本期增减变动情况、变动原因说明：</w:t>
      </w:r>
    </w:p>
    <w:p w14:paraId="5062E076" w14:textId="77777777" w:rsidR="000309B5" w:rsidRPr="005A284F" w:rsidRDefault="00000000">
      <w:pPr>
        <w:pStyle w:val="a3"/>
        <w:spacing w:before="0" w:beforeAutospacing="0" w:after="0" w:afterAutospacing="0" w:line="273" w:lineRule="auto"/>
        <w:ind w:right="110" w:firstLine="364"/>
        <w:textAlignment w:val="baseline"/>
        <w:divId w:val="2098282703"/>
        <w:rPr>
          <w:rFonts w:ascii="Times New Roman" w:hAnsi="Times New Roman" w:cs="Times New Roman"/>
        </w:rPr>
      </w:pPr>
      <w:r w:rsidRPr="005A284F">
        <w:rPr>
          <w:rFonts w:ascii="Times New Roman" w:hAnsi="Times New Roman" w:cs="Times New Roman"/>
          <w:color w:val="000000"/>
          <w:spacing w:val="1"/>
          <w:sz w:val="18"/>
          <w:szCs w:val="18"/>
        </w:rPr>
        <w:t>根据《公司法》、公司章程的规定，本公司按净利润的</w:t>
      </w:r>
      <w:r w:rsidRPr="005A284F">
        <w:rPr>
          <w:rFonts w:ascii="Times New Roman" w:hAnsi="Times New Roman" w:cs="Times New Roman"/>
          <w:color w:val="000000"/>
          <w:spacing w:val="1"/>
          <w:sz w:val="18"/>
          <w:szCs w:val="18"/>
        </w:rPr>
        <w:t>10%</w:t>
      </w:r>
      <w:r w:rsidRPr="005A284F">
        <w:rPr>
          <w:rFonts w:ascii="Times New Roman" w:hAnsi="Times New Roman" w:cs="Times New Roman"/>
          <w:color w:val="000000"/>
          <w:spacing w:val="1"/>
          <w:sz w:val="18"/>
          <w:szCs w:val="18"/>
        </w:rPr>
        <w:t>提取</w:t>
      </w:r>
      <w:r w:rsidRPr="005A284F">
        <w:rPr>
          <w:rFonts w:ascii="Times New Roman" w:hAnsi="Times New Roman" w:cs="Times New Roman"/>
          <w:color w:val="000000"/>
          <w:sz w:val="18"/>
          <w:szCs w:val="18"/>
        </w:rPr>
        <w:t>法定盈余公积。法定盈余公积累计额达到本公司注册</w:t>
      </w:r>
      <w:r w:rsidRPr="005A284F">
        <w:rPr>
          <w:rFonts w:ascii="Times New Roman" w:hAnsi="Times New Roman" w:cs="Times New Roman"/>
          <w:color w:val="000000"/>
          <w:spacing w:val="-4"/>
          <w:sz w:val="18"/>
          <w:szCs w:val="18"/>
        </w:rPr>
        <w:t>资本</w:t>
      </w:r>
      <w:r w:rsidRPr="005A284F">
        <w:rPr>
          <w:rFonts w:ascii="Times New Roman" w:hAnsi="Times New Roman" w:cs="Times New Roman"/>
          <w:color w:val="000000"/>
          <w:spacing w:val="-4"/>
          <w:sz w:val="18"/>
          <w:szCs w:val="18"/>
        </w:rPr>
        <w:t>50%</w:t>
      </w:r>
      <w:r w:rsidRPr="005A284F">
        <w:rPr>
          <w:rFonts w:ascii="Times New Roman" w:hAnsi="Times New Roman" w:cs="Times New Roman"/>
          <w:color w:val="000000"/>
          <w:spacing w:val="-4"/>
          <w:sz w:val="18"/>
          <w:szCs w:val="18"/>
        </w:rPr>
        <w:t>以上的，不再提取。</w:t>
      </w:r>
    </w:p>
    <w:p w14:paraId="7C4A01A7" w14:textId="77777777" w:rsidR="000309B5" w:rsidRPr="005A284F" w:rsidRDefault="00000000">
      <w:pPr>
        <w:pStyle w:val="a3"/>
        <w:spacing w:before="0" w:beforeAutospacing="0" w:after="0" w:afterAutospacing="0" w:line="273" w:lineRule="auto"/>
        <w:ind w:right="110" w:firstLine="368"/>
        <w:textAlignment w:val="baseline"/>
        <w:divId w:val="2098282703"/>
        <w:rPr>
          <w:rFonts w:ascii="Times New Roman" w:hAnsi="Times New Roman" w:cs="Times New Roman"/>
        </w:rPr>
      </w:pPr>
      <w:r w:rsidRPr="005A284F">
        <w:rPr>
          <w:rFonts w:ascii="Times New Roman" w:hAnsi="Times New Roman" w:cs="Times New Roman"/>
          <w:color w:val="000000"/>
          <w:spacing w:val="2"/>
          <w:sz w:val="18"/>
          <w:szCs w:val="18"/>
        </w:rPr>
        <w:t>本公司在提取法定盈余公积金后，可提取任意盈余公积金。经批准，任意盈余公积金可用于弥</w:t>
      </w:r>
      <w:r w:rsidRPr="005A284F">
        <w:rPr>
          <w:rFonts w:ascii="Times New Roman" w:hAnsi="Times New Roman" w:cs="Times New Roman"/>
          <w:color w:val="000000"/>
          <w:spacing w:val="1"/>
          <w:sz w:val="18"/>
          <w:szCs w:val="18"/>
        </w:rPr>
        <w:t>补以前年度亏损或增加</w:t>
      </w:r>
      <w:r w:rsidRPr="005A284F">
        <w:rPr>
          <w:rFonts w:ascii="Times New Roman" w:hAnsi="Times New Roman" w:cs="Times New Roman"/>
          <w:color w:val="000000"/>
          <w:spacing w:val="-8"/>
          <w:sz w:val="18"/>
          <w:szCs w:val="18"/>
        </w:rPr>
        <w:t>股本。</w:t>
      </w:r>
    </w:p>
    <w:p w14:paraId="3E2E6E5C" w14:textId="77777777" w:rsidR="006C011D" w:rsidRPr="005A284F" w:rsidRDefault="00000000">
      <w:pPr>
        <w:pStyle w:val="3"/>
        <w:spacing w:line="280" w:lineRule="exact"/>
        <w:jc w:val="left"/>
        <w:rPr>
          <w:rFonts w:ascii="Times New Roman" w:hAnsi="Times New Roman" w:cs="Times New Roman"/>
          <w:b/>
          <w:bCs/>
        </w:rPr>
      </w:pPr>
      <w:bookmarkStart w:id="317" w:name="_Toc989249"/>
      <w:r w:rsidRPr="005A284F">
        <w:rPr>
          <w:rFonts w:ascii="Times New Roman" w:hAnsi="Times New Roman" w:cs="Times New Roman"/>
          <w:b/>
          <w:bCs/>
        </w:rPr>
        <w:t>60</w:t>
      </w:r>
      <w:r w:rsidRPr="005A284F">
        <w:rPr>
          <w:rFonts w:ascii="Times New Roman" w:hAnsi="Times New Roman" w:cs="Times New Roman"/>
          <w:b/>
          <w:bCs/>
        </w:rPr>
        <w:t>、未分配利润</w:t>
      </w:r>
      <w:bookmarkEnd w:id="317"/>
    </w:p>
    <w:p w14:paraId="164CA1A8"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1EC59CBA"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E2628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EAAD3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04A89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上期</w:t>
            </w:r>
          </w:p>
        </w:tc>
      </w:tr>
      <w:tr w:rsidR="006C011D" w:rsidRPr="005A284F" w14:paraId="237738EB"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1A518E"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调整前上期末未分配利润</w:t>
            </w:r>
          </w:p>
        </w:tc>
        <w:tc>
          <w:tcPr>
            <w:tcW w:w="3213" w:type="dxa"/>
            <w:tcBorders>
              <w:top w:val="single" w:sz="2" w:space="0" w:color="auto"/>
              <w:left w:val="single" w:sz="2" w:space="0" w:color="auto"/>
              <w:bottom w:val="single" w:sz="2" w:space="0" w:color="auto"/>
              <w:right w:val="single" w:sz="2" w:space="0" w:color="auto"/>
            </w:tcBorders>
            <w:vAlign w:val="center"/>
          </w:tcPr>
          <w:p w14:paraId="72B7811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-493,681,729.40</w:t>
            </w:r>
          </w:p>
        </w:tc>
        <w:tc>
          <w:tcPr>
            <w:tcW w:w="3213" w:type="dxa"/>
            <w:tcBorders>
              <w:top w:val="single" w:sz="2" w:space="0" w:color="auto"/>
              <w:left w:val="single" w:sz="2" w:space="0" w:color="auto"/>
              <w:bottom w:val="single" w:sz="2" w:space="0" w:color="auto"/>
              <w:right w:val="single" w:sz="2" w:space="0" w:color="auto"/>
            </w:tcBorders>
            <w:vAlign w:val="center"/>
          </w:tcPr>
          <w:p w14:paraId="04E0144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-515,299,374.16</w:t>
            </w:r>
          </w:p>
        </w:tc>
      </w:tr>
      <w:tr w:rsidR="006C011D" w:rsidRPr="005A284F" w14:paraId="49ABE565"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CF67A3"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调整后期初未分配利润</w:t>
            </w:r>
          </w:p>
        </w:tc>
        <w:tc>
          <w:tcPr>
            <w:tcW w:w="3213" w:type="dxa"/>
            <w:tcBorders>
              <w:top w:val="single" w:sz="2" w:space="0" w:color="auto"/>
              <w:left w:val="single" w:sz="2" w:space="0" w:color="auto"/>
              <w:bottom w:val="single" w:sz="2" w:space="0" w:color="auto"/>
              <w:right w:val="single" w:sz="2" w:space="0" w:color="auto"/>
            </w:tcBorders>
            <w:vAlign w:val="center"/>
          </w:tcPr>
          <w:p w14:paraId="42C7B10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-493,681,729.40</w:t>
            </w:r>
          </w:p>
        </w:tc>
        <w:tc>
          <w:tcPr>
            <w:tcW w:w="3213" w:type="dxa"/>
            <w:tcBorders>
              <w:top w:val="single" w:sz="2" w:space="0" w:color="auto"/>
              <w:left w:val="single" w:sz="2" w:space="0" w:color="auto"/>
              <w:bottom w:val="single" w:sz="2" w:space="0" w:color="auto"/>
              <w:right w:val="single" w:sz="2" w:space="0" w:color="auto"/>
            </w:tcBorders>
            <w:vAlign w:val="center"/>
          </w:tcPr>
          <w:p w14:paraId="01DE569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-515,299,374.16</w:t>
            </w:r>
          </w:p>
        </w:tc>
      </w:tr>
      <w:tr w:rsidR="006C011D" w:rsidRPr="005A284F" w14:paraId="1E9345E3"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8C4309"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加：本期归属于母公司所有者的净利润</w:t>
            </w:r>
          </w:p>
        </w:tc>
        <w:tc>
          <w:tcPr>
            <w:tcW w:w="3213" w:type="dxa"/>
            <w:tcBorders>
              <w:top w:val="single" w:sz="2" w:space="0" w:color="auto"/>
              <w:left w:val="single" w:sz="2" w:space="0" w:color="auto"/>
              <w:bottom w:val="single" w:sz="2" w:space="0" w:color="auto"/>
              <w:right w:val="single" w:sz="2" w:space="0" w:color="auto"/>
            </w:tcBorders>
            <w:vAlign w:val="center"/>
          </w:tcPr>
          <w:p w14:paraId="39F49DF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35,168,667.03</w:t>
            </w:r>
          </w:p>
        </w:tc>
        <w:tc>
          <w:tcPr>
            <w:tcW w:w="3213" w:type="dxa"/>
            <w:tcBorders>
              <w:top w:val="single" w:sz="2" w:space="0" w:color="auto"/>
              <w:left w:val="single" w:sz="2" w:space="0" w:color="auto"/>
              <w:bottom w:val="single" w:sz="2" w:space="0" w:color="auto"/>
              <w:right w:val="single" w:sz="2" w:space="0" w:color="auto"/>
            </w:tcBorders>
            <w:vAlign w:val="center"/>
          </w:tcPr>
          <w:p w14:paraId="785CE39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58,152,622.01</w:t>
            </w:r>
          </w:p>
        </w:tc>
      </w:tr>
      <w:tr w:rsidR="006C011D" w:rsidRPr="005A284F" w14:paraId="048ACE52"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ECD408"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期末未分配利润</w:t>
            </w:r>
          </w:p>
        </w:tc>
        <w:tc>
          <w:tcPr>
            <w:tcW w:w="3213" w:type="dxa"/>
            <w:tcBorders>
              <w:top w:val="single" w:sz="2" w:space="0" w:color="auto"/>
              <w:left w:val="single" w:sz="2" w:space="0" w:color="auto"/>
              <w:bottom w:val="single" w:sz="2" w:space="0" w:color="auto"/>
              <w:right w:val="single" w:sz="2" w:space="0" w:color="auto"/>
            </w:tcBorders>
            <w:vAlign w:val="center"/>
          </w:tcPr>
          <w:p w14:paraId="228F041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-458,513,062.37</w:t>
            </w:r>
          </w:p>
        </w:tc>
        <w:tc>
          <w:tcPr>
            <w:tcW w:w="3213" w:type="dxa"/>
            <w:tcBorders>
              <w:top w:val="single" w:sz="2" w:space="0" w:color="auto"/>
              <w:left w:val="single" w:sz="2" w:space="0" w:color="auto"/>
              <w:bottom w:val="single" w:sz="2" w:space="0" w:color="auto"/>
              <w:right w:val="single" w:sz="2" w:space="0" w:color="auto"/>
            </w:tcBorders>
            <w:vAlign w:val="center"/>
          </w:tcPr>
          <w:p w14:paraId="639C76E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-457,146,752.15</w:t>
            </w:r>
          </w:p>
        </w:tc>
      </w:tr>
    </w:tbl>
    <w:p w14:paraId="5C19D510"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调整期初未分配利润明细：</w:t>
      </w:r>
    </w:p>
    <w:p w14:paraId="660FA645" w14:textId="7136EBAA"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、由于《企业会计准则》及其相关新规定进行追溯调整，影响期初未分配利润</w:t>
      </w:r>
      <w:r w:rsidR="00FC43A2">
        <w:rPr>
          <w:rFonts w:ascii="Times New Roman" w:eastAsia="宋体" w:hAnsi="Times New Roman" w:cs="Times New Roman" w:hint="eastAsia"/>
          <w:sz w:val="18"/>
          <w:szCs w:val="18"/>
        </w:rPr>
        <w:t>0.00</w:t>
      </w:r>
      <w:r w:rsidRPr="005A284F">
        <w:rPr>
          <w:rFonts w:ascii="Times New Roman" w:eastAsia="宋体" w:hAnsi="Times New Roman" w:cs="Times New Roman"/>
          <w:sz w:val="18"/>
          <w:szCs w:val="18"/>
        </w:rPr>
        <w:t>元。</w:t>
      </w:r>
    </w:p>
    <w:p w14:paraId="016A8EA5" w14:textId="1A98CEF5"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、由于会计政策变更，影响期初未分配利润</w:t>
      </w:r>
      <w:r w:rsidR="00FC43A2">
        <w:rPr>
          <w:rFonts w:ascii="Times New Roman" w:eastAsia="宋体" w:hAnsi="Times New Roman" w:cs="Times New Roman" w:hint="eastAsia"/>
          <w:sz w:val="18"/>
          <w:szCs w:val="18"/>
        </w:rPr>
        <w:t>0.00</w:t>
      </w:r>
      <w:r w:rsidRPr="005A284F">
        <w:rPr>
          <w:rFonts w:ascii="Times New Roman" w:eastAsia="宋体" w:hAnsi="Times New Roman" w:cs="Times New Roman"/>
          <w:sz w:val="18"/>
          <w:szCs w:val="18"/>
        </w:rPr>
        <w:t>元。</w:t>
      </w:r>
    </w:p>
    <w:p w14:paraId="6FEF00CB" w14:textId="1D4F77F1"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、由于重大会计差错更正，影响期初未分配利润</w:t>
      </w:r>
      <w:r w:rsidR="00FC43A2">
        <w:rPr>
          <w:rFonts w:ascii="Times New Roman" w:eastAsia="宋体" w:hAnsi="Times New Roman" w:cs="Times New Roman" w:hint="eastAsia"/>
          <w:sz w:val="18"/>
          <w:szCs w:val="18"/>
        </w:rPr>
        <w:t>0.00</w:t>
      </w:r>
      <w:r w:rsidRPr="005A284F">
        <w:rPr>
          <w:rFonts w:ascii="Times New Roman" w:eastAsia="宋体" w:hAnsi="Times New Roman" w:cs="Times New Roman"/>
          <w:sz w:val="18"/>
          <w:szCs w:val="18"/>
        </w:rPr>
        <w:t>元。</w:t>
      </w:r>
    </w:p>
    <w:p w14:paraId="3EFE5612" w14:textId="0F40B700"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、由于同一控制导致的合并范围变更，影响期初未分配利润</w:t>
      </w:r>
      <w:r w:rsidR="00FC43A2">
        <w:rPr>
          <w:rFonts w:ascii="Times New Roman" w:eastAsia="宋体" w:hAnsi="Times New Roman" w:cs="Times New Roman" w:hint="eastAsia"/>
          <w:sz w:val="18"/>
          <w:szCs w:val="18"/>
        </w:rPr>
        <w:t>0.00</w:t>
      </w:r>
      <w:r w:rsidRPr="005A284F">
        <w:rPr>
          <w:rFonts w:ascii="Times New Roman" w:eastAsia="宋体" w:hAnsi="Times New Roman" w:cs="Times New Roman"/>
          <w:sz w:val="18"/>
          <w:szCs w:val="18"/>
        </w:rPr>
        <w:t>元。</w:t>
      </w:r>
    </w:p>
    <w:p w14:paraId="3E38CC54" w14:textId="37B5EB26"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5)</w:t>
      </w:r>
      <w:r w:rsidRPr="005A284F">
        <w:rPr>
          <w:rFonts w:ascii="Times New Roman" w:eastAsia="宋体" w:hAnsi="Times New Roman" w:cs="Times New Roman"/>
          <w:sz w:val="18"/>
          <w:szCs w:val="18"/>
        </w:rPr>
        <w:t>、其他调整合计影响期初未分配利润</w:t>
      </w:r>
      <w:r w:rsidR="00FC43A2">
        <w:rPr>
          <w:rFonts w:ascii="Times New Roman" w:eastAsia="宋体" w:hAnsi="Times New Roman" w:cs="Times New Roman" w:hint="eastAsia"/>
          <w:sz w:val="18"/>
          <w:szCs w:val="18"/>
        </w:rPr>
        <w:t>0.00</w:t>
      </w:r>
      <w:r w:rsidRPr="005A284F">
        <w:rPr>
          <w:rFonts w:ascii="Times New Roman" w:eastAsia="宋体" w:hAnsi="Times New Roman" w:cs="Times New Roman"/>
          <w:sz w:val="18"/>
          <w:szCs w:val="18"/>
        </w:rPr>
        <w:t>元。</w:t>
      </w:r>
    </w:p>
    <w:p w14:paraId="2403798D" w14:textId="77777777" w:rsidR="006C011D" w:rsidRPr="005A284F" w:rsidRDefault="00000000">
      <w:pPr>
        <w:pStyle w:val="3"/>
        <w:spacing w:line="280" w:lineRule="exact"/>
        <w:jc w:val="left"/>
        <w:rPr>
          <w:rFonts w:ascii="Times New Roman" w:hAnsi="Times New Roman" w:cs="Times New Roman"/>
          <w:b/>
          <w:bCs/>
        </w:rPr>
      </w:pPr>
      <w:bookmarkStart w:id="318" w:name="_Toc989250"/>
      <w:r w:rsidRPr="005A284F">
        <w:rPr>
          <w:rFonts w:ascii="Times New Roman" w:hAnsi="Times New Roman" w:cs="Times New Roman"/>
          <w:b/>
          <w:bCs/>
        </w:rPr>
        <w:t>61</w:t>
      </w:r>
      <w:r w:rsidRPr="005A284F">
        <w:rPr>
          <w:rFonts w:ascii="Times New Roman" w:hAnsi="Times New Roman" w:cs="Times New Roman"/>
          <w:b/>
          <w:bCs/>
        </w:rPr>
        <w:t>、营业收入和营业成本</w:t>
      </w:r>
      <w:bookmarkEnd w:id="318"/>
    </w:p>
    <w:p w14:paraId="345AD131"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C011D" w:rsidRPr="005A284F" w14:paraId="544E1FBC" w14:textId="77777777" w:rsidTr="001C2948">
        <w:trPr>
          <w:trHeight w:val="240"/>
          <w:jc w:val="center"/>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B181CC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7146E7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5DF586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上期发生额</w:t>
            </w:r>
          </w:p>
        </w:tc>
      </w:tr>
      <w:tr w:rsidR="006C011D" w:rsidRPr="005A284F" w14:paraId="0AABC142" w14:textId="77777777" w:rsidTr="001C2948">
        <w:trPr>
          <w:trHeight w:val="240"/>
          <w:jc w:val="center"/>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424465D" w14:textId="77777777" w:rsidR="006C011D" w:rsidRPr="005A284F" w:rsidRDefault="006C011D">
            <w:pPr>
              <w:rPr>
                <w:rFonts w:ascii="Times New Roman" w:eastAsia="宋体" w:hAnsi="Times New Roman" w:cs="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EAC3A2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040826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成本</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5D769C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401F89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成本</w:t>
            </w:r>
          </w:p>
        </w:tc>
      </w:tr>
      <w:tr w:rsidR="006C011D" w:rsidRPr="005A284F" w14:paraId="7C21AF1F" w14:textId="77777777" w:rsidTr="001C2948">
        <w:trPr>
          <w:trHeight w:val="240"/>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A21BE31"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主营业务</w:t>
            </w:r>
          </w:p>
        </w:tc>
        <w:tc>
          <w:tcPr>
            <w:tcW w:w="1928" w:type="dxa"/>
            <w:tcBorders>
              <w:top w:val="single" w:sz="2" w:space="0" w:color="auto"/>
              <w:left w:val="single" w:sz="2" w:space="0" w:color="auto"/>
              <w:bottom w:val="single" w:sz="2" w:space="0" w:color="auto"/>
              <w:right w:val="single" w:sz="2" w:space="0" w:color="auto"/>
            </w:tcBorders>
            <w:vAlign w:val="center"/>
          </w:tcPr>
          <w:p w14:paraId="7B8A46F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4,963,866,738.62</w:t>
            </w:r>
          </w:p>
        </w:tc>
        <w:tc>
          <w:tcPr>
            <w:tcW w:w="1928" w:type="dxa"/>
            <w:tcBorders>
              <w:top w:val="single" w:sz="2" w:space="0" w:color="auto"/>
              <w:left w:val="single" w:sz="2" w:space="0" w:color="auto"/>
              <w:bottom w:val="single" w:sz="2" w:space="0" w:color="auto"/>
              <w:right w:val="single" w:sz="2" w:space="0" w:color="auto"/>
            </w:tcBorders>
            <w:vAlign w:val="center"/>
          </w:tcPr>
          <w:p w14:paraId="02D2A5B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4,699,238,294.08</w:t>
            </w:r>
          </w:p>
        </w:tc>
        <w:tc>
          <w:tcPr>
            <w:tcW w:w="1928" w:type="dxa"/>
            <w:tcBorders>
              <w:top w:val="single" w:sz="2" w:space="0" w:color="auto"/>
              <w:left w:val="single" w:sz="2" w:space="0" w:color="auto"/>
              <w:bottom w:val="single" w:sz="2" w:space="0" w:color="auto"/>
              <w:right w:val="single" w:sz="2" w:space="0" w:color="auto"/>
            </w:tcBorders>
            <w:vAlign w:val="center"/>
          </w:tcPr>
          <w:p w14:paraId="662D1C4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5,020,163,105.35</w:t>
            </w:r>
          </w:p>
        </w:tc>
        <w:tc>
          <w:tcPr>
            <w:tcW w:w="1928" w:type="dxa"/>
            <w:tcBorders>
              <w:top w:val="single" w:sz="2" w:space="0" w:color="auto"/>
              <w:left w:val="single" w:sz="2" w:space="0" w:color="auto"/>
              <w:bottom w:val="single" w:sz="2" w:space="0" w:color="auto"/>
              <w:right w:val="single" w:sz="2" w:space="0" w:color="auto"/>
            </w:tcBorders>
            <w:vAlign w:val="center"/>
          </w:tcPr>
          <w:p w14:paraId="6BA38B3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4,775,003,539.01</w:t>
            </w:r>
          </w:p>
        </w:tc>
      </w:tr>
      <w:tr w:rsidR="006C011D" w:rsidRPr="005A284F" w14:paraId="7A100FB9" w14:textId="77777777" w:rsidTr="001C2948">
        <w:trPr>
          <w:trHeight w:val="240"/>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3484427"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其他业务</w:t>
            </w:r>
          </w:p>
        </w:tc>
        <w:tc>
          <w:tcPr>
            <w:tcW w:w="1928" w:type="dxa"/>
            <w:tcBorders>
              <w:top w:val="single" w:sz="2" w:space="0" w:color="auto"/>
              <w:left w:val="single" w:sz="2" w:space="0" w:color="auto"/>
              <w:bottom w:val="single" w:sz="2" w:space="0" w:color="auto"/>
              <w:right w:val="single" w:sz="2" w:space="0" w:color="auto"/>
            </w:tcBorders>
            <w:vAlign w:val="center"/>
          </w:tcPr>
          <w:p w14:paraId="766B6AC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10,742,767.71</w:t>
            </w:r>
          </w:p>
        </w:tc>
        <w:tc>
          <w:tcPr>
            <w:tcW w:w="1928" w:type="dxa"/>
            <w:tcBorders>
              <w:top w:val="single" w:sz="2" w:space="0" w:color="auto"/>
              <w:left w:val="single" w:sz="2" w:space="0" w:color="auto"/>
              <w:bottom w:val="single" w:sz="2" w:space="0" w:color="auto"/>
              <w:right w:val="single" w:sz="2" w:space="0" w:color="auto"/>
            </w:tcBorders>
            <w:vAlign w:val="center"/>
          </w:tcPr>
          <w:p w14:paraId="11ED242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2,783,422.03</w:t>
            </w:r>
          </w:p>
        </w:tc>
        <w:tc>
          <w:tcPr>
            <w:tcW w:w="1928" w:type="dxa"/>
            <w:tcBorders>
              <w:top w:val="single" w:sz="2" w:space="0" w:color="auto"/>
              <w:left w:val="single" w:sz="2" w:space="0" w:color="auto"/>
              <w:bottom w:val="single" w:sz="2" w:space="0" w:color="auto"/>
              <w:right w:val="single" w:sz="2" w:space="0" w:color="auto"/>
            </w:tcBorders>
            <w:vAlign w:val="center"/>
          </w:tcPr>
          <w:p w14:paraId="518F979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23,968,915.95</w:t>
            </w:r>
          </w:p>
        </w:tc>
        <w:tc>
          <w:tcPr>
            <w:tcW w:w="1928" w:type="dxa"/>
            <w:tcBorders>
              <w:top w:val="single" w:sz="2" w:space="0" w:color="auto"/>
              <w:left w:val="single" w:sz="2" w:space="0" w:color="auto"/>
              <w:bottom w:val="single" w:sz="2" w:space="0" w:color="auto"/>
              <w:right w:val="single" w:sz="2" w:space="0" w:color="auto"/>
            </w:tcBorders>
            <w:vAlign w:val="center"/>
          </w:tcPr>
          <w:p w14:paraId="0CB7965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17,936,268.14</w:t>
            </w:r>
          </w:p>
        </w:tc>
      </w:tr>
      <w:tr w:rsidR="006C011D" w:rsidRPr="005A284F" w14:paraId="5D4413A5" w14:textId="77777777" w:rsidTr="001C2948">
        <w:trPr>
          <w:trHeight w:val="240"/>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5383746"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68AD571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4,974,609,506.33</w:t>
            </w:r>
          </w:p>
        </w:tc>
        <w:tc>
          <w:tcPr>
            <w:tcW w:w="1928" w:type="dxa"/>
            <w:tcBorders>
              <w:top w:val="single" w:sz="2" w:space="0" w:color="auto"/>
              <w:left w:val="single" w:sz="2" w:space="0" w:color="auto"/>
              <w:bottom w:val="single" w:sz="2" w:space="0" w:color="auto"/>
              <w:right w:val="single" w:sz="2" w:space="0" w:color="auto"/>
            </w:tcBorders>
            <w:vAlign w:val="center"/>
          </w:tcPr>
          <w:p w14:paraId="5CF1EA7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4,702,021,716.11</w:t>
            </w:r>
          </w:p>
        </w:tc>
        <w:tc>
          <w:tcPr>
            <w:tcW w:w="1928" w:type="dxa"/>
            <w:tcBorders>
              <w:top w:val="single" w:sz="2" w:space="0" w:color="auto"/>
              <w:left w:val="single" w:sz="2" w:space="0" w:color="auto"/>
              <w:bottom w:val="single" w:sz="2" w:space="0" w:color="auto"/>
              <w:right w:val="single" w:sz="2" w:space="0" w:color="auto"/>
            </w:tcBorders>
            <w:vAlign w:val="center"/>
          </w:tcPr>
          <w:p w14:paraId="47BC8F0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5,044,132,021.30</w:t>
            </w:r>
          </w:p>
        </w:tc>
        <w:tc>
          <w:tcPr>
            <w:tcW w:w="1928" w:type="dxa"/>
            <w:tcBorders>
              <w:top w:val="single" w:sz="2" w:space="0" w:color="auto"/>
              <w:left w:val="single" w:sz="2" w:space="0" w:color="auto"/>
              <w:bottom w:val="single" w:sz="2" w:space="0" w:color="auto"/>
              <w:right w:val="single" w:sz="2" w:space="0" w:color="auto"/>
            </w:tcBorders>
            <w:vAlign w:val="center"/>
          </w:tcPr>
          <w:p w14:paraId="27C8CBE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4,792,939,807.15</w:t>
            </w:r>
          </w:p>
        </w:tc>
      </w:tr>
    </w:tbl>
    <w:p w14:paraId="2F112B26" w14:textId="77777777" w:rsidR="001C2948" w:rsidRDefault="001C2948">
      <w:pPr>
        <w:spacing w:before="100" w:after="100" w:line="240" w:lineRule="exact"/>
        <w:rPr>
          <w:rFonts w:ascii="Times New Roman" w:eastAsia="宋体" w:hAnsi="Times New Roman" w:cs="Times New Roman"/>
          <w:sz w:val="18"/>
          <w:szCs w:val="18"/>
        </w:rPr>
      </w:pPr>
    </w:p>
    <w:p w14:paraId="17B284E6" w14:textId="7F9C6D11"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营业收入、营业成本的分解信息：</w:t>
      </w:r>
    </w:p>
    <w:p w14:paraId="031C5534" w14:textId="77777777" w:rsidR="001C2948" w:rsidRDefault="001C2948">
      <w:pPr>
        <w:spacing w:before="120" w:after="120" w:line="240" w:lineRule="exact"/>
        <w:jc w:val="right"/>
        <w:rPr>
          <w:rFonts w:ascii="Times New Roman" w:eastAsia="宋体" w:hAnsi="Times New Roman" w:cs="Times New Roman"/>
          <w:sz w:val="18"/>
          <w:szCs w:val="18"/>
        </w:rPr>
      </w:pPr>
    </w:p>
    <w:p w14:paraId="36A12ADF" w14:textId="70FD6343" w:rsidR="006C011D" w:rsidRPr="005A284F" w:rsidRDefault="00000000">
      <w:pPr>
        <w:spacing w:before="120" w:after="12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495"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0" w:type="dxa"/>
          <w:right w:w="57" w:type="dxa"/>
        </w:tblCellMar>
        <w:tblLook w:val="04A0" w:firstRow="1" w:lastRow="0" w:firstColumn="1" w:lastColumn="0" w:noHBand="0" w:noVBand="1"/>
      </w:tblPr>
      <w:tblGrid>
        <w:gridCol w:w="1641"/>
        <w:gridCol w:w="1475"/>
        <w:gridCol w:w="1417"/>
        <w:gridCol w:w="993"/>
        <w:gridCol w:w="850"/>
        <w:gridCol w:w="1559"/>
        <w:gridCol w:w="1560"/>
      </w:tblGrid>
      <w:tr w:rsidR="001C5303" w:rsidRPr="005A284F" w14:paraId="60BC286E" w14:textId="77777777" w:rsidTr="001C5303">
        <w:trPr>
          <w:trHeight w:val="240"/>
          <w:jc w:val="center"/>
        </w:trPr>
        <w:tc>
          <w:tcPr>
            <w:tcW w:w="16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FF67325" w14:textId="77777777" w:rsidR="001C5303" w:rsidRPr="005A284F" w:rsidRDefault="001C5303">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合同分类</w:t>
            </w:r>
          </w:p>
        </w:tc>
        <w:tc>
          <w:tcPr>
            <w:tcW w:w="289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CAC2CE2" w14:textId="77777777" w:rsidR="001C5303" w:rsidRPr="005A284F" w:rsidRDefault="001C5303">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分部</w:t>
            </w:r>
            <w:r w:rsidRPr="005A284F">
              <w:rPr>
                <w:rFonts w:ascii="Times New Roman" w:eastAsia="宋体" w:hAnsi="Times New Roman" w:cs="Times New Roman"/>
                <w:sz w:val="18"/>
                <w:szCs w:val="18"/>
              </w:rPr>
              <w:t>1</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44296CB" w14:textId="77777777" w:rsidR="001C5303" w:rsidRPr="005A284F" w:rsidRDefault="001C5303">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分部</w:t>
            </w:r>
            <w:r w:rsidRPr="005A284F">
              <w:rPr>
                <w:rFonts w:ascii="Times New Roman" w:eastAsia="宋体" w:hAnsi="Times New Roman" w:cs="Times New Roman"/>
                <w:sz w:val="18"/>
                <w:szCs w:val="18"/>
              </w:rPr>
              <w:t>2</w:t>
            </w:r>
          </w:p>
        </w:tc>
        <w:tc>
          <w:tcPr>
            <w:tcW w:w="311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1DCDAA2" w14:textId="77777777" w:rsidR="001C5303" w:rsidRPr="005A284F" w:rsidRDefault="001C5303">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r>
      <w:tr w:rsidR="001C5303" w:rsidRPr="005A284F" w14:paraId="0F5720F9" w14:textId="77777777" w:rsidTr="009E68B2">
        <w:trPr>
          <w:trHeight w:val="240"/>
          <w:jc w:val="center"/>
        </w:trPr>
        <w:tc>
          <w:tcPr>
            <w:tcW w:w="164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D67EAEA" w14:textId="77777777" w:rsidR="001C5303" w:rsidRPr="005A284F" w:rsidRDefault="001C5303">
            <w:pPr>
              <w:rPr>
                <w:rFonts w:ascii="Times New Roman" w:eastAsia="宋体" w:hAnsi="Times New Roman" w:cs="Times New Roman"/>
              </w:rPr>
            </w:pPr>
          </w:p>
        </w:tc>
        <w:tc>
          <w:tcPr>
            <w:tcW w:w="1475" w:type="dxa"/>
            <w:tcBorders>
              <w:top w:val="single" w:sz="2" w:space="0" w:color="auto"/>
              <w:left w:val="single" w:sz="2" w:space="0" w:color="auto"/>
              <w:bottom w:val="single" w:sz="2" w:space="0" w:color="auto"/>
              <w:right w:val="single" w:sz="2" w:space="0" w:color="auto"/>
            </w:tcBorders>
            <w:shd w:val="clear" w:color="auto" w:fill="D3D3D3"/>
            <w:vAlign w:val="center"/>
          </w:tcPr>
          <w:p w14:paraId="06ABDC84" w14:textId="77777777" w:rsidR="001C5303" w:rsidRPr="005A284F" w:rsidRDefault="001C5303">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营业收入</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0A376EB3" w14:textId="77777777" w:rsidR="001C5303" w:rsidRPr="005A284F" w:rsidRDefault="001C5303">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营业成本</w:t>
            </w: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0B9E8C17" w14:textId="77777777" w:rsidR="001C5303" w:rsidRPr="005A284F" w:rsidRDefault="001C5303">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营业收入</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5C7117A2" w14:textId="77777777" w:rsidR="001C5303" w:rsidRPr="005A284F" w:rsidRDefault="001C5303">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营业成本</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2C1ED7C4" w14:textId="77777777" w:rsidR="001C5303" w:rsidRPr="005A284F" w:rsidRDefault="001C5303">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营业收入</w:t>
            </w: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364850F9" w14:textId="77777777" w:rsidR="001C5303" w:rsidRPr="005A284F" w:rsidRDefault="001C5303">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营业成本</w:t>
            </w:r>
          </w:p>
        </w:tc>
      </w:tr>
      <w:tr w:rsidR="001C5303" w:rsidRPr="005A284F" w14:paraId="26612436" w14:textId="77777777" w:rsidTr="009E68B2">
        <w:trPr>
          <w:trHeight w:val="240"/>
          <w:jc w:val="center"/>
        </w:trPr>
        <w:tc>
          <w:tcPr>
            <w:tcW w:w="1641" w:type="dxa"/>
            <w:tcBorders>
              <w:top w:val="single" w:sz="2" w:space="0" w:color="auto"/>
              <w:left w:val="single" w:sz="2" w:space="0" w:color="auto"/>
              <w:bottom w:val="single" w:sz="2" w:space="0" w:color="auto"/>
              <w:right w:val="single" w:sz="2" w:space="0" w:color="auto"/>
            </w:tcBorders>
            <w:shd w:val="clear" w:color="auto" w:fill="D3D3D3"/>
            <w:vAlign w:val="center"/>
          </w:tcPr>
          <w:p w14:paraId="1C98B2FF" w14:textId="77777777" w:rsidR="001C5303" w:rsidRPr="005A284F" w:rsidRDefault="001C5303">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业务类型</w:t>
            </w:r>
          </w:p>
        </w:tc>
        <w:tc>
          <w:tcPr>
            <w:tcW w:w="1475" w:type="dxa"/>
            <w:tcBorders>
              <w:top w:val="single" w:sz="2" w:space="0" w:color="auto"/>
              <w:left w:val="single" w:sz="2" w:space="0" w:color="auto"/>
              <w:bottom w:val="single" w:sz="2" w:space="0" w:color="auto"/>
              <w:right w:val="single" w:sz="2" w:space="0" w:color="auto"/>
            </w:tcBorders>
            <w:vAlign w:val="center"/>
          </w:tcPr>
          <w:p w14:paraId="29179F81"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A4EDA8E"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0E232007"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749066FC"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7ADE066C"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32A95CFD" w14:textId="77777777" w:rsidR="001C5303" w:rsidRPr="005A284F" w:rsidRDefault="001C5303">
            <w:pPr>
              <w:spacing w:after="0" w:line="240" w:lineRule="exact"/>
              <w:jc w:val="right"/>
              <w:rPr>
                <w:rFonts w:ascii="Times New Roman" w:eastAsia="宋体" w:hAnsi="Times New Roman" w:cs="Times New Roman"/>
                <w:sz w:val="18"/>
                <w:szCs w:val="18"/>
              </w:rPr>
            </w:pPr>
          </w:p>
        </w:tc>
      </w:tr>
      <w:tr w:rsidR="001C5303" w:rsidRPr="005A284F" w14:paraId="31A2F9E1" w14:textId="77777777" w:rsidTr="009E68B2">
        <w:trPr>
          <w:trHeight w:val="240"/>
          <w:jc w:val="center"/>
        </w:trPr>
        <w:tc>
          <w:tcPr>
            <w:tcW w:w="1641" w:type="dxa"/>
            <w:tcBorders>
              <w:top w:val="single" w:sz="2" w:space="0" w:color="auto"/>
              <w:left w:val="single" w:sz="2" w:space="0" w:color="auto"/>
              <w:bottom w:val="single" w:sz="2" w:space="0" w:color="auto"/>
              <w:right w:val="single" w:sz="2" w:space="0" w:color="auto"/>
            </w:tcBorders>
            <w:shd w:val="clear" w:color="auto" w:fill="D3D3D3"/>
            <w:vAlign w:val="center"/>
          </w:tcPr>
          <w:p w14:paraId="77B6FE56" w14:textId="77777777" w:rsidR="001C5303" w:rsidRPr="005A284F" w:rsidRDefault="001C5303">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其中：</w:t>
            </w:r>
          </w:p>
        </w:tc>
        <w:tc>
          <w:tcPr>
            <w:tcW w:w="1475" w:type="dxa"/>
            <w:tcBorders>
              <w:top w:val="single" w:sz="2" w:space="0" w:color="auto"/>
              <w:left w:val="single" w:sz="2" w:space="0" w:color="auto"/>
              <w:bottom w:val="single" w:sz="2" w:space="0" w:color="auto"/>
              <w:right w:val="single" w:sz="2" w:space="0" w:color="auto"/>
            </w:tcBorders>
            <w:shd w:val="clear" w:color="auto" w:fill="D3D3D3"/>
            <w:vAlign w:val="center"/>
          </w:tcPr>
          <w:p w14:paraId="42481776" w14:textId="77777777" w:rsidR="001C5303" w:rsidRPr="005A284F" w:rsidRDefault="001C5303">
            <w:pPr>
              <w:rPr>
                <w:rFonts w:ascii="Times New Roman" w:eastAsia="宋体" w:hAnsi="Times New Roman" w:cs="Times New Roman"/>
              </w:rPr>
            </w:pP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62B8EB32" w14:textId="77777777" w:rsidR="001C5303" w:rsidRPr="005A284F" w:rsidRDefault="001C5303">
            <w:pPr>
              <w:rPr>
                <w:rFonts w:ascii="Times New Roman" w:eastAsia="宋体" w:hAnsi="Times New Roman" w:cs="Times New Roman"/>
              </w:rPr>
            </w:pP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6B23DB7E" w14:textId="77777777" w:rsidR="001C5303" w:rsidRPr="005A284F" w:rsidRDefault="001C5303">
            <w:pPr>
              <w:rPr>
                <w:rFonts w:ascii="Times New Roman" w:eastAsia="宋体" w:hAnsi="Times New Roman" w:cs="Times New Roman"/>
              </w:rPr>
            </w:pP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59A8540D" w14:textId="77777777" w:rsidR="001C5303" w:rsidRPr="005A284F" w:rsidRDefault="001C5303">
            <w:pPr>
              <w:rPr>
                <w:rFonts w:ascii="Times New Roman" w:eastAsia="宋体" w:hAnsi="Times New Roman" w:cs="Times New Roman"/>
              </w:rPr>
            </w:pP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79FE3C1A" w14:textId="77777777" w:rsidR="001C5303" w:rsidRPr="005A284F" w:rsidRDefault="001C5303">
            <w:pPr>
              <w:rPr>
                <w:rFonts w:ascii="Times New Roman" w:eastAsia="宋体" w:hAnsi="Times New Roman" w:cs="Times New Roman"/>
              </w:rPr>
            </w:pP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2954B4A5" w14:textId="77777777" w:rsidR="001C5303" w:rsidRPr="005A284F" w:rsidRDefault="001C5303">
            <w:pPr>
              <w:rPr>
                <w:rFonts w:ascii="Times New Roman" w:eastAsia="宋体" w:hAnsi="Times New Roman" w:cs="Times New Roman"/>
              </w:rPr>
            </w:pPr>
          </w:p>
        </w:tc>
      </w:tr>
      <w:tr w:rsidR="001C5303" w:rsidRPr="005A284F" w14:paraId="4A0B800A" w14:textId="77777777" w:rsidTr="009E68B2">
        <w:trPr>
          <w:trHeight w:val="240"/>
          <w:jc w:val="center"/>
        </w:trPr>
        <w:tc>
          <w:tcPr>
            <w:tcW w:w="1641" w:type="dxa"/>
            <w:tcBorders>
              <w:top w:val="single" w:sz="2" w:space="0" w:color="auto"/>
              <w:left w:val="single" w:sz="2" w:space="0" w:color="auto"/>
              <w:bottom w:val="single" w:sz="2" w:space="0" w:color="auto"/>
              <w:right w:val="single" w:sz="2" w:space="0" w:color="auto"/>
            </w:tcBorders>
            <w:vAlign w:val="center"/>
          </w:tcPr>
          <w:p w14:paraId="545901B5" w14:textId="77777777" w:rsidR="001C5303" w:rsidRPr="005A284F" w:rsidRDefault="001C5303">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鲜冻肉</w:t>
            </w:r>
          </w:p>
        </w:tc>
        <w:tc>
          <w:tcPr>
            <w:tcW w:w="1475" w:type="dxa"/>
            <w:tcBorders>
              <w:top w:val="single" w:sz="2" w:space="0" w:color="auto"/>
              <w:left w:val="single" w:sz="2" w:space="0" w:color="auto"/>
              <w:bottom w:val="single" w:sz="2" w:space="0" w:color="auto"/>
              <w:right w:val="single" w:sz="2" w:space="0" w:color="auto"/>
            </w:tcBorders>
            <w:vAlign w:val="center"/>
          </w:tcPr>
          <w:p w14:paraId="75A355D7"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4,072,909,456.96</w:t>
            </w:r>
          </w:p>
        </w:tc>
        <w:tc>
          <w:tcPr>
            <w:tcW w:w="1417" w:type="dxa"/>
            <w:tcBorders>
              <w:top w:val="single" w:sz="2" w:space="0" w:color="auto"/>
              <w:left w:val="single" w:sz="2" w:space="0" w:color="auto"/>
              <w:bottom w:val="single" w:sz="2" w:space="0" w:color="auto"/>
              <w:right w:val="single" w:sz="2" w:space="0" w:color="auto"/>
            </w:tcBorders>
            <w:vAlign w:val="center"/>
          </w:tcPr>
          <w:p w14:paraId="16211830"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3,930,096,572.88</w:t>
            </w:r>
          </w:p>
        </w:tc>
        <w:tc>
          <w:tcPr>
            <w:tcW w:w="993" w:type="dxa"/>
            <w:tcBorders>
              <w:top w:val="single" w:sz="2" w:space="0" w:color="auto"/>
              <w:left w:val="single" w:sz="2" w:space="0" w:color="auto"/>
              <w:bottom w:val="single" w:sz="2" w:space="0" w:color="auto"/>
              <w:right w:val="single" w:sz="2" w:space="0" w:color="auto"/>
            </w:tcBorders>
            <w:vAlign w:val="center"/>
          </w:tcPr>
          <w:p w14:paraId="0EA99F50"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1C518A8B"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2D4A7B8C"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4,072,909,456.96</w:t>
            </w:r>
          </w:p>
        </w:tc>
        <w:tc>
          <w:tcPr>
            <w:tcW w:w="1560" w:type="dxa"/>
            <w:tcBorders>
              <w:top w:val="single" w:sz="2" w:space="0" w:color="auto"/>
              <w:left w:val="single" w:sz="2" w:space="0" w:color="auto"/>
              <w:bottom w:val="single" w:sz="2" w:space="0" w:color="auto"/>
              <w:right w:val="single" w:sz="2" w:space="0" w:color="auto"/>
            </w:tcBorders>
            <w:vAlign w:val="center"/>
          </w:tcPr>
          <w:p w14:paraId="1D726EA5"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3,930,096,572.88</w:t>
            </w:r>
          </w:p>
        </w:tc>
      </w:tr>
      <w:tr w:rsidR="001C5303" w:rsidRPr="005A284F" w14:paraId="0DD47313" w14:textId="77777777" w:rsidTr="009E68B2">
        <w:trPr>
          <w:trHeight w:val="240"/>
          <w:jc w:val="center"/>
        </w:trPr>
        <w:tc>
          <w:tcPr>
            <w:tcW w:w="1641" w:type="dxa"/>
            <w:tcBorders>
              <w:top w:val="single" w:sz="2" w:space="0" w:color="auto"/>
              <w:left w:val="single" w:sz="2" w:space="0" w:color="auto"/>
              <w:bottom w:val="single" w:sz="2" w:space="0" w:color="auto"/>
              <w:right w:val="single" w:sz="2" w:space="0" w:color="auto"/>
            </w:tcBorders>
            <w:vAlign w:val="center"/>
          </w:tcPr>
          <w:p w14:paraId="363BE024" w14:textId="77777777" w:rsidR="001C5303" w:rsidRPr="005A284F" w:rsidRDefault="001C5303">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熟食制品</w:t>
            </w:r>
          </w:p>
        </w:tc>
        <w:tc>
          <w:tcPr>
            <w:tcW w:w="1475" w:type="dxa"/>
            <w:tcBorders>
              <w:top w:val="single" w:sz="2" w:space="0" w:color="auto"/>
              <w:left w:val="single" w:sz="2" w:space="0" w:color="auto"/>
              <w:bottom w:val="single" w:sz="2" w:space="0" w:color="auto"/>
              <w:right w:val="single" w:sz="2" w:space="0" w:color="auto"/>
            </w:tcBorders>
            <w:vAlign w:val="center"/>
          </w:tcPr>
          <w:p w14:paraId="32129D1F"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83,479,603.26</w:t>
            </w:r>
          </w:p>
        </w:tc>
        <w:tc>
          <w:tcPr>
            <w:tcW w:w="1417" w:type="dxa"/>
            <w:tcBorders>
              <w:top w:val="single" w:sz="2" w:space="0" w:color="auto"/>
              <w:left w:val="single" w:sz="2" w:space="0" w:color="auto"/>
              <w:bottom w:val="single" w:sz="2" w:space="0" w:color="auto"/>
              <w:right w:val="single" w:sz="2" w:space="0" w:color="auto"/>
            </w:tcBorders>
            <w:vAlign w:val="center"/>
          </w:tcPr>
          <w:p w14:paraId="0F227226"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61,923,787.50</w:t>
            </w:r>
          </w:p>
        </w:tc>
        <w:tc>
          <w:tcPr>
            <w:tcW w:w="993" w:type="dxa"/>
            <w:tcBorders>
              <w:top w:val="single" w:sz="2" w:space="0" w:color="auto"/>
              <w:left w:val="single" w:sz="2" w:space="0" w:color="auto"/>
              <w:bottom w:val="single" w:sz="2" w:space="0" w:color="auto"/>
              <w:right w:val="single" w:sz="2" w:space="0" w:color="auto"/>
            </w:tcBorders>
            <w:vAlign w:val="center"/>
          </w:tcPr>
          <w:p w14:paraId="3781E503"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0D3B6954"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7AE8797C"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83,479,603.26</w:t>
            </w:r>
          </w:p>
        </w:tc>
        <w:tc>
          <w:tcPr>
            <w:tcW w:w="1560" w:type="dxa"/>
            <w:tcBorders>
              <w:top w:val="single" w:sz="2" w:space="0" w:color="auto"/>
              <w:left w:val="single" w:sz="2" w:space="0" w:color="auto"/>
              <w:bottom w:val="single" w:sz="2" w:space="0" w:color="auto"/>
              <w:right w:val="single" w:sz="2" w:space="0" w:color="auto"/>
            </w:tcBorders>
            <w:vAlign w:val="center"/>
          </w:tcPr>
          <w:p w14:paraId="43898587"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61,923,787.50</w:t>
            </w:r>
          </w:p>
        </w:tc>
      </w:tr>
      <w:tr w:rsidR="001C5303" w:rsidRPr="005A284F" w14:paraId="24F3CB9D" w14:textId="77777777" w:rsidTr="009E68B2">
        <w:trPr>
          <w:trHeight w:val="240"/>
          <w:jc w:val="center"/>
        </w:trPr>
        <w:tc>
          <w:tcPr>
            <w:tcW w:w="1641" w:type="dxa"/>
            <w:tcBorders>
              <w:top w:val="single" w:sz="2" w:space="0" w:color="auto"/>
              <w:left w:val="single" w:sz="2" w:space="0" w:color="auto"/>
              <w:bottom w:val="single" w:sz="2" w:space="0" w:color="auto"/>
              <w:right w:val="single" w:sz="2" w:space="0" w:color="auto"/>
            </w:tcBorders>
            <w:vAlign w:val="center"/>
          </w:tcPr>
          <w:p w14:paraId="2A4F4A04" w14:textId="77777777" w:rsidR="001C5303" w:rsidRPr="005A284F" w:rsidRDefault="001C5303">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预制食品</w:t>
            </w:r>
          </w:p>
        </w:tc>
        <w:tc>
          <w:tcPr>
            <w:tcW w:w="1475" w:type="dxa"/>
            <w:tcBorders>
              <w:top w:val="single" w:sz="2" w:space="0" w:color="auto"/>
              <w:left w:val="single" w:sz="2" w:space="0" w:color="auto"/>
              <w:bottom w:val="single" w:sz="2" w:space="0" w:color="auto"/>
              <w:right w:val="single" w:sz="2" w:space="0" w:color="auto"/>
            </w:tcBorders>
            <w:vAlign w:val="center"/>
          </w:tcPr>
          <w:p w14:paraId="3ED73214"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782,990,558.06</w:t>
            </w:r>
          </w:p>
        </w:tc>
        <w:tc>
          <w:tcPr>
            <w:tcW w:w="1417" w:type="dxa"/>
            <w:tcBorders>
              <w:top w:val="single" w:sz="2" w:space="0" w:color="auto"/>
              <w:left w:val="single" w:sz="2" w:space="0" w:color="auto"/>
              <w:bottom w:val="single" w:sz="2" w:space="0" w:color="auto"/>
              <w:right w:val="single" w:sz="2" w:space="0" w:color="auto"/>
            </w:tcBorders>
            <w:vAlign w:val="center"/>
          </w:tcPr>
          <w:p w14:paraId="60A8ECB3"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685,669,135.34</w:t>
            </w:r>
          </w:p>
        </w:tc>
        <w:tc>
          <w:tcPr>
            <w:tcW w:w="993" w:type="dxa"/>
            <w:tcBorders>
              <w:top w:val="single" w:sz="2" w:space="0" w:color="auto"/>
              <w:left w:val="single" w:sz="2" w:space="0" w:color="auto"/>
              <w:bottom w:val="single" w:sz="2" w:space="0" w:color="auto"/>
              <w:right w:val="single" w:sz="2" w:space="0" w:color="auto"/>
            </w:tcBorders>
            <w:vAlign w:val="center"/>
          </w:tcPr>
          <w:p w14:paraId="4B8D7B26"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0DBA3EC5"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600583F9"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782,990,558.06</w:t>
            </w:r>
          </w:p>
        </w:tc>
        <w:tc>
          <w:tcPr>
            <w:tcW w:w="1560" w:type="dxa"/>
            <w:tcBorders>
              <w:top w:val="single" w:sz="2" w:space="0" w:color="auto"/>
              <w:left w:val="single" w:sz="2" w:space="0" w:color="auto"/>
              <w:bottom w:val="single" w:sz="2" w:space="0" w:color="auto"/>
              <w:right w:val="single" w:sz="2" w:space="0" w:color="auto"/>
            </w:tcBorders>
            <w:vAlign w:val="center"/>
          </w:tcPr>
          <w:p w14:paraId="4EA4D7B3"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685,669,135.34</w:t>
            </w:r>
          </w:p>
        </w:tc>
      </w:tr>
      <w:tr w:rsidR="001C5303" w:rsidRPr="005A284F" w14:paraId="747BB179" w14:textId="77777777" w:rsidTr="009E68B2">
        <w:trPr>
          <w:trHeight w:val="240"/>
          <w:jc w:val="center"/>
        </w:trPr>
        <w:tc>
          <w:tcPr>
            <w:tcW w:w="1641" w:type="dxa"/>
            <w:tcBorders>
              <w:top w:val="single" w:sz="2" w:space="0" w:color="auto"/>
              <w:left w:val="single" w:sz="2" w:space="0" w:color="auto"/>
              <w:bottom w:val="single" w:sz="2" w:space="0" w:color="auto"/>
              <w:right w:val="single" w:sz="2" w:space="0" w:color="auto"/>
            </w:tcBorders>
            <w:vAlign w:val="center"/>
          </w:tcPr>
          <w:p w14:paraId="37D71ADB" w14:textId="77777777" w:rsidR="001C5303" w:rsidRPr="005A284F" w:rsidRDefault="001C5303">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c>
          <w:tcPr>
            <w:tcW w:w="1475" w:type="dxa"/>
            <w:tcBorders>
              <w:top w:val="single" w:sz="2" w:space="0" w:color="auto"/>
              <w:left w:val="single" w:sz="2" w:space="0" w:color="auto"/>
              <w:bottom w:val="single" w:sz="2" w:space="0" w:color="auto"/>
              <w:right w:val="single" w:sz="2" w:space="0" w:color="auto"/>
            </w:tcBorders>
            <w:vAlign w:val="center"/>
          </w:tcPr>
          <w:p w14:paraId="522E0EB6"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35,229,888.05</w:t>
            </w:r>
          </w:p>
        </w:tc>
        <w:tc>
          <w:tcPr>
            <w:tcW w:w="1417" w:type="dxa"/>
            <w:tcBorders>
              <w:top w:val="single" w:sz="2" w:space="0" w:color="auto"/>
              <w:left w:val="single" w:sz="2" w:space="0" w:color="auto"/>
              <w:bottom w:val="single" w:sz="2" w:space="0" w:color="auto"/>
              <w:right w:val="single" w:sz="2" w:space="0" w:color="auto"/>
            </w:tcBorders>
            <w:vAlign w:val="center"/>
          </w:tcPr>
          <w:p w14:paraId="4BF73D13"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24,332,220.39</w:t>
            </w:r>
          </w:p>
        </w:tc>
        <w:tc>
          <w:tcPr>
            <w:tcW w:w="993" w:type="dxa"/>
            <w:tcBorders>
              <w:top w:val="single" w:sz="2" w:space="0" w:color="auto"/>
              <w:left w:val="single" w:sz="2" w:space="0" w:color="auto"/>
              <w:bottom w:val="single" w:sz="2" w:space="0" w:color="auto"/>
              <w:right w:val="single" w:sz="2" w:space="0" w:color="auto"/>
            </w:tcBorders>
            <w:vAlign w:val="center"/>
          </w:tcPr>
          <w:p w14:paraId="66EEDD63"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74B016D9"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7C5488CD"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35,229,888.05</w:t>
            </w:r>
          </w:p>
        </w:tc>
        <w:tc>
          <w:tcPr>
            <w:tcW w:w="1560" w:type="dxa"/>
            <w:tcBorders>
              <w:top w:val="single" w:sz="2" w:space="0" w:color="auto"/>
              <w:left w:val="single" w:sz="2" w:space="0" w:color="auto"/>
              <w:bottom w:val="single" w:sz="2" w:space="0" w:color="auto"/>
              <w:right w:val="single" w:sz="2" w:space="0" w:color="auto"/>
            </w:tcBorders>
            <w:vAlign w:val="center"/>
          </w:tcPr>
          <w:p w14:paraId="521115BC"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24,332,220.39</w:t>
            </w:r>
          </w:p>
        </w:tc>
      </w:tr>
      <w:tr w:rsidR="001C5303" w:rsidRPr="005A284F" w14:paraId="66770C0A" w14:textId="77777777" w:rsidTr="009E68B2">
        <w:trPr>
          <w:trHeight w:val="240"/>
          <w:jc w:val="center"/>
        </w:trPr>
        <w:tc>
          <w:tcPr>
            <w:tcW w:w="1641" w:type="dxa"/>
            <w:tcBorders>
              <w:top w:val="single" w:sz="2" w:space="0" w:color="auto"/>
              <w:left w:val="single" w:sz="2" w:space="0" w:color="auto"/>
              <w:bottom w:val="single" w:sz="2" w:space="0" w:color="auto"/>
              <w:right w:val="single" w:sz="2" w:space="0" w:color="auto"/>
            </w:tcBorders>
            <w:shd w:val="clear" w:color="auto" w:fill="D3D3D3"/>
            <w:vAlign w:val="center"/>
          </w:tcPr>
          <w:p w14:paraId="4854698A" w14:textId="77777777" w:rsidR="001C5303" w:rsidRPr="005A284F" w:rsidRDefault="001C5303">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按经营地区分类</w:t>
            </w:r>
          </w:p>
        </w:tc>
        <w:tc>
          <w:tcPr>
            <w:tcW w:w="1475" w:type="dxa"/>
            <w:tcBorders>
              <w:top w:val="single" w:sz="2" w:space="0" w:color="auto"/>
              <w:left w:val="single" w:sz="2" w:space="0" w:color="auto"/>
              <w:bottom w:val="single" w:sz="2" w:space="0" w:color="auto"/>
              <w:right w:val="single" w:sz="2" w:space="0" w:color="auto"/>
            </w:tcBorders>
            <w:vAlign w:val="center"/>
          </w:tcPr>
          <w:p w14:paraId="6961B343"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4271343"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4A1AF031"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067D7580"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7F134988"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21F8F260" w14:textId="77777777" w:rsidR="001C5303" w:rsidRPr="005A284F" w:rsidRDefault="001C5303">
            <w:pPr>
              <w:spacing w:after="0" w:line="240" w:lineRule="exact"/>
              <w:jc w:val="right"/>
              <w:rPr>
                <w:rFonts w:ascii="Times New Roman" w:eastAsia="宋体" w:hAnsi="Times New Roman" w:cs="Times New Roman"/>
                <w:sz w:val="18"/>
                <w:szCs w:val="18"/>
              </w:rPr>
            </w:pPr>
          </w:p>
        </w:tc>
      </w:tr>
      <w:tr w:rsidR="001C5303" w:rsidRPr="005A284F" w14:paraId="4842B6D2" w14:textId="77777777" w:rsidTr="009E68B2">
        <w:trPr>
          <w:trHeight w:val="240"/>
          <w:jc w:val="center"/>
        </w:trPr>
        <w:tc>
          <w:tcPr>
            <w:tcW w:w="1641" w:type="dxa"/>
            <w:tcBorders>
              <w:top w:val="single" w:sz="2" w:space="0" w:color="auto"/>
              <w:left w:val="single" w:sz="2" w:space="0" w:color="auto"/>
              <w:bottom w:val="single" w:sz="2" w:space="0" w:color="auto"/>
              <w:right w:val="single" w:sz="2" w:space="0" w:color="auto"/>
            </w:tcBorders>
            <w:shd w:val="clear" w:color="auto" w:fill="D3D3D3"/>
            <w:vAlign w:val="center"/>
          </w:tcPr>
          <w:p w14:paraId="0015BA32" w14:textId="40B121F4" w:rsidR="001C5303" w:rsidRPr="005A284F" w:rsidRDefault="001C5303">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其中：</w:t>
            </w:r>
          </w:p>
        </w:tc>
        <w:tc>
          <w:tcPr>
            <w:tcW w:w="1475" w:type="dxa"/>
            <w:tcBorders>
              <w:top w:val="single" w:sz="2" w:space="0" w:color="auto"/>
              <w:left w:val="single" w:sz="2" w:space="0" w:color="auto"/>
              <w:bottom w:val="single" w:sz="2" w:space="0" w:color="auto"/>
              <w:right w:val="single" w:sz="2" w:space="0" w:color="auto"/>
            </w:tcBorders>
            <w:shd w:val="clear" w:color="auto" w:fill="D3D3D3"/>
            <w:vAlign w:val="center"/>
          </w:tcPr>
          <w:p w14:paraId="5C94CC7B" w14:textId="77777777" w:rsidR="001C5303" w:rsidRPr="005A284F" w:rsidRDefault="001C5303">
            <w:pPr>
              <w:rPr>
                <w:rFonts w:ascii="Times New Roman" w:eastAsia="宋体" w:hAnsi="Times New Roman" w:cs="Times New Roman"/>
              </w:rPr>
            </w:pP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53756CFD" w14:textId="77777777" w:rsidR="001C5303" w:rsidRPr="005A284F" w:rsidRDefault="001C5303">
            <w:pPr>
              <w:rPr>
                <w:rFonts w:ascii="Times New Roman" w:eastAsia="宋体" w:hAnsi="Times New Roman" w:cs="Times New Roman"/>
              </w:rPr>
            </w:pP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5AE31960" w14:textId="77777777" w:rsidR="001C5303" w:rsidRPr="005A284F" w:rsidRDefault="001C5303">
            <w:pPr>
              <w:rPr>
                <w:rFonts w:ascii="Times New Roman" w:eastAsia="宋体" w:hAnsi="Times New Roman" w:cs="Times New Roman"/>
              </w:rPr>
            </w:pP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55514E31" w14:textId="77777777" w:rsidR="001C5303" w:rsidRPr="005A284F" w:rsidRDefault="001C5303">
            <w:pPr>
              <w:rPr>
                <w:rFonts w:ascii="Times New Roman" w:eastAsia="宋体" w:hAnsi="Times New Roman" w:cs="Times New Roman"/>
              </w:rPr>
            </w:pP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5B6D12A5" w14:textId="77777777" w:rsidR="001C5303" w:rsidRPr="005A284F" w:rsidRDefault="001C5303">
            <w:pPr>
              <w:rPr>
                <w:rFonts w:ascii="Times New Roman" w:eastAsia="宋体" w:hAnsi="Times New Roman" w:cs="Times New Roman"/>
              </w:rPr>
            </w:pP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02711BC3" w14:textId="77777777" w:rsidR="001C5303" w:rsidRPr="005A284F" w:rsidRDefault="001C5303">
            <w:pPr>
              <w:rPr>
                <w:rFonts w:ascii="Times New Roman" w:eastAsia="宋体" w:hAnsi="Times New Roman" w:cs="Times New Roman"/>
              </w:rPr>
            </w:pPr>
          </w:p>
        </w:tc>
      </w:tr>
      <w:tr w:rsidR="001C5303" w:rsidRPr="005A284F" w14:paraId="7E46B99F" w14:textId="77777777" w:rsidTr="009E68B2">
        <w:trPr>
          <w:trHeight w:val="240"/>
          <w:jc w:val="center"/>
        </w:trPr>
        <w:tc>
          <w:tcPr>
            <w:tcW w:w="1641" w:type="dxa"/>
            <w:tcBorders>
              <w:top w:val="single" w:sz="2" w:space="0" w:color="auto"/>
              <w:left w:val="single" w:sz="2" w:space="0" w:color="auto"/>
              <w:bottom w:val="single" w:sz="2" w:space="0" w:color="auto"/>
              <w:right w:val="single" w:sz="2" w:space="0" w:color="auto"/>
            </w:tcBorders>
            <w:vAlign w:val="center"/>
          </w:tcPr>
          <w:p w14:paraId="426C6BDC" w14:textId="77777777" w:rsidR="001C5303" w:rsidRPr="005A284F" w:rsidRDefault="001C5303">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山东省内</w:t>
            </w:r>
          </w:p>
        </w:tc>
        <w:tc>
          <w:tcPr>
            <w:tcW w:w="1475" w:type="dxa"/>
            <w:tcBorders>
              <w:top w:val="single" w:sz="2" w:space="0" w:color="auto"/>
              <w:left w:val="single" w:sz="2" w:space="0" w:color="auto"/>
              <w:bottom w:val="single" w:sz="2" w:space="0" w:color="auto"/>
              <w:right w:val="single" w:sz="2" w:space="0" w:color="auto"/>
            </w:tcBorders>
            <w:vAlign w:val="center"/>
          </w:tcPr>
          <w:p w14:paraId="5472B209"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1,796,049,612.07</w:t>
            </w:r>
          </w:p>
        </w:tc>
        <w:tc>
          <w:tcPr>
            <w:tcW w:w="1417" w:type="dxa"/>
            <w:tcBorders>
              <w:top w:val="single" w:sz="2" w:space="0" w:color="auto"/>
              <w:left w:val="single" w:sz="2" w:space="0" w:color="auto"/>
              <w:bottom w:val="single" w:sz="2" w:space="0" w:color="auto"/>
              <w:right w:val="single" w:sz="2" w:space="0" w:color="auto"/>
            </w:tcBorders>
            <w:vAlign w:val="center"/>
          </w:tcPr>
          <w:p w14:paraId="4F24D850"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1,676,834,311.58</w:t>
            </w:r>
          </w:p>
        </w:tc>
        <w:tc>
          <w:tcPr>
            <w:tcW w:w="993" w:type="dxa"/>
            <w:tcBorders>
              <w:top w:val="single" w:sz="2" w:space="0" w:color="auto"/>
              <w:left w:val="single" w:sz="2" w:space="0" w:color="auto"/>
              <w:bottom w:val="single" w:sz="2" w:space="0" w:color="auto"/>
              <w:right w:val="single" w:sz="2" w:space="0" w:color="auto"/>
            </w:tcBorders>
            <w:vAlign w:val="center"/>
          </w:tcPr>
          <w:p w14:paraId="538B551F"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234D5ADC"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00547DEB"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1,796,049,612.07</w:t>
            </w:r>
          </w:p>
        </w:tc>
        <w:tc>
          <w:tcPr>
            <w:tcW w:w="1560" w:type="dxa"/>
            <w:tcBorders>
              <w:top w:val="single" w:sz="2" w:space="0" w:color="auto"/>
              <w:left w:val="single" w:sz="2" w:space="0" w:color="auto"/>
              <w:bottom w:val="single" w:sz="2" w:space="0" w:color="auto"/>
              <w:right w:val="single" w:sz="2" w:space="0" w:color="auto"/>
            </w:tcBorders>
            <w:vAlign w:val="center"/>
          </w:tcPr>
          <w:p w14:paraId="446F5618"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1,676,834,311.58</w:t>
            </w:r>
          </w:p>
        </w:tc>
      </w:tr>
      <w:tr w:rsidR="001C5303" w:rsidRPr="005A284F" w14:paraId="254D499A" w14:textId="77777777" w:rsidTr="009E68B2">
        <w:trPr>
          <w:trHeight w:val="240"/>
          <w:jc w:val="center"/>
        </w:trPr>
        <w:tc>
          <w:tcPr>
            <w:tcW w:w="1641" w:type="dxa"/>
            <w:tcBorders>
              <w:top w:val="single" w:sz="2" w:space="0" w:color="auto"/>
              <w:left w:val="single" w:sz="2" w:space="0" w:color="auto"/>
              <w:bottom w:val="single" w:sz="2" w:space="0" w:color="auto"/>
              <w:right w:val="single" w:sz="2" w:space="0" w:color="auto"/>
            </w:tcBorders>
            <w:vAlign w:val="center"/>
          </w:tcPr>
          <w:p w14:paraId="7A4C0E5B" w14:textId="77777777" w:rsidR="001C5303" w:rsidRPr="005A284F" w:rsidRDefault="001C5303">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华东其他地区</w:t>
            </w:r>
          </w:p>
        </w:tc>
        <w:tc>
          <w:tcPr>
            <w:tcW w:w="1475" w:type="dxa"/>
            <w:tcBorders>
              <w:top w:val="single" w:sz="2" w:space="0" w:color="auto"/>
              <w:left w:val="single" w:sz="2" w:space="0" w:color="auto"/>
              <w:bottom w:val="single" w:sz="2" w:space="0" w:color="auto"/>
              <w:right w:val="single" w:sz="2" w:space="0" w:color="auto"/>
            </w:tcBorders>
            <w:vAlign w:val="center"/>
          </w:tcPr>
          <w:p w14:paraId="52CFB42A"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1,258,635,400.77</w:t>
            </w:r>
          </w:p>
        </w:tc>
        <w:tc>
          <w:tcPr>
            <w:tcW w:w="1417" w:type="dxa"/>
            <w:tcBorders>
              <w:top w:val="single" w:sz="2" w:space="0" w:color="auto"/>
              <w:left w:val="single" w:sz="2" w:space="0" w:color="auto"/>
              <w:bottom w:val="single" w:sz="2" w:space="0" w:color="auto"/>
              <w:right w:val="single" w:sz="2" w:space="0" w:color="auto"/>
            </w:tcBorders>
            <w:vAlign w:val="center"/>
          </w:tcPr>
          <w:p w14:paraId="053F99E2"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1,187,961,627.94</w:t>
            </w:r>
          </w:p>
        </w:tc>
        <w:tc>
          <w:tcPr>
            <w:tcW w:w="993" w:type="dxa"/>
            <w:tcBorders>
              <w:top w:val="single" w:sz="2" w:space="0" w:color="auto"/>
              <w:left w:val="single" w:sz="2" w:space="0" w:color="auto"/>
              <w:bottom w:val="single" w:sz="2" w:space="0" w:color="auto"/>
              <w:right w:val="single" w:sz="2" w:space="0" w:color="auto"/>
            </w:tcBorders>
            <w:vAlign w:val="center"/>
          </w:tcPr>
          <w:p w14:paraId="73FF38C8"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21324E03"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319B3215"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1,258,635,400.77</w:t>
            </w:r>
          </w:p>
        </w:tc>
        <w:tc>
          <w:tcPr>
            <w:tcW w:w="1560" w:type="dxa"/>
            <w:tcBorders>
              <w:top w:val="single" w:sz="2" w:space="0" w:color="auto"/>
              <w:left w:val="single" w:sz="2" w:space="0" w:color="auto"/>
              <w:bottom w:val="single" w:sz="2" w:space="0" w:color="auto"/>
              <w:right w:val="single" w:sz="2" w:space="0" w:color="auto"/>
            </w:tcBorders>
            <w:vAlign w:val="center"/>
          </w:tcPr>
          <w:p w14:paraId="29DD2E7D"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1,187,961,627.94</w:t>
            </w:r>
          </w:p>
        </w:tc>
      </w:tr>
      <w:tr w:rsidR="001C5303" w:rsidRPr="005A284F" w14:paraId="175B41F4" w14:textId="77777777" w:rsidTr="009E68B2">
        <w:trPr>
          <w:trHeight w:val="240"/>
          <w:jc w:val="center"/>
        </w:trPr>
        <w:tc>
          <w:tcPr>
            <w:tcW w:w="1641" w:type="dxa"/>
            <w:tcBorders>
              <w:top w:val="single" w:sz="2" w:space="0" w:color="auto"/>
              <w:left w:val="single" w:sz="2" w:space="0" w:color="auto"/>
              <w:bottom w:val="single" w:sz="2" w:space="0" w:color="auto"/>
              <w:right w:val="single" w:sz="2" w:space="0" w:color="auto"/>
            </w:tcBorders>
            <w:vAlign w:val="center"/>
          </w:tcPr>
          <w:p w14:paraId="210D6AC5" w14:textId="77777777" w:rsidR="001C5303" w:rsidRPr="005A284F" w:rsidRDefault="001C5303">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华中地区</w:t>
            </w:r>
          </w:p>
        </w:tc>
        <w:tc>
          <w:tcPr>
            <w:tcW w:w="1475" w:type="dxa"/>
            <w:tcBorders>
              <w:top w:val="single" w:sz="2" w:space="0" w:color="auto"/>
              <w:left w:val="single" w:sz="2" w:space="0" w:color="auto"/>
              <w:bottom w:val="single" w:sz="2" w:space="0" w:color="auto"/>
              <w:right w:val="single" w:sz="2" w:space="0" w:color="auto"/>
            </w:tcBorders>
            <w:vAlign w:val="center"/>
          </w:tcPr>
          <w:p w14:paraId="1AC5C888"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775,558,745.87</w:t>
            </w:r>
          </w:p>
        </w:tc>
        <w:tc>
          <w:tcPr>
            <w:tcW w:w="1417" w:type="dxa"/>
            <w:tcBorders>
              <w:top w:val="single" w:sz="2" w:space="0" w:color="auto"/>
              <w:left w:val="single" w:sz="2" w:space="0" w:color="auto"/>
              <w:bottom w:val="single" w:sz="2" w:space="0" w:color="auto"/>
              <w:right w:val="single" w:sz="2" w:space="0" w:color="auto"/>
            </w:tcBorders>
            <w:vAlign w:val="center"/>
          </w:tcPr>
          <w:p w14:paraId="30AACF64"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752,302,565.29</w:t>
            </w:r>
          </w:p>
        </w:tc>
        <w:tc>
          <w:tcPr>
            <w:tcW w:w="993" w:type="dxa"/>
            <w:tcBorders>
              <w:top w:val="single" w:sz="2" w:space="0" w:color="auto"/>
              <w:left w:val="single" w:sz="2" w:space="0" w:color="auto"/>
              <w:bottom w:val="single" w:sz="2" w:space="0" w:color="auto"/>
              <w:right w:val="single" w:sz="2" w:space="0" w:color="auto"/>
            </w:tcBorders>
            <w:vAlign w:val="center"/>
          </w:tcPr>
          <w:p w14:paraId="23E2FBD5"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55E3DF50"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6C69581F"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775,558,745.87</w:t>
            </w:r>
          </w:p>
        </w:tc>
        <w:tc>
          <w:tcPr>
            <w:tcW w:w="1560" w:type="dxa"/>
            <w:tcBorders>
              <w:top w:val="single" w:sz="2" w:space="0" w:color="auto"/>
              <w:left w:val="single" w:sz="2" w:space="0" w:color="auto"/>
              <w:bottom w:val="single" w:sz="2" w:space="0" w:color="auto"/>
              <w:right w:val="single" w:sz="2" w:space="0" w:color="auto"/>
            </w:tcBorders>
            <w:vAlign w:val="center"/>
          </w:tcPr>
          <w:p w14:paraId="20668078"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752,302,565.29</w:t>
            </w:r>
          </w:p>
        </w:tc>
      </w:tr>
      <w:tr w:rsidR="001C5303" w:rsidRPr="005A284F" w14:paraId="48BDE4E8" w14:textId="77777777" w:rsidTr="009E68B2">
        <w:trPr>
          <w:trHeight w:val="240"/>
          <w:jc w:val="center"/>
        </w:trPr>
        <w:tc>
          <w:tcPr>
            <w:tcW w:w="1641" w:type="dxa"/>
            <w:tcBorders>
              <w:top w:val="single" w:sz="2" w:space="0" w:color="auto"/>
              <w:left w:val="single" w:sz="2" w:space="0" w:color="auto"/>
              <w:bottom w:val="single" w:sz="2" w:space="0" w:color="auto"/>
              <w:right w:val="single" w:sz="2" w:space="0" w:color="auto"/>
            </w:tcBorders>
            <w:vAlign w:val="center"/>
          </w:tcPr>
          <w:p w14:paraId="22FDF69F" w14:textId="77777777" w:rsidR="001C5303" w:rsidRPr="005A284F" w:rsidRDefault="001C5303">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华北地区</w:t>
            </w:r>
          </w:p>
        </w:tc>
        <w:tc>
          <w:tcPr>
            <w:tcW w:w="1475" w:type="dxa"/>
            <w:tcBorders>
              <w:top w:val="single" w:sz="2" w:space="0" w:color="auto"/>
              <w:left w:val="single" w:sz="2" w:space="0" w:color="auto"/>
              <w:bottom w:val="single" w:sz="2" w:space="0" w:color="auto"/>
              <w:right w:val="single" w:sz="2" w:space="0" w:color="auto"/>
            </w:tcBorders>
            <w:vAlign w:val="center"/>
          </w:tcPr>
          <w:p w14:paraId="03EB0875"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225,737,026.85</w:t>
            </w:r>
          </w:p>
        </w:tc>
        <w:tc>
          <w:tcPr>
            <w:tcW w:w="1417" w:type="dxa"/>
            <w:tcBorders>
              <w:top w:val="single" w:sz="2" w:space="0" w:color="auto"/>
              <w:left w:val="single" w:sz="2" w:space="0" w:color="auto"/>
              <w:bottom w:val="single" w:sz="2" w:space="0" w:color="auto"/>
              <w:right w:val="single" w:sz="2" w:space="0" w:color="auto"/>
            </w:tcBorders>
            <w:vAlign w:val="center"/>
          </w:tcPr>
          <w:p w14:paraId="6AB02A0C"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215,110,519.81</w:t>
            </w:r>
          </w:p>
        </w:tc>
        <w:tc>
          <w:tcPr>
            <w:tcW w:w="993" w:type="dxa"/>
            <w:tcBorders>
              <w:top w:val="single" w:sz="2" w:space="0" w:color="auto"/>
              <w:left w:val="single" w:sz="2" w:space="0" w:color="auto"/>
              <w:bottom w:val="single" w:sz="2" w:space="0" w:color="auto"/>
              <w:right w:val="single" w:sz="2" w:space="0" w:color="auto"/>
            </w:tcBorders>
            <w:vAlign w:val="center"/>
          </w:tcPr>
          <w:p w14:paraId="0349FB62"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483D9D17"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8413C2C"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225,737,026.85</w:t>
            </w:r>
          </w:p>
        </w:tc>
        <w:tc>
          <w:tcPr>
            <w:tcW w:w="1560" w:type="dxa"/>
            <w:tcBorders>
              <w:top w:val="single" w:sz="2" w:space="0" w:color="auto"/>
              <w:left w:val="single" w:sz="2" w:space="0" w:color="auto"/>
              <w:bottom w:val="single" w:sz="2" w:space="0" w:color="auto"/>
              <w:right w:val="single" w:sz="2" w:space="0" w:color="auto"/>
            </w:tcBorders>
            <w:vAlign w:val="center"/>
          </w:tcPr>
          <w:p w14:paraId="19AE2493"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215,110,519.81</w:t>
            </w:r>
          </w:p>
        </w:tc>
      </w:tr>
      <w:tr w:rsidR="001C5303" w:rsidRPr="005A284F" w14:paraId="77292A54" w14:textId="77777777" w:rsidTr="009E68B2">
        <w:trPr>
          <w:trHeight w:val="240"/>
          <w:jc w:val="center"/>
        </w:trPr>
        <w:tc>
          <w:tcPr>
            <w:tcW w:w="1641" w:type="dxa"/>
            <w:tcBorders>
              <w:top w:val="single" w:sz="2" w:space="0" w:color="auto"/>
              <w:left w:val="single" w:sz="2" w:space="0" w:color="auto"/>
              <w:bottom w:val="single" w:sz="2" w:space="0" w:color="auto"/>
              <w:right w:val="single" w:sz="2" w:space="0" w:color="auto"/>
            </w:tcBorders>
            <w:vAlign w:val="center"/>
          </w:tcPr>
          <w:p w14:paraId="38037964" w14:textId="77777777" w:rsidR="001C5303" w:rsidRPr="005A284F" w:rsidRDefault="001C5303">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华南地区</w:t>
            </w:r>
          </w:p>
        </w:tc>
        <w:tc>
          <w:tcPr>
            <w:tcW w:w="1475" w:type="dxa"/>
            <w:tcBorders>
              <w:top w:val="single" w:sz="2" w:space="0" w:color="auto"/>
              <w:left w:val="single" w:sz="2" w:space="0" w:color="auto"/>
              <w:bottom w:val="single" w:sz="2" w:space="0" w:color="auto"/>
              <w:right w:val="single" w:sz="2" w:space="0" w:color="auto"/>
            </w:tcBorders>
            <w:vAlign w:val="center"/>
          </w:tcPr>
          <w:p w14:paraId="7854B463"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189,175,048.77</w:t>
            </w:r>
          </w:p>
        </w:tc>
        <w:tc>
          <w:tcPr>
            <w:tcW w:w="1417" w:type="dxa"/>
            <w:tcBorders>
              <w:top w:val="single" w:sz="2" w:space="0" w:color="auto"/>
              <w:left w:val="single" w:sz="2" w:space="0" w:color="auto"/>
              <w:bottom w:val="single" w:sz="2" w:space="0" w:color="auto"/>
              <w:right w:val="single" w:sz="2" w:space="0" w:color="auto"/>
            </w:tcBorders>
            <w:vAlign w:val="center"/>
          </w:tcPr>
          <w:p w14:paraId="6499299B"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181,095,441.65</w:t>
            </w:r>
          </w:p>
        </w:tc>
        <w:tc>
          <w:tcPr>
            <w:tcW w:w="993" w:type="dxa"/>
            <w:tcBorders>
              <w:top w:val="single" w:sz="2" w:space="0" w:color="auto"/>
              <w:left w:val="single" w:sz="2" w:space="0" w:color="auto"/>
              <w:bottom w:val="single" w:sz="2" w:space="0" w:color="auto"/>
              <w:right w:val="single" w:sz="2" w:space="0" w:color="auto"/>
            </w:tcBorders>
            <w:vAlign w:val="center"/>
          </w:tcPr>
          <w:p w14:paraId="62DE1206"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7C664D89"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07252F2D"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189,175,048.77</w:t>
            </w:r>
          </w:p>
        </w:tc>
        <w:tc>
          <w:tcPr>
            <w:tcW w:w="1560" w:type="dxa"/>
            <w:tcBorders>
              <w:top w:val="single" w:sz="2" w:space="0" w:color="auto"/>
              <w:left w:val="single" w:sz="2" w:space="0" w:color="auto"/>
              <w:bottom w:val="single" w:sz="2" w:space="0" w:color="auto"/>
              <w:right w:val="single" w:sz="2" w:space="0" w:color="auto"/>
            </w:tcBorders>
            <w:vAlign w:val="center"/>
          </w:tcPr>
          <w:p w14:paraId="388F93E2"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181,095,441.65</w:t>
            </w:r>
          </w:p>
        </w:tc>
      </w:tr>
      <w:tr w:rsidR="001C5303" w:rsidRPr="005A284F" w14:paraId="1D9CE8F0" w14:textId="77777777" w:rsidTr="009E68B2">
        <w:trPr>
          <w:trHeight w:val="240"/>
          <w:jc w:val="center"/>
        </w:trPr>
        <w:tc>
          <w:tcPr>
            <w:tcW w:w="1641" w:type="dxa"/>
            <w:tcBorders>
              <w:top w:val="single" w:sz="2" w:space="0" w:color="auto"/>
              <w:left w:val="single" w:sz="2" w:space="0" w:color="auto"/>
              <w:bottom w:val="single" w:sz="2" w:space="0" w:color="auto"/>
              <w:right w:val="single" w:sz="2" w:space="0" w:color="auto"/>
            </w:tcBorders>
            <w:vAlign w:val="center"/>
          </w:tcPr>
          <w:p w14:paraId="0149C192" w14:textId="77777777" w:rsidR="001C5303" w:rsidRPr="005A284F" w:rsidRDefault="001C5303">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东北地区</w:t>
            </w:r>
          </w:p>
        </w:tc>
        <w:tc>
          <w:tcPr>
            <w:tcW w:w="1475" w:type="dxa"/>
            <w:tcBorders>
              <w:top w:val="single" w:sz="2" w:space="0" w:color="auto"/>
              <w:left w:val="single" w:sz="2" w:space="0" w:color="auto"/>
              <w:bottom w:val="single" w:sz="2" w:space="0" w:color="auto"/>
              <w:right w:val="single" w:sz="2" w:space="0" w:color="auto"/>
            </w:tcBorders>
            <w:vAlign w:val="center"/>
          </w:tcPr>
          <w:p w14:paraId="0593A4A2"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327,989,173.09</w:t>
            </w:r>
          </w:p>
        </w:tc>
        <w:tc>
          <w:tcPr>
            <w:tcW w:w="1417" w:type="dxa"/>
            <w:tcBorders>
              <w:top w:val="single" w:sz="2" w:space="0" w:color="auto"/>
              <w:left w:val="single" w:sz="2" w:space="0" w:color="auto"/>
              <w:bottom w:val="single" w:sz="2" w:space="0" w:color="auto"/>
              <w:right w:val="single" w:sz="2" w:space="0" w:color="auto"/>
            </w:tcBorders>
            <w:vAlign w:val="center"/>
          </w:tcPr>
          <w:p w14:paraId="0C1F7CE0"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308,631,143.92</w:t>
            </w:r>
          </w:p>
        </w:tc>
        <w:tc>
          <w:tcPr>
            <w:tcW w:w="993" w:type="dxa"/>
            <w:tcBorders>
              <w:top w:val="single" w:sz="2" w:space="0" w:color="auto"/>
              <w:left w:val="single" w:sz="2" w:space="0" w:color="auto"/>
              <w:bottom w:val="single" w:sz="2" w:space="0" w:color="auto"/>
              <w:right w:val="single" w:sz="2" w:space="0" w:color="auto"/>
            </w:tcBorders>
            <w:vAlign w:val="center"/>
          </w:tcPr>
          <w:p w14:paraId="2F0647D2"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1EFDFE77"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3BEAF8BC"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327,989,173.09</w:t>
            </w:r>
          </w:p>
        </w:tc>
        <w:tc>
          <w:tcPr>
            <w:tcW w:w="1560" w:type="dxa"/>
            <w:tcBorders>
              <w:top w:val="single" w:sz="2" w:space="0" w:color="auto"/>
              <w:left w:val="single" w:sz="2" w:space="0" w:color="auto"/>
              <w:bottom w:val="single" w:sz="2" w:space="0" w:color="auto"/>
              <w:right w:val="single" w:sz="2" w:space="0" w:color="auto"/>
            </w:tcBorders>
            <w:vAlign w:val="center"/>
          </w:tcPr>
          <w:p w14:paraId="405525EE"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308,631,143.92</w:t>
            </w:r>
          </w:p>
        </w:tc>
      </w:tr>
      <w:tr w:rsidR="001C5303" w:rsidRPr="005A284F" w14:paraId="6B7BA067" w14:textId="77777777" w:rsidTr="009E68B2">
        <w:trPr>
          <w:trHeight w:val="240"/>
          <w:jc w:val="center"/>
        </w:trPr>
        <w:tc>
          <w:tcPr>
            <w:tcW w:w="1641" w:type="dxa"/>
            <w:tcBorders>
              <w:top w:val="single" w:sz="2" w:space="0" w:color="auto"/>
              <w:left w:val="single" w:sz="2" w:space="0" w:color="auto"/>
              <w:bottom w:val="single" w:sz="2" w:space="0" w:color="auto"/>
              <w:right w:val="single" w:sz="2" w:space="0" w:color="auto"/>
            </w:tcBorders>
            <w:vAlign w:val="center"/>
          </w:tcPr>
          <w:p w14:paraId="27A111FC" w14:textId="77777777" w:rsidR="001C5303" w:rsidRPr="005A284F" w:rsidRDefault="001C5303">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西南地区</w:t>
            </w:r>
          </w:p>
        </w:tc>
        <w:tc>
          <w:tcPr>
            <w:tcW w:w="1475" w:type="dxa"/>
            <w:tcBorders>
              <w:top w:val="single" w:sz="2" w:space="0" w:color="auto"/>
              <w:left w:val="single" w:sz="2" w:space="0" w:color="auto"/>
              <w:bottom w:val="single" w:sz="2" w:space="0" w:color="auto"/>
              <w:right w:val="single" w:sz="2" w:space="0" w:color="auto"/>
            </w:tcBorders>
            <w:vAlign w:val="center"/>
          </w:tcPr>
          <w:p w14:paraId="693BBF5F"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365,348,274.18</w:t>
            </w:r>
          </w:p>
        </w:tc>
        <w:tc>
          <w:tcPr>
            <w:tcW w:w="1417" w:type="dxa"/>
            <w:tcBorders>
              <w:top w:val="single" w:sz="2" w:space="0" w:color="auto"/>
              <w:left w:val="single" w:sz="2" w:space="0" w:color="auto"/>
              <w:bottom w:val="single" w:sz="2" w:space="0" w:color="auto"/>
              <w:right w:val="single" w:sz="2" w:space="0" w:color="auto"/>
            </w:tcBorders>
            <w:vAlign w:val="center"/>
          </w:tcPr>
          <w:p w14:paraId="34297CA6"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344,998,447.44</w:t>
            </w:r>
          </w:p>
        </w:tc>
        <w:tc>
          <w:tcPr>
            <w:tcW w:w="993" w:type="dxa"/>
            <w:tcBorders>
              <w:top w:val="single" w:sz="2" w:space="0" w:color="auto"/>
              <w:left w:val="single" w:sz="2" w:space="0" w:color="auto"/>
              <w:bottom w:val="single" w:sz="2" w:space="0" w:color="auto"/>
              <w:right w:val="single" w:sz="2" w:space="0" w:color="auto"/>
            </w:tcBorders>
            <w:vAlign w:val="center"/>
          </w:tcPr>
          <w:p w14:paraId="369FBDAD"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293C79BB"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639EE535"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365,348,274.18</w:t>
            </w:r>
          </w:p>
        </w:tc>
        <w:tc>
          <w:tcPr>
            <w:tcW w:w="1560" w:type="dxa"/>
            <w:tcBorders>
              <w:top w:val="single" w:sz="2" w:space="0" w:color="auto"/>
              <w:left w:val="single" w:sz="2" w:space="0" w:color="auto"/>
              <w:bottom w:val="single" w:sz="2" w:space="0" w:color="auto"/>
              <w:right w:val="single" w:sz="2" w:space="0" w:color="auto"/>
            </w:tcBorders>
            <w:vAlign w:val="center"/>
          </w:tcPr>
          <w:p w14:paraId="61CC08D4"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344,998,447.44</w:t>
            </w:r>
          </w:p>
        </w:tc>
      </w:tr>
      <w:tr w:rsidR="001C5303" w:rsidRPr="005A284F" w14:paraId="13412997" w14:textId="77777777" w:rsidTr="009E68B2">
        <w:trPr>
          <w:trHeight w:val="240"/>
          <w:jc w:val="center"/>
        </w:trPr>
        <w:tc>
          <w:tcPr>
            <w:tcW w:w="1641" w:type="dxa"/>
            <w:tcBorders>
              <w:top w:val="single" w:sz="2" w:space="0" w:color="auto"/>
              <w:left w:val="single" w:sz="2" w:space="0" w:color="auto"/>
              <w:bottom w:val="single" w:sz="2" w:space="0" w:color="auto"/>
              <w:right w:val="single" w:sz="2" w:space="0" w:color="auto"/>
            </w:tcBorders>
            <w:vAlign w:val="center"/>
          </w:tcPr>
          <w:p w14:paraId="00C58522" w14:textId="77777777" w:rsidR="001C5303" w:rsidRPr="005A284F" w:rsidRDefault="001C5303">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西北地区及其他</w:t>
            </w:r>
          </w:p>
        </w:tc>
        <w:tc>
          <w:tcPr>
            <w:tcW w:w="1475" w:type="dxa"/>
            <w:tcBorders>
              <w:top w:val="single" w:sz="2" w:space="0" w:color="auto"/>
              <w:left w:val="single" w:sz="2" w:space="0" w:color="auto"/>
              <w:bottom w:val="single" w:sz="2" w:space="0" w:color="auto"/>
              <w:right w:val="single" w:sz="2" w:space="0" w:color="auto"/>
            </w:tcBorders>
            <w:vAlign w:val="center"/>
          </w:tcPr>
          <w:p w14:paraId="34912A9D"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36,116,224.73</w:t>
            </w:r>
          </w:p>
        </w:tc>
        <w:tc>
          <w:tcPr>
            <w:tcW w:w="1417" w:type="dxa"/>
            <w:tcBorders>
              <w:top w:val="single" w:sz="2" w:space="0" w:color="auto"/>
              <w:left w:val="single" w:sz="2" w:space="0" w:color="auto"/>
              <w:bottom w:val="single" w:sz="2" w:space="0" w:color="auto"/>
              <w:right w:val="single" w:sz="2" w:space="0" w:color="auto"/>
            </w:tcBorders>
            <w:vAlign w:val="center"/>
          </w:tcPr>
          <w:p w14:paraId="401CAAE5"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35,087,658.48</w:t>
            </w:r>
          </w:p>
        </w:tc>
        <w:tc>
          <w:tcPr>
            <w:tcW w:w="993" w:type="dxa"/>
            <w:tcBorders>
              <w:top w:val="single" w:sz="2" w:space="0" w:color="auto"/>
              <w:left w:val="single" w:sz="2" w:space="0" w:color="auto"/>
              <w:bottom w:val="single" w:sz="2" w:space="0" w:color="auto"/>
              <w:right w:val="single" w:sz="2" w:space="0" w:color="auto"/>
            </w:tcBorders>
            <w:vAlign w:val="center"/>
          </w:tcPr>
          <w:p w14:paraId="26D4DAB6"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4ED74D3C"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5190809C"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36,116,224.73</w:t>
            </w:r>
          </w:p>
        </w:tc>
        <w:tc>
          <w:tcPr>
            <w:tcW w:w="1560" w:type="dxa"/>
            <w:tcBorders>
              <w:top w:val="single" w:sz="2" w:space="0" w:color="auto"/>
              <w:left w:val="single" w:sz="2" w:space="0" w:color="auto"/>
              <w:bottom w:val="single" w:sz="2" w:space="0" w:color="auto"/>
              <w:right w:val="single" w:sz="2" w:space="0" w:color="auto"/>
            </w:tcBorders>
            <w:vAlign w:val="center"/>
          </w:tcPr>
          <w:p w14:paraId="2FA2CA8C" w14:textId="77777777" w:rsidR="001C5303" w:rsidRPr="005A284F" w:rsidRDefault="001C530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35,087,658.48</w:t>
            </w:r>
          </w:p>
        </w:tc>
      </w:tr>
      <w:tr w:rsidR="001C5303" w:rsidRPr="005A284F" w14:paraId="3AC33512" w14:textId="77777777" w:rsidTr="009E68B2">
        <w:trPr>
          <w:trHeight w:val="240"/>
          <w:jc w:val="center"/>
        </w:trPr>
        <w:tc>
          <w:tcPr>
            <w:tcW w:w="1641" w:type="dxa"/>
            <w:tcBorders>
              <w:top w:val="single" w:sz="2" w:space="0" w:color="auto"/>
              <w:left w:val="single" w:sz="2" w:space="0" w:color="auto"/>
              <w:bottom w:val="single" w:sz="2" w:space="0" w:color="auto"/>
              <w:right w:val="single" w:sz="2" w:space="0" w:color="auto"/>
            </w:tcBorders>
            <w:shd w:val="clear" w:color="auto" w:fill="D3D3D3"/>
            <w:vAlign w:val="center"/>
          </w:tcPr>
          <w:p w14:paraId="45E53955" w14:textId="77777777" w:rsidR="001C5303" w:rsidRPr="005A284F" w:rsidRDefault="001C5303">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市场或客户类型</w:t>
            </w:r>
          </w:p>
        </w:tc>
        <w:tc>
          <w:tcPr>
            <w:tcW w:w="1475" w:type="dxa"/>
            <w:tcBorders>
              <w:top w:val="single" w:sz="2" w:space="0" w:color="auto"/>
              <w:left w:val="single" w:sz="2" w:space="0" w:color="auto"/>
              <w:bottom w:val="single" w:sz="2" w:space="0" w:color="auto"/>
              <w:right w:val="single" w:sz="2" w:space="0" w:color="auto"/>
            </w:tcBorders>
            <w:vAlign w:val="center"/>
          </w:tcPr>
          <w:p w14:paraId="05D5438E"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18D519C"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0580C244"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37A95018"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9EF1C75"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05236AC2" w14:textId="77777777" w:rsidR="001C5303" w:rsidRPr="005A284F" w:rsidRDefault="001C5303">
            <w:pPr>
              <w:spacing w:after="0" w:line="240" w:lineRule="exact"/>
              <w:jc w:val="right"/>
              <w:rPr>
                <w:rFonts w:ascii="Times New Roman" w:eastAsia="宋体" w:hAnsi="Times New Roman" w:cs="Times New Roman"/>
                <w:sz w:val="18"/>
                <w:szCs w:val="18"/>
              </w:rPr>
            </w:pPr>
          </w:p>
        </w:tc>
      </w:tr>
      <w:tr w:rsidR="001C5303" w:rsidRPr="005A284F" w14:paraId="340D50A9" w14:textId="77777777" w:rsidTr="009E68B2">
        <w:trPr>
          <w:trHeight w:val="240"/>
          <w:jc w:val="center"/>
        </w:trPr>
        <w:tc>
          <w:tcPr>
            <w:tcW w:w="1641" w:type="dxa"/>
            <w:tcBorders>
              <w:top w:val="single" w:sz="2" w:space="0" w:color="auto"/>
              <w:left w:val="single" w:sz="2" w:space="0" w:color="auto"/>
              <w:bottom w:val="single" w:sz="2" w:space="0" w:color="auto"/>
              <w:right w:val="single" w:sz="2" w:space="0" w:color="auto"/>
            </w:tcBorders>
            <w:shd w:val="clear" w:color="auto" w:fill="D3D3D3"/>
            <w:vAlign w:val="center"/>
          </w:tcPr>
          <w:p w14:paraId="6DD7CDE6" w14:textId="66705C9D" w:rsidR="001C5303" w:rsidRPr="005A284F" w:rsidRDefault="001C5303">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其中：</w:t>
            </w:r>
          </w:p>
        </w:tc>
        <w:tc>
          <w:tcPr>
            <w:tcW w:w="1475" w:type="dxa"/>
            <w:tcBorders>
              <w:top w:val="single" w:sz="2" w:space="0" w:color="auto"/>
              <w:left w:val="single" w:sz="2" w:space="0" w:color="auto"/>
              <w:bottom w:val="single" w:sz="2" w:space="0" w:color="auto"/>
              <w:right w:val="single" w:sz="2" w:space="0" w:color="auto"/>
            </w:tcBorders>
            <w:shd w:val="clear" w:color="auto" w:fill="D3D3D3"/>
            <w:vAlign w:val="center"/>
          </w:tcPr>
          <w:p w14:paraId="0B02F302" w14:textId="77777777" w:rsidR="001C5303" w:rsidRPr="005A284F" w:rsidRDefault="001C5303">
            <w:pPr>
              <w:rPr>
                <w:rFonts w:ascii="Times New Roman" w:eastAsia="宋体" w:hAnsi="Times New Roman" w:cs="Times New Roman"/>
              </w:rPr>
            </w:pP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0B315059" w14:textId="77777777" w:rsidR="001C5303" w:rsidRPr="005A284F" w:rsidRDefault="001C5303">
            <w:pPr>
              <w:rPr>
                <w:rFonts w:ascii="Times New Roman" w:eastAsia="宋体" w:hAnsi="Times New Roman" w:cs="Times New Roman"/>
              </w:rPr>
            </w:pP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7DE417C8" w14:textId="77777777" w:rsidR="001C5303" w:rsidRPr="005A284F" w:rsidRDefault="001C5303">
            <w:pPr>
              <w:rPr>
                <w:rFonts w:ascii="Times New Roman" w:eastAsia="宋体" w:hAnsi="Times New Roman" w:cs="Times New Roman"/>
              </w:rPr>
            </w:pP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32714F5D" w14:textId="77777777" w:rsidR="001C5303" w:rsidRPr="005A284F" w:rsidRDefault="001C5303">
            <w:pPr>
              <w:rPr>
                <w:rFonts w:ascii="Times New Roman" w:eastAsia="宋体" w:hAnsi="Times New Roman" w:cs="Times New Roman"/>
              </w:rPr>
            </w:pP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729F5C9E" w14:textId="77777777" w:rsidR="001C5303" w:rsidRPr="005A284F" w:rsidRDefault="001C5303">
            <w:pPr>
              <w:rPr>
                <w:rFonts w:ascii="Times New Roman" w:eastAsia="宋体" w:hAnsi="Times New Roman" w:cs="Times New Roman"/>
              </w:rPr>
            </w:pP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66B11F5E" w14:textId="77777777" w:rsidR="001C5303" w:rsidRPr="005A284F" w:rsidRDefault="001C5303">
            <w:pPr>
              <w:rPr>
                <w:rFonts w:ascii="Times New Roman" w:eastAsia="宋体" w:hAnsi="Times New Roman" w:cs="Times New Roman"/>
              </w:rPr>
            </w:pPr>
          </w:p>
        </w:tc>
      </w:tr>
      <w:tr w:rsidR="001C5303" w:rsidRPr="005A284F" w14:paraId="3B6F20DA" w14:textId="77777777" w:rsidTr="009E68B2">
        <w:trPr>
          <w:trHeight w:val="240"/>
          <w:jc w:val="center"/>
        </w:trPr>
        <w:tc>
          <w:tcPr>
            <w:tcW w:w="1641" w:type="dxa"/>
            <w:tcBorders>
              <w:top w:val="single" w:sz="2" w:space="0" w:color="auto"/>
              <w:left w:val="single" w:sz="2" w:space="0" w:color="auto"/>
              <w:bottom w:val="single" w:sz="2" w:space="0" w:color="auto"/>
              <w:right w:val="single" w:sz="2" w:space="0" w:color="auto"/>
            </w:tcBorders>
            <w:vAlign w:val="center"/>
          </w:tcPr>
          <w:p w14:paraId="7DDC325E" w14:textId="77777777" w:rsidR="001C5303" w:rsidRPr="005A284F" w:rsidRDefault="001C5303">
            <w:pPr>
              <w:spacing w:after="0" w:line="240" w:lineRule="exact"/>
              <w:rPr>
                <w:rFonts w:ascii="Times New Roman" w:eastAsia="宋体" w:hAnsi="Times New Roman" w:cs="Times New Roman"/>
                <w:sz w:val="18"/>
                <w:szCs w:val="18"/>
              </w:rPr>
            </w:pPr>
          </w:p>
        </w:tc>
        <w:tc>
          <w:tcPr>
            <w:tcW w:w="1475" w:type="dxa"/>
            <w:tcBorders>
              <w:top w:val="single" w:sz="2" w:space="0" w:color="auto"/>
              <w:left w:val="single" w:sz="2" w:space="0" w:color="auto"/>
              <w:bottom w:val="single" w:sz="2" w:space="0" w:color="auto"/>
              <w:right w:val="single" w:sz="2" w:space="0" w:color="auto"/>
            </w:tcBorders>
            <w:vAlign w:val="center"/>
          </w:tcPr>
          <w:p w14:paraId="03852B3A"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6D7F2EA"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458EC03E"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1071DE12"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226C0876"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258D5E80" w14:textId="77777777" w:rsidR="001C5303" w:rsidRPr="005A284F" w:rsidRDefault="001C5303">
            <w:pPr>
              <w:spacing w:after="0" w:line="240" w:lineRule="exact"/>
              <w:jc w:val="right"/>
              <w:rPr>
                <w:rFonts w:ascii="Times New Roman" w:eastAsia="宋体" w:hAnsi="Times New Roman" w:cs="Times New Roman"/>
                <w:sz w:val="18"/>
                <w:szCs w:val="18"/>
              </w:rPr>
            </w:pPr>
          </w:p>
        </w:tc>
      </w:tr>
      <w:tr w:rsidR="001C5303" w:rsidRPr="005A284F" w14:paraId="6AC74C6A" w14:textId="77777777" w:rsidTr="009E68B2">
        <w:trPr>
          <w:trHeight w:val="240"/>
          <w:jc w:val="center"/>
        </w:trPr>
        <w:tc>
          <w:tcPr>
            <w:tcW w:w="1641" w:type="dxa"/>
            <w:tcBorders>
              <w:top w:val="single" w:sz="2" w:space="0" w:color="auto"/>
              <w:left w:val="single" w:sz="2" w:space="0" w:color="auto"/>
              <w:bottom w:val="single" w:sz="2" w:space="0" w:color="auto"/>
              <w:right w:val="single" w:sz="2" w:space="0" w:color="auto"/>
            </w:tcBorders>
            <w:shd w:val="clear" w:color="auto" w:fill="D3D3D3"/>
            <w:vAlign w:val="center"/>
          </w:tcPr>
          <w:p w14:paraId="314C288F" w14:textId="77777777" w:rsidR="001C5303" w:rsidRPr="005A284F" w:rsidRDefault="001C5303">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合同类型</w:t>
            </w:r>
          </w:p>
        </w:tc>
        <w:tc>
          <w:tcPr>
            <w:tcW w:w="1475" w:type="dxa"/>
            <w:tcBorders>
              <w:top w:val="single" w:sz="2" w:space="0" w:color="auto"/>
              <w:left w:val="single" w:sz="2" w:space="0" w:color="auto"/>
              <w:bottom w:val="single" w:sz="2" w:space="0" w:color="auto"/>
              <w:right w:val="single" w:sz="2" w:space="0" w:color="auto"/>
            </w:tcBorders>
            <w:vAlign w:val="center"/>
          </w:tcPr>
          <w:p w14:paraId="51BCB5DD"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F99B6CD"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5706B64E"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378CB464"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21FDBD88"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1E5CD796" w14:textId="77777777" w:rsidR="001C5303" w:rsidRPr="005A284F" w:rsidRDefault="001C5303">
            <w:pPr>
              <w:spacing w:after="0" w:line="240" w:lineRule="exact"/>
              <w:jc w:val="right"/>
              <w:rPr>
                <w:rFonts w:ascii="Times New Roman" w:eastAsia="宋体" w:hAnsi="Times New Roman" w:cs="Times New Roman"/>
                <w:sz w:val="18"/>
                <w:szCs w:val="18"/>
              </w:rPr>
            </w:pPr>
          </w:p>
        </w:tc>
      </w:tr>
      <w:tr w:rsidR="001C5303" w:rsidRPr="005A284F" w14:paraId="54F9D193" w14:textId="77777777" w:rsidTr="009E68B2">
        <w:trPr>
          <w:trHeight w:val="240"/>
          <w:jc w:val="center"/>
        </w:trPr>
        <w:tc>
          <w:tcPr>
            <w:tcW w:w="1641" w:type="dxa"/>
            <w:tcBorders>
              <w:top w:val="single" w:sz="2" w:space="0" w:color="auto"/>
              <w:left w:val="single" w:sz="2" w:space="0" w:color="auto"/>
              <w:bottom w:val="single" w:sz="2" w:space="0" w:color="auto"/>
              <w:right w:val="single" w:sz="2" w:space="0" w:color="auto"/>
            </w:tcBorders>
            <w:shd w:val="clear" w:color="auto" w:fill="D3D3D3"/>
            <w:vAlign w:val="center"/>
          </w:tcPr>
          <w:p w14:paraId="7ACB5DD0" w14:textId="7F9DDE1B" w:rsidR="001C5303" w:rsidRPr="005A284F" w:rsidRDefault="001C5303">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其中：</w:t>
            </w:r>
          </w:p>
        </w:tc>
        <w:tc>
          <w:tcPr>
            <w:tcW w:w="1475" w:type="dxa"/>
            <w:tcBorders>
              <w:top w:val="single" w:sz="2" w:space="0" w:color="auto"/>
              <w:left w:val="single" w:sz="2" w:space="0" w:color="auto"/>
              <w:bottom w:val="single" w:sz="2" w:space="0" w:color="auto"/>
              <w:right w:val="single" w:sz="2" w:space="0" w:color="auto"/>
            </w:tcBorders>
            <w:shd w:val="clear" w:color="auto" w:fill="D3D3D3"/>
            <w:vAlign w:val="center"/>
          </w:tcPr>
          <w:p w14:paraId="66DAF690" w14:textId="77777777" w:rsidR="001C5303" w:rsidRPr="005A284F" w:rsidRDefault="001C5303">
            <w:pPr>
              <w:rPr>
                <w:rFonts w:ascii="Times New Roman" w:eastAsia="宋体" w:hAnsi="Times New Roman" w:cs="Times New Roman"/>
              </w:rPr>
            </w:pP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7931D1D8" w14:textId="77777777" w:rsidR="001C5303" w:rsidRPr="005A284F" w:rsidRDefault="001C5303">
            <w:pPr>
              <w:rPr>
                <w:rFonts w:ascii="Times New Roman" w:eastAsia="宋体" w:hAnsi="Times New Roman" w:cs="Times New Roman"/>
              </w:rPr>
            </w:pP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074C3C04" w14:textId="77777777" w:rsidR="001C5303" w:rsidRPr="005A284F" w:rsidRDefault="001C5303">
            <w:pPr>
              <w:rPr>
                <w:rFonts w:ascii="Times New Roman" w:eastAsia="宋体" w:hAnsi="Times New Roman" w:cs="Times New Roman"/>
              </w:rPr>
            </w:pP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12A71257" w14:textId="77777777" w:rsidR="001C5303" w:rsidRPr="005A284F" w:rsidRDefault="001C5303">
            <w:pPr>
              <w:rPr>
                <w:rFonts w:ascii="Times New Roman" w:eastAsia="宋体" w:hAnsi="Times New Roman" w:cs="Times New Roman"/>
              </w:rPr>
            </w:pP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50D91668" w14:textId="77777777" w:rsidR="001C5303" w:rsidRPr="005A284F" w:rsidRDefault="001C5303">
            <w:pPr>
              <w:rPr>
                <w:rFonts w:ascii="Times New Roman" w:eastAsia="宋体" w:hAnsi="Times New Roman" w:cs="Times New Roman"/>
              </w:rPr>
            </w:pP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333D6288" w14:textId="77777777" w:rsidR="001C5303" w:rsidRPr="005A284F" w:rsidRDefault="001C5303">
            <w:pPr>
              <w:rPr>
                <w:rFonts w:ascii="Times New Roman" w:eastAsia="宋体" w:hAnsi="Times New Roman" w:cs="Times New Roman"/>
              </w:rPr>
            </w:pPr>
          </w:p>
        </w:tc>
      </w:tr>
      <w:tr w:rsidR="001C5303" w:rsidRPr="005A284F" w14:paraId="08BB5CC0" w14:textId="77777777" w:rsidTr="009E68B2">
        <w:trPr>
          <w:trHeight w:val="240"/>
          <w:jc w:val="center"/>
        </w:trPr>
        <w:tc>
          <w:tcPr>
            <w:tcW w:w="1641" w:type="dxa"/>
            <w:tcBorders>
              <w:top w:val="single" w:sz="2" w:space="0" w:color="auto"/>
              <w:left w:val="single" w:sz="2" w:space="0" w:color="auto"/>
              <w:bottom w:val="single" w:sz="2" w:space="0" w:color="auto"/>
              <w:right w:val="single" w:sz="2" w:space="0" w:color="auto"/>
            </w:tcBorders>
            <w:vAlign w:val="center"/>
          </w:tcPr>
          <w:p w14:paraId="0EE9C9E6" w14:textId="77777777" w:rsidR="001C5303" w:rsidRPr="005A284F" w:rsidRDefault="001C5303">
            <w:pPr>
              <w:spacing w:after="0" w:line="240" w:lineRule="exact"/>
              <w:rPr>
                <w:rFonts w:ascii="Times New Roman" w:eastAsia="宋体" w:hAnsi="Times New Roman" w:cs="Times New Roman"/>
                <w:sz w:val="18"/>
                <w:szCs w:val="18"/>
              </w:rPr>
            </w:pPr>
          </w:p>
        </w:tc>
        <w:tc>
          <w:tcPr>
            <w:tcW w:w="1475" w:type="dxa"/>
            <w:tcBorders>
              <w:top w:val="single" w:sz="2" w:space="0" w:color="auto"/>
              <w:left w:val="single" w:sz="2" w:space="0" w:color="auto"/>
              <w:bottom w:val="single" w:sz="2" w:space="0" w:color="auto"/>
              <w:right w:val="single" w:sz="2" w:space="0" w:color="auto"/>
            </w:tcBorders>
            <w:vAlign w:val="center"/>
          </w:tcPr>
          <w:p w14:paraId="39F339B2"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2F943E5"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6FAE870C"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157FD5EB"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337C76D8"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48E80958" w14:textId="77777777" w:rsidR="001C5303" w:rsidRPr="005A284F" w:rsidRDefault="001C5303">
            <w:pPr>
              <w:spacing w:after="0" w:line="240" w:lineRule="exact"/>
              <w:jc w:val="right"/>
              <w:rPr>
                <w:rFonts w:ascii="Times New Roman" w:eastAsia="宋体" w:hAnsi="Times New Roman" w:cs="Times New Roman"/>
                <w:sz w:val="18"/>
                <w:szCs w:val="18"/>
              </w:rPr>
            </w:pPr>
          </w:p>
        </w:tc>
      </w:tr>
      <w:tr w:rsidR="001C5303" w:rsidRPr="005A284F" w14:paraId="72A8260F" w14:textId="77777777" w:rsidTr="009E68B2">
        <w:trPr>
          <w:trHeight w:val="240"/>
          <w:jc w:val="center"/>
        </w:trPr>
        <w:tc>
          <w:tcPr>
            <w:tcW w:w="1641" w:type="dxa"/>
            <w:tcBorders>
              <w:top w:val="single" w:sz="2" w:space="0" w:color="auto"/>
              <w:left w:val="single" w:sz="2" w:space="0" w:color="auto"/>
              <w:bottom w:val="single" w:sz="2" w:space="0" w:color="auto"/>
              <w:right w:val="single" w:sz="2" w:space="0" w:color="auto"/>
            </w:tcBorders>
            <w:shd w:val="clear" w:color="auto" w:fill="D3D3D3"/>
            <w:vAlign w:val="center"/>
          </w:tcPr>
          <w:p w14:paraId="16E1D4D2" w14:textId="77777777" w:rsidR="001C5303" w:rsidRPr="005A284F" w:rsidRDefault="001C5303">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按商品转让的时间分类</w:t>
            </w:r>
          </w:p>
        </w:tc>
        <w:tc>
          <w:tcPr>
            <w:tcW w:w="1475" w:type="dxa"/>
            <w:tcBorders>
              <w:top w:val="single" w:sz="2" w:space="0" w:color="auto"/>
              <w:left w:val="single" w:sz="2" w:space="0" w:color="auto"/>
              <w:bottom w:val="single" w:sz="2" w:space="0" w:color="auto"/>
              <w:right w:val="single" w:sz="2" w:space="0" w:color="auto"/>
            </w:tcBorders>
            <w:vAlign w:val="center"/>
          </w:tcPr>
          <w:p w14:paraId="70AE3010"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576C35B"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1831697B"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3AA84AFB"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2E0DA1BE"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5C02CE10" w14:textId="77777777" w:rsidR="001C5303" w:rsidRPr="005A284F" w:rsidRDefault="001C5303">
            <w:pPr>
              <w:spacing w:after="0" w:line="240" w:lineRule="exact"/>
              <w:jc w:val="right"/>
              <w:rPr>
                <w:rFonts w:ascii="Times New Roman" w:eastAsia="宋体" w:hAnsi="Times New Roman" w:cs="Times New Roman"/>
                <w:sz w:val="18"/>
                <w:szCs w:val="18"/>
              </w:rPr>
            </w:pPr>
          </w:p>
        </w:tc>
      </w:tr>
      <w:tr w:rsidR="001C5303" w:rsidRPr="005A284F" w14:paraId="4D93BBA0" w14:textId="77777777" w:rsidTr="009E68B2">
        <w:trPr>
          <w:trHeight w:val="240"/>
          <w:jc w:val="center"/>
        </w:trPr>
        <w:tc>
          <w:tcPr>
            <w:tcW w:w="1641" w:type="dxa"/>
            <w:tcBorders>
              <w:top w:val="single" w:sz="2" w:space="0" w:color="auto"/>
              <w:left w:val="single" w:sz="2" w:space="0" w:color="auto"/>
              <w:bottom w:val="single" w:sz="2" w:space="0" w:color="auto"/>
              <w:right w:val="single" w:sz="2" w:space="0" w:color="auto"/>
            </w:tcBorders>
            <w:shd w:val="clear" w:color="auto" w:fill="D3D3D3"/>
            <w:vAlign w:val="center"/>
          </w:tcPr>
          <w:p w14:paraId="37C8FD05" w14:textId="665EA14D" w:rsidR="001C5303" w:rsidRPr="005A284F" w:rsidRDefault="001C5303">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其中：</w:t>
            </w:r>
          </w:p>
        </w:tc>
        <w:tc>
          <w:tcPr>
            <w:tcW w:w="1475" w:type="dxa"/>
            <w:tcBorders>
              <w:top w:val="single" w:sz="2" w:space="0" w:color="auto"/>
              <w:left w:val="single" w:sz="2" w:space="0" w:color="auto"/>
              <w:bottom w:val="single" w:sz="2" w:space="0" w:color="auto"/>
              <w:right w:val="single" w:sz="2" w:space="0" w:color="auto"/>
            </w:tcBorders>
            <w:shd w:val="clear" w:color="auto" w:fill="D3D3D3"/>
            <w:vAlign w:val="center"/>
          </w:tcPr>
          <w:p w14:paraId="349F6E20" w14:textId="77777777" w:rsidR="001C5303" w:rsidRPr="005A284F" w:rsidRDefault="001C5303">
            <w:pPr>
              <w:rPr>
                <w:rFonts w:ascii="Times New Roman" w:eastAsia="宋体" w:hAnsi="Times New Roman" w:cs="Times New Roman"/>
              </w:rPr>
            </w:pP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63509C23" w14:textId="77777777" w:rsidR="001C5303" w:rsidRPr="005A284F" w:rsidRDefault="001C5303">
            <w:pPr>
              <w:rPr>
                <w:rFonts w:ascii="Times New Roman" w:eastAsia="宋体" w:hAnsi="Times New Roman" w:cs="Times New Roman"/>
              </w:rPr>
            </w:pP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2682D4BE" w14:textId="77777777" w:rsidR="001C5303" w:rsidRPr="005A284F" w:rsidRDefault="001C5303">
            <w:pPr>
              <w:rPr>
                <w:rFonts w:ascii="Times New Roman" w:eastAsia="宋体" w:hAnsi="Times New Roman" w:cs="Times New Roman"/>
              </w:rPr>
            </w:pP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04283154" w14:textId="77777777" w:rsidR="001C5303" w:rsidRPr="005A284F" w:rsidRDefault="001C5303">
            <w:pPr>
              <w:rPr>
                <w:rFonts w:ascii="Times New Roman" w:eastAsia="宋体" w:hAnsi="Times New Roman" w:cs="Times New Roman"/>
              </w:rPr>
            </w:pP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6EA1A054" w14:textId="77777777" w:rsidR="001C5303" w:rsidRPr="005A284F" w:rsidRDefault="001C5303">
            <w:pPr>
              <w:rPr>
                <w:rFonts w:ascii="Times New Roman" w:eastAsia="宋体" w:hAnsi="Times New Roman" w:cs="Times New Roman"/>
              </w:rPr>
            </w:pP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4990A842" w14:textId="77777777" w:rsidR="001C5303" w:rsidRPr="005A284F" w:rsidRDefault="001C5303">
            <w:pPr>
              <w:rPr>
                <w:rFonts w:ascii="Times New Roman" w:eastAsia="宋体" w:hAnsi="Times New Roman" w:cs="Times New Roman"/>
              </w:rPr>
            </w:pPr>
          </w:p>
        </w:tc>
      </w:tr>
      <w:tr w:rsidR="001C5303" w:rsidRPr="005A284F" w14:paraId="7AD587B8" w14:textId="77777777" w:rsidTr="009E68B2">
        <w:trPr>
          <w:trHeight w:val="240"/>
          <w:jc w:val="center"/>
        </w:trPr>
        <w:tc>
          <w:tcPr>
            <w:tcW w:w="1641" w:type="dxa"/>
            <w:tcBorders>
              <w:top w:val="single" w:sz="2" w:space="0" w:color="auto"/>
              <w:left w:val="single" w:sz="2" w:space="0" w:color="auto"/>
              <w:bottom w:val="single" w:sz="2" w:space="0" w:color="auto"/>
              <w:right w:val="single" w:sz="2" w:space="0" w:color="auto"/>
            </w:tcBorders>
            <w:vAlign w:val="center"/>
          </w:tcPr>
          <w:p w14:paraId="3791C630" w14:textId="77777777" w:rsidR="001C5303" w:rsidRPr="005A284F" w:rsidRDefault="001C5303">
            <w:pPr>
              <w:spacing w:after="0" w:line="240" w:lineRule="exact"/>
              <w:rPr>
                <w:rFonts w:ascii="Times New Roman" w:eastAsia="宋体" w:hAnsi="Times New Roman" w:cs="Times New Roman"/>
                <w:sz w:val="18"/>
                <w:szCs w:val="18"/>
              </w:rPr>
            </w:pPr>
          </w:p>
        </w:tc>
        <w:tc>
          <w:tcPr>
            <w:tcW w:w="1475" w:type="dxa"/>
            <w:tcBorders>
              <w:top w:val="single" w:sz="2" w:space="0" w:color="auto"/>
              <w:left w:val="single" w:sz="2" w:space="0" w:color="auto"/>
              <w:bottom w:val="single" w:sz="2" w:space="0" w:color="auto"/>
              <w:right w:val="single" w:sz="2" w:space="0" w:color="auto"/>
            </w:tcBorders>
            <w:vAlign w:val="center"/>
          </w:tcPr>
          <w:p w14:paraId="6E6CE9D7"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353C51B"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1FBD7B25"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432A0838"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0A31705D"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25B06313" w14:textId="77777777" w:rsidR="001C5303" w:rsidRPr="005A284F" w:rsidRDefault="001C5303">
            <w:pPr>
              <w:spacing w:after="0" w:line="240" w:lineRule="exact"/>
              <w:jc w:val="right"/>
              <w:rPr>
                <w:rFonts w:ascii="Times New Roman" w:eastAsia="宋体" w:hAnsi="Times New Roman" w:cs="Times New Roman"/>
                <w:sz w:val="18"/>
                <w:szCs w:val="18"/>
              </w:rPr>
            </w:pPr>
          </w:p>
        </w:tc>
      </w:tr>
      <w:tr w:rsidR="001C5303" w:rsidRPr="005A284F" w14:paraId="6F3517E6" w14:textId="77777777" w:rsidTr="009E68B2">
        <w:trPr>
          <w:trHeight w:val="240"/>
          <w:jc w:val="center"/>
        </w:trPr>
        <w:tc>
          <w:tcPr>
            <w:tcW w:w="1641" w:type="dxa"/>
            <w:tcBorders>
              <w:top w:val="single" w:sz="2" w:space="0" w:color="auto"/>
              <w:left w:val="single" w:sz="2" w:space="0" w:color="auto"/>
              <w:bottom w:val="single" w:sz="2" w:space="0" w:color="auto"/>
              <w:right w:val="single" w:sz="2" w:space="0" w:color="auto"/>
            </w:tcBorders>
            <w:shd w:val="clear" w:color="auto" w:fill="D3D3D3"/>
            <w:vAlign w:val="center"/>
          </w:tcPr>
          <w:p w14:paraId="6CC4AA68" w14:textId="77777777" w:rsidR="001C5303" w:rsidRPr="005A284F" w:rsidRDefault="001C5303">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按合同期限分类</w:t>
            </w:r>
          </w:p>
        </w:tc>
        <w:tc>
          <w:tcPr>
            <w:tcW w:w="1475" w:type="dxa"/>
            <w:tcBorders>
              <w:top w:val="single" w:sz="2" w:space="0" w:color="auto"/>
              <w:left w:val="single" w:sz="2" w:space="0" w:color="auto"/>
              <w:bottom w:val="single" w:sz="2" w:space="0" w:color="auto"/>
              <w:right w:val="single" w:sz="2" w:space="0" w:color="auto"/>
            </w:tcBorders>
            <w:vAlign w:val="center"/>
          </w:tcPr>
          <w:p w14:paraId="4FCA4EB1"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F39C055"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0594432A"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23E16446"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0E578F9D"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502D26C4" w14:textId="77777777" w:rsidR="001C5303" w:rsidRPr="005A284F" w:rsidRDefault="001C5303">
            <w:pPr>
              <w:spacing w:after="0" w:line="240" w:lineRule="exact"/>
              <w:jc w:val="right"/>
              <w:rPr>
                <w:rFonts w:ascii="Times New Roman" w:eastAsia="宋体" w:hAnsi="Times New Roman" w:cs="Times New Roman"/>
                <w:sz w:val="18"/>
                <w:szCs w:val="18"/>
              </w:rPr>
            </w:pPr>
          </w:p>
        </w:tc>
      </w:tr>
      <w:tr w:rsidR="001C5303" w:rsidRPr="005A284F" w14:paraId="6A650FBA" w14:textId="77777777" w:rsidTr="009E68B2">
        <w:trPr>
          <w:trHeight w:val="240"/>
          <w:jc w:val="center"/>
        </w:trPr>
        <w:tc>
          <w:tcPr>
            <w:tcW w:w="1641" w:type="dxa"/>
            <w:tcBorders>
              <w:top w:val="single" w:sz="2" w:space="0" w:color="auto"/>
              <w:left w:val="single" w:sz="2" w:space="0" w:color="auto"/>
              <w:bottom w:val="single" w:sz="2" w:space="0" w:color="auto"/>
              <w:right w:val="single" w:sz="2" w:space="0" w:color="auto"/>
            </w:tcBorders>
            <w:shd w:val="clear" w:color="auto" w:fill="D3D3D3"/>
            <w:vAlign w:val="center"/>
          </w:tcPr>
          <w:p w14:paraId="62E2C591" w14:textId="575EEB9A" w:rsidR="001C5303" w:rsidRPr="005A284F" w:rsidRDefault="001C5303">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其中：</w:t>
            </w:r>
          </w:p>
        </w:tc>
        <w:tc>
          <w:tcPr>
            <w:tcW w:w="1475" w:type="dxa"/>
            <w:tcBorders>
              <w:top w:val="single" w:sz="2" w:space="0" w:color="auto"/>
              <w:left w:val="single" w:sz="2" w:space="0" w:color="auto"/>
              <w:bottom w:val="single" w:sz="2" w:space="0" w:color="auto"/>
              <w:right w:val="single" w:sz="2" w:space="0" w:color="auto"/>
            </w:tcBorders>
            <w:shd w:val="clear" w:color="auto" w:fill="D3D3D3"/>
            <w:vAlign w:val="center"/>
          </w:tcPr>
          <w:p w14:paraId="30C244FC" w14:textId="77777777" w:rsidR="001C5303" w:rsidRPr="005A284F" w:rsidRDefault="001C5303">
            <w:pPr>
              <w:rPr>
                <w:rFonts w:ascii="Times New Roman" w:eastAsia="宋体" w:hAnsi="Times New Roman" w:cs="Times New Roman"/>
              </w:rPr>
            </w:pP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27DD544F" w14:textId="77777777" w:rsidR="001C5303" w:rsidRPr="005A284F" w:rsidRDefault="001C5303">
            <w:pPr>
              <w:rPr>
                <w:rFonts w:ascii="Times New Roman" w:eastAsia="宋体" w:hAnsi="Times New Roman" w:cs="Times New Roman"/>
              </w:rPr>
            </w:pP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70F82F97" w14:textId="77777777" w:rsidR="001C5303" w:rsidRPr="005A284F" w:rsidRDefault="001C5303">
            <w:pPr>
              <w:rPr>
                <w:rFonts w:ascii="Times New Roman" w:eastAsia="宋体" w:hAnsi="Times New Roman" w:cs="Times New Roman"/>
              </w:rPr>
            </w:pP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7C46AC56" w14:textId="77777777" w:rsidR="001C5303" w:rsidRPr="005A284F" w:rsidRDefault="001C5303">
            <w:pPr>
              <w:rPr>
                <w:rFonts w:ascii="Times New Roman" w:eastAsia="宋体" w:hAnsi="Times New Roman" w:cs="Times New Roman"/>
              </w:rPr>
            </w:pP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48E612E1" w14:textId="77777777" w:rsidR="001C5303" w:rsidRPr="005A284F" w:rsidRDefault="001C5303">
            <w:pPr>
              <w:rPr>
                <w:rFonts w:ascii="Times New Roman" w:eastAsia="宋体" w:hAnsi="Times New Roman" w:cs="Times New Roman"/>
              </w:rPr>
            </w:pP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3D6F1AD4" w14:textId="77777777" w:rsidR="001C5303" w:rsidRPr="005A284F" w:rsidRDefault="001C5303">
            <w:pPr>
              <w:rPr>
                <w:rFonts w:ascii="Times New Roman" w:eastAsia="宋体" w:hAnsi="Times New Roman" w:cs="Times New Roman"/>
              </w:rPr>
            </w:pPr>
          </w:p>
        </w:tc>
      </w:tr>
      <w:tr w:rsidR="001C5303" w:rsidRPr="005A284F" w14:paraId="321CDE92" w14:textId="77777777" w:rsidTr="009E68B2">
        <w:trPr>
          <w:trHeight w:val="240"/>
          <w:jc w:val="center"/>
        </w:trPr>
        <w:tc>
          <w:tcPr>
            <w:tcW w:w="1641" w:type="dxa"/>
            <w:tcBorders>
              <w:top w:val="single" w:sz="2" w:space="0" w:color="auto"/>
              <w:left w:val="single" w:sz="2" w:space="0" w:color="auto"/>
              <w:bottom w:val="single" w:sz="2" w:space="0" w:color="auto"/>
              <w:right w:val="single" w:sz="2" w:space="0" w:color="auto"/>
            </w:tcBorders>
            <w:vAlign w:val="center"/>
          </w:tcPr>
          <w:p w14:paraId="4219552C" w14:textId="77777777" w:rsidR="001C5303" w:rsidRPr="005A284F" w:rsidRDefault="001C5303">
            <w:pPr>
              <w:spacing w:after="0" w:line="240" w:lineRule="exact"/>
              <w:rPr>
                <w:rFonts w:ascii="Times New Roman" w:eastAsia="宋体" w:hAnsi="Times New Roman" w:cs="Times New Roman"/>
                <w:sz w:val="18"/>
                <w:szCs w:val="18"/>
              </w:rPr>
            </w:pPr>
          </w:p>
        </w:tc>
        <w:tc>
          <w:tcPr>
            <w:tcW w:w="1475" w:type="dxa"/>
            <w:tcBorders>
              <w:top w:val="single" w:sz="2" w:space="0" w:color="auto"/>
              <w:left w:val="single" w:sz="2" w:space="0" w:color="auto"/>
              <w:bottom w:val="single" w:sz="2" w:space="0" w:color="auto"/>
              <w:right w:val="single" w:sz="2" w:space="0" w:color="auto"/>
            </w:tcBorders>
            <w:vAlign w:val="center"/>
          </w:tcPr>
          <w:p w14:paraId="60E54376"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659F4D6"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54128FF4"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7297827"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184AF31"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2A419C7B" w14:textId="77777777" w:rsidR="001C5303" w:rsidRPr="005A284F" w:rsidRDefault="001C5303">
            <w:pPr>
              <w:spacing w:after="0" w:line="240" w:lineRule="exact"/>
              <w:jc w:val="right"/>
              <w:rPr>
                <w:rFonts w:ascii="Times New Roman" w:eastAsia="宋体" w:hAnsi="Times New Roman" w:cs="Times New Roman"/>
                <w:sz w:val="18"/>
                <w:szCs w:val="18"/>
              </w:rPr>
            </w:pPr>
          </w:p>
        </w:tc>
      </w:tr>
      <w:tr w:rsidR="001C5303" w:rsidRPr="005A284F" w14:paraId="19D7462F" w14:textId="77777777" w:rsidTr="009E68B2">
        <w:trPr>
          <w:trHeight w:val="240"/>
          <w:jc w:val="center"/>
        </w:trPr>
        <w:tc>
          <w:tcPr>
            <w:tcW w:w="1641" w:type="dxa"/>
            <w:tcBorders>
              <w:top w:val="single" w:sz="2" w:space="0" w:color="auto"/>
              <w:left w:val="single" w:sz="2" w:space="0" w:color="auto"/>
              <w:bottom w:val="single" w:sz="2" w:space="0" w:color="auto"/>
              <w:right w:val="single" w:sz="2" w:space="0" w:color="auto"/>
            </w:tcBorders>
            <w:shd w:val="clear" w:color="auto" w:fill="D3D3D3"/>
            <w:vAlign w:val="center"/>
          </w:tcPr>
          <w:p w14:paraId="1893503F" w14:textId="77777777" w:rsidR="001C5303" w:rsidRPr="005A284F" w:rsidRDefault="001C5303">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按销售渠道分类</w:t>
            </w:r>
          </w:p>
        </w:tc>
        <w:tc>
          <w:tcPr>
            <w:tcW w:w="1475" w:type="dxa"/>
            <w:tcBorders>
              <w:top w:val="single" w:sz="2" w:space="0" w:color="auto"/>
              <w:left w:val="single" w:sz="2" w:space="0" w:color="auto"/>
              <w:bottom w:val="single" w:sz="2" w:space="0" w:color="auto"/>
              <w:right w:val="single" w:sz="2" w:space="0" w:color="auto"/>
            </w:tcBorders>
            <w:vAlign w:val="center"/>
          </w:tcPr>
          <w:p w14:paraId="667A461E"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BE0E6CE"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7E035AFA"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1C6299F"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2FB3A43B"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19B041C1" w14:textId="77777777" w:rsidR="001C5303" w:rsidRPr="005A284F" w:rsidRDefault="001C5303">
            <w:pPr>
              <w:spacing w:after="0" w:line="240" w:lineRule="exact"/>
              <w:jc w:val="right"/>
              <w:rPr>
                <w:rFonts w:ascii="Times New Roman" w:eastAsia="宋体" w:hAnsi="Times New Roman" w:cs="Times New Roman"/>
                <w:sz w:val="18"/>
                <w:szCs w:val="18"/>
              </w:rPr>
            </w:pPr>
          </w:p>
        </w:tc>
      </w:tr>
      <w:tr w:rsidR="001C5303" w:rsidRPr="005A284F" w14:paraId="5877A467" w14:textId="77777777" w:rsidTr="009E68B2">
        <w:trPr>
          <w:trHeight w:val="240"/>
          <w:jc w:val="center"/>
        </w:trPr>
        <w:tc>
          <w:tcPr>
            <w:tcW w:w="1641" w:type="dxa"/>
            <w:tcBorders>
              <w:top w:val="single" w:sz="2" w:space="0" w:color="auto"/>
              <w:left w:val="single" w:sz="2" w:space="0" w:color="auto"/>
              <w:bottom w:val="single" w:sz="2" w:space="0" w:color="auto"/>
              <w:right w:val="single" w:sz="2" w:space="0" w:color="auto"/>
            </w:tcBorders>
            <w:shd w:val="clear" w:color="auto" w:fill="D3D3D3"/>
            <w:vAlign w:val="center"/>
          </w:tcPr>
          <w:p w14:paraId="72AC2DF9" w14:textId="6F814A9C" w:rsidR="001C5303" w:rsidRPr="005A284F" w:rsidRDefault="001C5303">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其中：</w:t>
            </w:r>
          </w:p>
        </w:tc>
        <w:tc>
          <w:tcPr>
            <w:tcW w:w="1475" w:type="dxa"/>
            <w:tcBorders>
              <w:top w:val="single" w:sz="2" w:space="0" w:color="auto"/>
              <w:left w:val="single" w:sz="2" w:space="0" w:color="auto"/>
              <w:bottom w:val="single" w:sz="2" w:space="0" w:color="auto"/>
              <w:right w:val="single" w:sz="2" w:space="0" w:color="auto"/>
            </w:tcBorders>
            <w:shd w:val="clear" w:color="auto" w:fill="D3D3D3"/>
            <w:vAlign w:val="center"/>
          </w:tcPr>
          <w:p w14:paraId="526C8C70" w14:textId="77777777" w:rsidR="001C5303" w:rsidRPr="005A284F" w:rsidRDefault="001C5303">
            <w:pPr>
              <w:rPr>
                <w:rFonts w:ascii="Times New Roman" w:eastAsia="宋体" w:hAnsi="Times New Roman" w:cs="Times New Roman"/>
              </w:rPr>
            </w:pP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29547C95" w14:textId="77777777" w:rsidR="001C5303" w:rsidRPr="005A284F" w:rsidRDefault="001C5303">
            <w:pPr>
              <w:rPr>
                <w:rFonts w:ascii="Times New Roman" w:eastAsia="宋体" w:hAnsi="Times New Roman" w:cs="Times New Roman"/>
              </w:rPr>
            </w:pP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293C1614" w14:textId="77777777" w:rsidR="001C5303" w:rsidRPr="005A284F" w:rsidRDefault="001C5303">
            <w:pPr>
              <w:rPr>
                <w:rFonts w:ascii="Times New Roman" w:eastAsia="宋体" w:hAnsi="Times New Roman" w:cs="Times New Roman"/>
              </w:rPr>
            </w:pP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0127CEB8" w14:textId="77777777" w:rsidR="001C5303" w:rsidRPr="005A284F" w:rsidRDefault="001C5303">
            <w:pPr>
              <w:rPr>
                <w:rFonts w:ascii="Times New Roman" w:eastAsia="宋体" w:hAnsi="Times New Roman" w:cs="Times New Roman"/>
              </w:rPr>
            </w:pP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19DF7C09" w14:textId="77777777" w:rsidR="001C5303" w:rsidRPr="005A284F" w:rsidRDefault="001C5303">
            <w:pPr>
              <w:rPr>
                <w:rFonts w:ascii="Times New Roman" w:eastAsia="宋体" w:hAnsi="Times New Roman" w:cs="Times New Roman"/>
              </w:rPr>
            </w:pP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2DA61B72" w14:textId="77777777" w:rsidR="001C5303" w:rsidRPr="005A284F" w:rsidRDefault="001C5303">
            <w:pPr>
              <w:rPr>
                <w:rFonts w:ascii="Times New Roman" w:eastAsia="宋体" w:hAnsi="Times New Roman" w:cs="Times New Roman"/>
              </w:rPr>
            </w:pPr>
          </w:p>
        </w:tc>
      </w:tr>
      <w:tr w:rsidR="001C5303" w:rsidRPr="005A284F" w14:paraId="7B703B36" w14:textId="77777777" w:rsidTr="00A20D64">
        <w:trPr>
          <w:trHeight w:val="390"/>
          <w:jc w:val="center"/>
        </w:trPr>
        <w:tc>
          <w:tcPr>
            <w:tcW w:w="1641" w:type="dxa"/>
            <w:tcBorders>
              <w:top w:val="single" w:sz="2" w:space="0" w:color="auto"/>
              <w:left w:val="single" w:sz="2" w:space="0" w:color="auto"/>
              <w:bottom w:val="single" w:sz="2" w:space="0" w:color="auto"/>
              <w:right w:val="single" w:sz="2" w:space="0" w:color="auto"/>
            </w:tcBorders>
            <w:vAlign w:val="center"/>
          </w:tcPr>
          <w:p w14:paraId="00EAE1E8" w14:textId="77777777" w:rsidR="001C5303" w:rsidRPr="005A284F" w:rsidRDefault="001C5303">
            <w:pPr>
              <w:spacing w:after="0" w:line="240" w:lineRule="exact"/>
              <w:rPr>
                <w:rFonts w:ascii="Times New Roman" w:eastAsia="宋体" w:hAnsi="Times New Roman" w:cs="Times New Roman"/>
                <w:sz w:val="18"/>
                <w:szCs w:val="18"/>
              </w:rPr>
            </w:pPr>
          </w:p>
        </w:tc>
        <w:tc>
          <w:tcPr>
            <w:tcW w:w="1475" w:type="dxa"/>
            <w:tcBorders>
              <w:top w:val="single" w:sz="2" w:space="0" w:color="auto"/>
              <w:left w:val="single" w:sz="2" w:space="0" w:color="auto"/>
              <w:bottom w:val="single" w:sz="2" w:space="0" w:color="auto"/>
              <w:right w:val="single" w:sz="2" w:space="0" w:color="auto"/>
            </w:tcBorders>
            <w:vAlign w:val="center"/>
          </w:tcPr>
          <w:p w14:paraId="4DE936A1"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6E1A4EC"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198095ED"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750474AB"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3E6B2A61" w14:textId="77777777" w:rsidR="001C5303" w:rsidRPr="005A284F" w:rsidRDefault="001C5303">
            <w:pPr>
              <w:spacing w:after="0" w:line="240" w:lineRule="exact"/>
              <w:jc w:val="right"/>
              <w:rPr>
                <w:rFonts w:ascii="Times New Roman" w:eastAsia="宋体" w:hAnsi="Times New Roman" w:cs="Times New Roman"/>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3045A8FA" w14:textId="77777777" w:rsidR="001C5303" w:rsidRPr="005A284F" w:rsidRDefault="001C5303">
            <w:pPr>
              <w:spacing w:after="0" w:line="240" w:lineRule="exact"/>
              <w:jc w:val="right"/>
              <w:rPr>
                <w:rFonts w:ascii="Times New Roman" w:eastAsia="宋体" w:hAnsi="Times New Roman" w:cs="Times New Roman"/>
                <w:sz w:val="18"/>
                <w:szCs w:val="18"/>
              </w:rPr>
            </w:pPr>
          </w:p>
        </w:tc>
      </w:tr>
      <w:tr w:rsidR="00C1176A" w:rsidRPr="005A284F" w14:paraId="48279872" w14:textId="77777777" w:rsidTr="00A20D64">
        <w:trPr>
          <w:trHeight w:val="564"/>
          <w:jc w:val="center"/>
        </w:trPr>
        <w:tc>
          <w:tcPr>
            <w:tcW w:w="1641" w:type="dxa"/>
            <w:tcBorders>
              <w:top w:val="single" w:sz="2" w:space="0" w:color="auto"/>
              <w:left w:val="single" w:sz="2" w:space="0" w:color="auto"/>
              <w:bottom w:val="single" w:sz="2" w:space="0" w:color="auto"/>
              <w:right w:val="single" w:sz="2" w:space="0" w:color="auto"/>
            </w:tcBorders>
            <w:shd w:val="clear" w:color="auto" w:fill="D3D3D3"/>
            <w:vAlign w:val="center"/>
          </w:tcPr>
          <w:p w14:paraId="1B9C6FE5" w14:textId="77777777" w:rsidR="00C1176A" w:rsidRPr="005A284F" w:rsidRDefault="00C1176A" w:rsidP="00C1176A">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1475" w:type="dxa"/>
            <w:tcBorders>
              <w:top w:val="single" w:sz="2" w:space="0" w:color="auto"/>
              <w:left w:val="single" w:sz="2" w:space="0" w:color="auto"/>
              <w:bottom w:val="single" w:sz="2" w:space="0" w:color="auto"/>
              <w:right w:val="single" w:sz="2" w:space="0" w:color="auto"/>
            </w:tcBorders>
            <w:vAlign w:val="center"/>
          </w:tcPr>
          <w:p w14:paraId="5B7D5F9C" w14:textId="324A3C31" w:rsidR="00C1176A" w:rsidRPr="005A284F" w:rsidRDefault="00C1176A" w:rsidP="00C1176A">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4,974,609,506.33</w:t>
            </w:r>
          </w:p>
        </w:tc>
        <w:tc>
          <w:tcPr>
            <w:tcW w:w="1417" w:type="dxa"/>
            <w:tcBorders>
              <w:top w:val="single" w:sz="2" w:space="0" w:color="auto"/>
              <w:left w:val="single" w:sz="2" w:space="0" w:color="auto"/>
              <w:bottom w:val="single" w:sz="2" w:space="0" w:color="auto"/>
              <w:right w:val="single" w:sz="2" w:space="0" w:color="auto"/>
            </w:tcBorders>
            <w:vAlign w:val="center"/>
          </w:tcPr>
          <w:p w14:paraId="73C9BF15" w14:textId="68D07E7B" w:rsidR="00C1176A" w:rsidRPr="005A284F" w:rsidRDefault="00C1176A" w:rsidP="00C1176A">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4,702,021,716.11</w:t>
            </w:r>
          </w:p>
        </w:tc>
        <w:tc>
          <w:tcPr>
            <w:tcW w:w="993" w:type="dxa"/>
            <w:tcBorders>
              <w:top w:val="single" w:sz="2" w:space="0" w:color="auto"/>
              <w:left w:val="single" w:sz="2" w:space="0" w:color="auto"/>
              <w:bottom w:val="single" w:sz="2" w:space="0" w:color="auto"/>
              <w:right w:val="single" w:sz="2" w:space="0" w:color="auto"/>
            </w:tcBorders>
            <w:vAlign w:val="center"/>
          </w:tcPr>
          <w:p w14:paraId="1DB4798C" w14:textId="77777777" w:rsidR="00C1176A" w:rsidRPr="005A284F" w:rsidRDefault="00C1176A" w:rsidP="00C1176A">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2FA7BF82" w14:textId="77777777" w:rsidR="00C1176A" w:rsidRPr="005A284F" w:rsidRDefault="00C1176A" w:rsidP="00C1176A">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3C066885" w14:textId="1638FBE6" w:rsidR="00C1176A" w:rsidRPr="005A284F" w:rsidRDefault="00C1176A" w:rsidP="00C1176A">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4,974,609,506.33</w:t>
            </w:r>
          </w:p>
        </w:tc>
        <w:tc>
          <w:tcPr>
            <w:tcW w:w="1560" w:type="dxa"/>
            <w:tcBorders>
              <w:top w:val="single" w:sz="2" w:space="0" w:color="auto"/>
              <w:left w:val="single" w:sz="2" w:space="0" w:color="auto"/>
              <w:bottom w:val="single" w:sz="2" w:space="0" w:color="auto"/>
              <w:right w:val="single" w:sz="2" w:space="0" w:color="auto"/>
            </w:tcBorders>
            <w:vAlign w:val="center"/>
          </w:tcPr>
          <w:p w14:paraId="5CE494A6" w14:textId="29FB7E2D" w:rsidR="00C1176A" w:rsidRPr="005A284F" w:rsidRDefault="00C1176A" w:rsidP="00C1176A">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4,702,021,716.11</w:t>
            </w:r>
          </w:p>
        </w:tc>
      </w:tr>
    </w:tbl>
    <w:p w14:paraId="321015B9" w14:textId="77777777" w:rsidR="006C011D"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与履约义务相关的信息：</w:t>
      </w:r>
    </w:p>
    <w:p w14:paraId="18E6B461" w14:textId="65A2B278" w:rsidR="001C2948" w:rsidRPr="005A284F" w:rsidRDefault="001C2948">
      <w:pPr>
        <w:spacing w:before="100" w:after="100"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无</w:t>
      </w:r>
    </w:p>
    <w:p w14:paraId="09F2302C"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w:t>
      </w:r>
    </w:p>
    <w:p w14:paraId="3AF16E81"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与分摊至剩余履约义务的交易价格相关的信息：</w:t>
      </w:r>
    </w:p>
    <w:p w14:paraId="5B2929A5"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本报告期末已签订合同、但尚未履行或尚未履行完毕的履约义务所对应的收入金额为</w:t>
      </w:r>
      <w:r w:rsidRPr="005A284F">
        <w:rPr>
          <w:rFonts w:ascii="Times New Roman" w:eastAsia="宋体" w:hAnsi="Times New Roman" w:cs="Times New Roman"/>
          <w:sz w:val="18"/>
          <w:szCs w:val="18"/>
        </w:rPr>
        <w:t>0.00</w:t>
      </w:r>
      <w:r w:rsidRPr="005A284F">
        <w:rPr>
          <w:rFonts w:ascii="Times New Roman" w:eastAsia="宋体" w:hAnsi="Times New Roman" w:cs="Times New Roman"/>
          <w:sz w:val="18"/>
          <w:szCs w:val="18"/>
        </w:rPr>
        <w:t>元，其中，</w:t>
      </w:r>
      <w:r w:rsidRPr="005A284F">
        <w:rPr>
          <w:rFonts w:ascii="Times New Roman" w:eastAsia="宋体" w:hAnsi="Times New Roman" w:cs="Times New Roman"/>
          <w:sz w:val="18"/>
          <w:szCs w:val="18"/>
        </w:rPr>
        <w:t>0.00</w:t>
      </w:r>
      <w:r w:rsidRPr="005A284F">
        <w:rPr>
          <w:rFonts w:ascii="Times New Roman" w:eastAsia="宋体" w:hAnsi="Times New Roman" w:cs="Times New Roman"/>
          <w:sz w:val="18"/>
          <w:szCs w:val="18"/>
        </w:rPr>
        <w:t>元预计将于年度确认收入，</w:t>
      </w:r>
      <w:r w:rsidRPr="005A284F">
        <w:rPr>
          <w:rFonts w:ascii="Times New Roman" w:eastAsia="宋体" w:hAnsi="Times New Roman" w:cs="Times New Roman"/>
          <w:sz w:val="18"/>
          <w:szCs w:val="18"/>
        </w:rPr>
        <w:t>0.00</w:t>
      </w:r>
      <w:r w:rsidRPr="005A284F">
        <w:rPr>
          <w:rFonts w:ascii="Times New Roman" w:eastAsia="宋体" w:hAnsi="Times New Roman" w:cs="Times New Roman"/>
          <w:sz w:val="18"/>
          <w:szCs w:val="18"/>
        </w:rPr>
        <w:t>元预计将于年度确认收入，</w:t>
      </w:r>
      <w:r w:rsidRPr="005A284F">
        <w:rPr>
          <w:rFonts w:ascii="Times New Roman" w:eastAsia="宋体" w:hAnsi="Times New Roman" w:cs="Times New Roman"/>
          <w:sz w:val="18"/>
          <w:szCs w:val="18"/>
        </w:rPr>
        <w:t>0.00</w:t>
      </w:r>
      <w:r w:rsidRPr="005A284F">
        <w:rPr>
          <w:rFonts w:ascii="Times New Roman" w:eastAsia="宋体" w:hAnsi="Times New Roman" w:cs="Times New Roman"/>
          <w:sz w:val="18"/>
          <w:szCs w:val="18"/>
        </w:rPr>
        <w:t>元预计将于年度确认收入。</w:t>
      </w:r>
    </w:p>
    <w:p w14:paraId="552F9687"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合同中可变对价相关信息：</w:t>
      </w:r>
    </w:p>
    <w:p w14:paraId="4CB0407F"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重大合同变更或重大交易价格调整</w:t>
      </w:r>
    </w:p>
    <w:p w14:paraId="39959DAD" w14:textId="77777777" w:rsidR="001C2948" w:rsidRDefault="001C2948">
      <w:pPr>
        <w:spacing w:before="100" w:after="100"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无</w:t>
      </w:r>
    </w:p>
    <w:p w14:paraId="0C66D7F2" w14:textId="427264E6"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w:t>
      </w:r>
    </w:p>
    <w:p w14:paraId="08755F71" w14:textId="77777777" w:rsidR="001C2948" w:rsidRDefault="001C2948" w:rsidP="001C2948">
      <w:pPr>
        <w:spacing w:before="100" w:after="100" w:line="240" w:lineRule="exact"/>
        <w:rPr>
          <w:rFonts w:ascii="Times New Roman" w:eastAsia="宋体" w:hAnsi="Times New Roman" w:cs="Times New Roman"/>
          <w:sz w:val="18"/>
          <w:szCs w:val="18"/>
        </w:rPr>
      </w:pPr>
      <w:bookmarkStart w:id="319" w:name="_Toc989251"/>
      <w:r>
        <w:rPr>
          <w:rFonts w:ascii="Times New Roman" w:eastAsia="宋体" w:hAnsi="Times New Roman" w:cs="Times New Roman" w:hint="eastAsia"/>
          <w:sz w:val="18"/>
          <w:szCs w:val="18"/>
        </w:rPr>
        <w:t>无</w:t>
      </w:r>
    </w:p>
    <w:p w14:paraId="5622B44E" w14:textId="77777777" w:rsidR="006C011D" w:rsidRPr="005A284F" w:rsidRDefault="00000000">
      <w:pPr>
        <w:pStyle w:val="3"/>
        <w:spacing w:line="280" w:lineRule="exact"/>
        <w:jc w:val="left"/>
        <w:rPr>
          <w:rFonts w:ascii="Times New Roman" w:hAnsi="Times New Roman" w:cs="Times New Roman"/>
          <w:b/>
          <w:bCs/>
        </w:rPr>
      </w:pPr>
      <w:r w:rsidRPr="005A284F">
        <w:rPr>
          <w:rFonts w:ascii="Times New Roman" w:hAnsi="Times New Roman" w:cs="Times New Roman"/>
          <w:b/>
          <w:bCs/>
        </w:rPr>
        <w:t>62</w:t>
      </w:r>
      <w:r w:rsidRPr="005A284F">
        <w:rPr>
          <w:rFonts w:ascii="Times New Roman" w:hAnsi="Times New Roman" w:cs="Times New Roman"/>
          <w:b/>
          <w:bCs/>
        </w:rPr>
        <w:t>、税金及附加</w:t>
      </w:r>
      <w:bookmarkEnd w:id="319"/>
    </w:p>
    <w:p w14:paraId="0C6BFB37"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46B83EA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912F8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D8C02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518DC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上期发生额</w:t>
            </w:r>
          </w:p>
        </w:tc>
      </w:tr>
      <w:tr w:rsidR="006C011D" w:rsidRPr="005A284F" w14:paraId="1EAAB78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47FA63"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14:paraId="555D758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99,574.25</w:t>
            </w:r>
          </w:p>
        </w:tc>
        <w:tc>
          <w:tcPr>
            <w:tcW w:w="3213" w:type="dxa"/>
            <w:tcBorders>
              <w:top w:val="single" w:sz="2" w:space="0" w:color="auto"/>
              <w:left w:val="single" w:sz="2" w:space="0" w:color="auto"/>
              <w:bottom w:val="single" w:sz="2" w:space="0" w:color="auto"/>
              <w:right w:val="single" w:sz="2" w:space="0" w:color="auto"/>
            </w:tcBorders>
            <w:vAlign w:val="center"/>
          </w:tcPr>
          <w:p w14:paraId="7D7222B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80,901.75</w:t>
            </w:r>
          </w:p>
        </w:tc>
      </w:tr>
      <w:tr w:rsidR="006C011D" w:rsidRPr="005A284F" w14:paraId="3D734C3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505373"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14:paraId="229E113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70,213.45</w:t>
            </w:r>
          </w:p>
        </w:tc>
        <w:tc>
          <w:tcPr>
            <w:tcW w:w="3213" w:type="dxa"/>
            <w:tcBorders>
              <w:top w:val="single" w:sz="2" w:space="0" w:color="auto"/>
              <w:left w:val="single" w:sz="2" w:space="0" w:color="auto"/>
              <w:bottom w:val="single" w:sz="2" w:space="0" w:color="auto"/>
              <w:right w:val="single" w:sz="2" w:space="0" w:color="auto"/>
            </w:tcBorders>
            <w:vAlign w:val="center"/>
          </w:tcPr>
          <w:p w14:paraId="2507F5F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57,777.93</w:t>
            </w:r>
          </w:p>
        </w:tc>
      </w:tr>
      <w:tr w:rsidR="006C011D" w:rsidRPr="005A284F" w14:paraId="24AEBA3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40754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房产税</w:t>
            </w:r>
          </w:p>
        </w:tc>
        <w:tc>
          <w:tcPr>
            <w:tcW w:w="3213" w:type="dxa"/>
            <w:tcBorders>
              <w:top w:val="single" w:sz="2" w:space="0" w:color="auto"/>
              <w:left w:val="single" w:sz="2" w:space="0" w:color="auto"/>
              <w:bottom w:val="single" w:sz="2" w:space="0" w:color="auto"/>
              <w:right w:val="single" w:sz="2" w:space="0" w:color="auto"/>
            </w:tcBorders>
            <w:vAlign w:val="center"/>
          </w:tcPr>
          <w:p w14:paraId="42E0430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4,359,360.34</w:t>
            </w:r>
          </w:p>
        </w:tc>
        <w:tc>
          <w:tcPr>
            <w:tcW w:w="3213" w:type="dxa"/>
            <w:tcBorders>
              <w:top w:val="single" w:sz="2" w:space="0" w:color="auto"/>
              <w:left w:val="single" w:sz="2" w:space="0" w:color="auto"/>
              <w:bottom w:val="single" w:sz="2" w:space="0" w:color="auto"/>
              <w:right w:val="single" w:sz="2" w:space="0" w:color="auto"/>
            </w:tcBorders>
            <w:vAlign w:val="center"/>
          </w:tcPr>
          <w:p w14:paraId="3078C87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3,478,855.68</w:t>
            </w:r>
          </w:p>
        </w:tc>
      </w:tr>
      <w:tr w:rsidR="006C011D" w:rsidRPr="005A284F" w14:paraId="09C1D31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2BCDE3"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土地使用税</w:t>
            </w:r>
          </w:p>
        </w:tc>
        <w:tc>
          <w:tcPr>
            <w:tcW w:w="3213" w:type="dxa"/>
            <w:tcBorders>
              <w:top w:val="single" w:sz="2" w:space="0" w:color="auto"/>
              <w:left w:val="single" w:sz="2" w:space="0" w:color="auto"/>
              <w:bottom w:val="single" w:sz="2" w:space="0" w:color="auto"/>
              <w:right w:val="single" w:sz="2" w:space="0" w:color="auto"/>
            </w:tcBorders>
            <w:vAlign w:val="center"/>
          </w:tcPr>
          <w:p w14:paraId="518676D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2,232,735.40</w:t>
            </w:r>
          </w:p>
        </w:tc>
        <w:tc>
          <w:tcPr>
            <w:tcW w:w="3213" w:type="dxa"/>
            <w:tcBorders>
              <w:top w:val="single" w:sz="2" w:space="0" w:color="auto"/>
              <w:left w:val="single" w:sz="2" w:space="0" w:color="auto"/>
              <w:bottom w:val="single" w:sz="2" w:space="0" w:color="auto"/>
              <w:right w:val="single" w:sz="2" w:space="0" w:color="auto"/>
            </w:tcBorders>
            <w:vAlign w:val="center"/>
          </w:tcPr>
          <w:p w14:paraId="2E8A469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1,973,619.67</w:t>
            </w:r>
          </w:p>
        </w:tc>
      </w:tr>
      <w:tr w:rsidR="006C011D" w:rsidRPr="005A284F" w14:paraId="3586EFE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CBC57C"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车船使用税</w:t>
            </w:r>
          </w:p>
        </w:tc>
        <w:tc>
          <w:tcPr>
            <w:tcW w:w="3213" w:type="dxa"/>
            <w:tcBorders>
              <w:top w:val="single" w:sz="2" w:space="0" w:color="auto"/>
              <w:left w:val="single" w:sz="2" w:space="0" w:color="auto"/>
              <w:bottom w:val="single" w:sz="2" w:space="0" w:color="auto"/>
              <w:right w:val="single" w:sz="2" w:space="0" w:color="auto"/>
            </w:tcBorders>
            <w:vAlign w:val="center"/>
          </w:tcPr>
          <w:p w14:paraId="036425B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9,590.13</w:t>
            </w:r>
          </w:p>
        </w:tc>
        <w:tc>
          <w:tcPr>
            <w:tcW w:w="3213" w:type="dxa"/>
            <w:tcBorders>
              <w:top w:val="single" w:sz="2" w:space="0" w:color="auto"/>
              <w:left w:val="single" w:sz="2" w:space="0" w:color="auto"/>
              <w:bottom w:val="single" w:sz="2" w:space="0" w:color="auto"/>
              <w:right w:val="single" w:sz="2" w:space="0" w:color="auto"/>
            </w:tcBorders>
            <w:vAlign w:val="center"/>
          </w:tcPr>
          <w:p w14:paraId="340817D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22,152.99</w:t>
            </w:r>
          </w:p>
        </w:tc>
      </w:tr>
      <w:tr w:rsidR="006C011D" w:rsidRPr="005A284F" w14:paraId="615D836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ADC96F"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印花税</w:t>
            </w:r>
          </w:p>
        </w:tc>
        <w:tc>
          <w:tcPr>
            <w:tcW w:w="3213" w:type="dxa"/>
            <w:tcBorders>
              <w:top w:val="single" w:sz="2" w:space="0" w:color="auto"/>
              <w:left w:val="single" w:sz="2" w:space="0" w:color="auto"/>
              <w:bottom w:val="single" w:sz="2" w:space="0" w:color="auto"/>
              <w:right w:val="single" w:sz="2" w:space="0" w:color="auto"/>
            </w:tcBorders>
            <w:vAlign w:val="center"/>
          </w:tcPr>
          <w:p w14:paraId="6A15655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3,911,644.40</w:t>
            </w:r>
          </w:p>
        </w:tc>
        <w:tc>
          <w:tcPr>
            <w:tcW w:w="3213" w:type="dxa"/>
            <w:tcBorders>
              <w:top w:val="single" w:sz="2" w:space="0" w:color="auto"/>
              <w:left w:val="single" w:sz="2" w:space="0" w:color="auto"/>
              <w:bottom w:val="single" w:sz="2" w:space="0" w:color="auto"/>
              <w:right w:val="single" w:sz="2" w:space="0" w:color="auto"/>
            </w:tcBorders>
            <w:vAlign w:val="center"/>
          </w:tcPr>
          <w:p w14:paraId="51DE89E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3,282,778.97</w:t>
            </w:r>
          </w:p>
        </w:tc>
      </w:tr>
      <w:tr w:rsidR="006C011D" w:rsidRPr="005A284F" w14:paraId="349E4C1F"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B87563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水利建设基金</w:t>
            </w:r>
          </w:p>
        </w:tc>
        <w:tc>
          <w:tcPr>
            <w:tcW w:w="3213" w:type="dxa"/>
            <w:tcBorders>
              <w:top w:val="single" w:sz="2" w:space="0" w:color="auto"/>
              <w:left w:val="single" w:sz="2" w:space="0" w:color="auto"/>
              <w:bottom w:val="single" w:sz="2" w:space="0" w:color="auto"/>
              <w:right w:val="single" w:sz="2" w:space="0" w:color="auto"/>
            </w:tcBorders>
            <w:vAlign w:val="center"/>
          </w:tcPr>
          <w:p w14:paraId="72028A1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3,419.04</w:t>
            </w:r>
          </w:p>
        </w:tc>
        <w:tc>
          <w:tcPr>
            <w:tcW w:w="3213" w:type="dxa"/>
            <w:tcBorders>
              <w:top w:val="single" w:sz="2" w:space="0" w:color="auto"/>
              <w:left w:val="single" w:sz="2" w:space="0" w:color="auto"/>
              <w:bottom w:val="single" w:sz="2" w:space="0" w:color="auto"/>
              <w:right w:val="single" w:sz="2" w:space="0" w:color="auto"/>
            </w:tcBorders>
            <w:vAlign w:val="center"/>
          </w:tcPr>
          <w:p w14:paraId="66786A9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2,717.26</w:t>
            </w:r>
          </w:p>
        </w:tc>
      </w:tr>
      <w:tr w:rsidR="006C011D" w:rsidRPr="005A284F" w14:paraId="3736FD2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7DB014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水资源税</w:t>
            </w:r>
          </w:p>
        </w:tc>
        <w:tc>
          <w:tcPr>
            <w:tcW w:w="3213" w:type="dxa"/>
            <w:tcBorders>
              <w:top w:val="single" w:sz="2" w:space="0" w:color="auto"/>
              <w:left w:val="single" w:sz="2" w:space="0" w:color="auto"/>
              <w:bottom w:val="single" w:sz="2" w:space="0" w:color="auto"/>
              <w:right w:val="single" w:sz="2" w:space="0" w:color="auto"/>
            </w:tcBorders>
            <w:vAlign w:val="center"/>
          </w:tcPr>
          <w:p w14:paraId="67CBD2B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912,205.52</w:t>
            </w:r>
          </w:p>
        </w:tc>
        <w:tc>
          <w:tcPr>
            <w:tcW w:w="3213" w:type="dxa"/>
            <w:tcBorders>
              <w:top w:val="single" w:sz="2" w:space="0" w:color="auto"/>
              <w:left w:val="single" w:sz="2" w:space="0" w:color="auto"/>
              <w:bottom w:val="single" w:sz="2" w:space="0" w:color="auto"/>
              <w:right w:val="single" w:sz="2" w:space="0" w:color="auto"/>
            </w:tcBorders>
            <w:vAlign w:val="center"/>
          </w:tcPr>
          <w:p w14:paraId="1160520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242,615.10</w:t>
            </w:r>
          </w:p>
        </w:tc>
      </w:tr>
      <w:tr w:rsidR="006C011D" w:rsidRPr="005A284F" w14:paraId="1B266212"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39AA69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环保税</w:t>
            </w:r>
          </w:p>
        </w:tc>
        <w:tc>
          <w:tcPr>
            <w:tcW w:w="3213" w:type="dxa"/>
            <w:tcBorders>
              <w:top w:val="single" w:sz="2" w:space="0" w:color="auto"/>
              <w:left w:val="single" w:sz="2" w:space="0" w:color="auto"/>
              <w:bottom w:val="single" w:sz="2" w:space="0" w:color="auto"/>
              <w:right w:val="single" w:sz="2" w:space="0" w:color="auto"/>
            </w:tcBorders>
            <w:vAlign w:val="center"/>
          </w:tcPr>
          <w:p w14:paraId="6EF6F95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48,749.83</w:t>
            </w:r>
          </w:p>
        </w:tc>
        <w:tc>
          <w:tcPr>
            <w:tcW w:w="3213" w:type="dxa"/>
            <w:tcBorders>
              <w:top w:val="single" w:sz="2" w:space="0" w:color="auto"/>
              <w:left w:val="single" w:sz="2" w:space="0" w:color="auto"/>
              <w:bottom w:val="single" w:sz="2" w:space="0" w:color="auto"/>
              <w:right w:val="single" w:sz="2" w:space="0" w:color="auto"/>
            </w:tcBorders>
            <w:vAlign w:val="center"/>
          </w:tcPr>
          <w:p w14:paraId="13C8D88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20,869.13</w:t>
            </w:r>
          </w:p>
        </w:tc>
      </w:tr>
      <w:tr w:rsidR="006C011D" w:rsidRPr="005A284F" w14:paraId="30F235A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8D0F87"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099705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11,647,492.36</w:t>
            </w:r>
          </w:p>
        </w:tc>
        <w:tc>
          <w:tcPr>
            <w:tcW w:w="3213" w:type="dxa"/>
            <w:tcBorders>
              <w:top w:val="single" w:sz="2" w:space="0" w:color="auto"/>
              <w:left w:val="single" w:sz="2" w:space="0" w:color="auto"/>
              <w:bottom w:val="single" w:sz="2" w:space="0" w:color="auto"/>
              <w:right w:val="single" w:sz="2" w:space="0" w:color="auto"/>
            </w:tcBorders>
            <w:vAlign w:val="center"/>
          </w:tcPr>
          <w:p w14:paraId="1978236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9,162,288.48</w:t>
            </w:r>
          </w:p>
        </w:tc>
      </w:tr>
    </w:tbl>
    <w:p w14:paraId="57011ED9"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w:t>
      </w:r>
    </w:p>
    <w:p w14:paraId="61093E7D" w14:textId="77777777" w:rsidR="000309B5" w:rsidRPr="005A284F" w:rsidRDefault="00000000">
      <w:pPr>
        <w:pStyle w:val="a3"/>
        <w:divId w:val="1383796791"/>
        <w:rPr>
          <w:rFonts w:ascii="Times New Roman" w:hAnsi="Times New Roman" w:cs="Times New Roman"/>
          <w:sz w:val="18"/>
          <w:szCs w:val="18"/>
        </w:rPr>
      </w:pPr>
      <w:r w:rsidRPr="005A284F">
        <w:rPr>
          <w:rFonts w:ascii="Times New Roman" w:hAnsi="Times New Roman" w:cs="Times New Roman"/>
          <w:sz w:val="18"/>
          <w:szCs w:val="18"/>
        </w:rPr>
        <w:t>无</w:t>
      </w:r>
    </w:p>
    <w:p w14:paraId="3AAF26DD" w14:textId="77777777" w:rsidR="006C011D" w:rsidRPr="005A284F" w:rsidRDefault="00000000">
      <w:pPr>
        <w:pStyle w:val="3"/>
        <w:spacing w:line="280" w:lineRule="exact"/>
        <w:jc w:val="left"/>
        <w:rPr>
          <w:rFonts w:ascii="Times New Roman" w:hAnsi="Times New Roman" w:cs="Times New Roman"/>
          <w:b/>
          <w:bCs/>
        </w:rPr>
      </w:pPr>
      <w:bookmarkStart w:id="320" w:name="_Toc989252"/>
      <w:r w:rsidRPr="005A284F">
        <w:rPr>
          <w:rFonts w:ascii="Times New Roman" w:hAnsi="Times New Roman" w:cs="Times New Roman"/>
          <w:b/>
          <w:bCs/>
        </w:rPr>
        <w:t>63</w:t>
      </w:r>
      <w:r w:rsidRPr="005A284F">
        <w:rPr>
          <w:rFonts w:ascii="Times New Roman" w:hAnsi="Times New Roman" w:cs="Times New Roman"/>
          <w:b/>
          <w:bCs/>
        </w:rPr>
        <w:t>、管理费用</w:t>
      </w:r>
      <w:bookmarkEnd w:id="320"/>
    </w:p>
    <w:p w14:paraId="6C72C3E0"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64E5B1C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D14F2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D7534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A2B42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上期发生额</w:t>
            </w:r>
          </w:p>
        </w:tc>
      </w:tr>
      <w:tr w:rsidR="006C011D" w:rsidRPr="005A284F" w14:paraId="5FA1709D"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AE1096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工资</w:t>
            </w:r>
          </w:p>
        </w:tc>
        <w:tc>
          <w:tcPr>
            <w:tcW w:w="3213" w:type="dxa"/>
            <w:tcBorders>
              <w:top w:val="single" w:sz="2" w:space="0" w:color="auto"/>
              <w:left w:val="single" w:sz="2" w:space="0" w:color="auto"/>
              <w:bottom w:val="single" w:sz="2" w:space="0" w:color="auto"/>
              <w:right w:val="single" w:sz="2" w:space="0" w:color="auto"/>
            </w:tcBorders>
            <w:vAlign w:val="center"/>
          </w:tcPr>
          <w:p w14:paraId="0633DCB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44,098,132.62</w:t>
            </w:r>
          </w:p>
        </w:tc>
        <w:tc>
          <w:tcPr>
            <w:tcW w:w="3213" w:type="dxa"/>
            <w:tcBorders>
              <w:top w:val="single" w:sz="2" w:space="0" w:color="auto"/>
              <w:left w:val="single" w:sz="2" w:space="0" w:color="auto"/>
              <w:bottom w:val="single" w:sz="2" w:space="0" w:color="auto"/>
              <w:right w:val="single" w:sz="2" w:space="0" w:color="auto"/>
            </w:tcBorders>
            <w:vAlign w:val="center"/>
          </w:tcPr>
          <w:p w14:paraId="0EA80A5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47,291,648.66</w:t>
            </w:r>
          </w:p>
        </w:tc>
      </w:tr>
      <w:tr w:rsidR="006C011D" w:rsidRPr="005A284F" w14:paraId="14793E31"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F6A1C0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仓储费</w:t>
            </w:r>
          </w:p>
        </w:tc>
        <w:tc>
          <w:tcPr>
            <w:tcW w:w="3213" w:type="dxa"/>
            <w:tcBorders>
              <w:top w:val="single" w:sz="2" w:space="0" w:color="auto"/>
              <w:left w:val="single" w:sz="2" w:space="0" w:color="auto"/>
              <w:bottom w:val="single" w:sz="2" w:space="0" w:color="auto"/>
              <w:right w:val="single" w:sz="2" w:space="0" w:color="auto"/>
            </w:tcBorders>
            <w:vAlign w:val="center"/>
          </w:tcPr>
          <w:p w14:paraId="34C27FC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3,072,241.41</w:t>
            </w:r>
          </w:p>
        </w:tc>
        <w:tc>
          <w:tcPr>
            <w:tcW w:w="3213" w:type="dxa"/>
            <w:tcBorders>
              <w:top w:val="single" w:sz="2" w:space="0" w:color="auto"/>
              <w:left w:val="single" w:sz="2" w:space="0" w:color="auto"/>
              <w:bottom w:val="single" w:sz="2" w:space="0" w:color="auto"/>
              <w:right w:val="single" w:sz="2" w:space="0" w:color="auto"/>
            </w:tcBorders>
            <w:vAlign w:val="center"/>
          </w:tcPr>
          <w:p w14:paraId="24ACCE7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7,165,618.87</w:t>
            </w:r>
          </w:p>
        </w:tc>
      </w:tr>
      <w:tr w:rsidR="006C011D" w:rsidRPr="005A284F" w14:paraId="18F8555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A538F8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折旧费</w:t>
            </w:r>
          </w:p>
        </w:tc>
        <w:tc>
          <w:tcPr>
            <w:tcW w:w="3213" w:type="dxa"/>
            <w:tcBorders>
              <w:top w:val="single" w:sz="2" w:space="0" w:color="auto"/>
              <w:left w:val="single" w:sz="2" w:space="0" w:color="auto"/>
              <w:bottom w:val="single" w:sz="2" w:space="0" w:color="auto"/>
              <w:right w:val="single" w:sz="2" w:space="0" w:color="auto"/>
            </w:tcBorders>
            <w:vAlign w:val="center"/>
          </w:tcPr>
          <w:p w14:paraId="42B7057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32,347,640.76</w:t>
            </w:r>
          </w:p>
        </w:tc>
        <w:tc>
          <w:tcPr>
            <w:tcW w:w="3213" w:type="dxa"/>
            <w:tcBorders>
              <w:top w:val="single" w:sz="2" w:space="0" w:color="auto"/>
              <w:left w:val="single" w:sz="2" w:space="0" w:color="auto"/>
              <w:bottom w:val="single" w:sz="2" w:space="0" w:color="auto"/>
              <w:right w:val="single" w:sz="2" w:space="0" w:color="auto"/>
            </w:tcBorders>
            <w:vAlign w:val="center"/>
          </w:tcPr>
          <w:p w14:paraId="0258852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22,127,443.86</w:t>
            </w:r>
          </w:p>
        </w:tc>
      </w:tr>
      <w:tr w:rsidR="006C011D" w:rsidRPr="005A284F" w14:paraId="7F28746E"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9EE212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无形资产摊销</w:t>
            </w:r>
          </w:p>
        </w:tc>
        <w:tc>
          <w:tcPr>
            <w:tcW w:w="3213" w:type="dxa"/>
            <w:tcBorders>
              <w:top w:val="single" w:sz="2" w:space="0" w:color="auto"/>
              <w:left w:val="single" w:sz="2" w:space="0" w:color="auto"/>
              <w:bottom w:val="single" w:sz="2" w:space="0" w:color="auto"/>
              <w:right w:val="single" w:sz="2" w:space="0" w:color="auto"/>
            </w:tcBorders>
            <w:vAlign w:val="center"/>
          </w:tcPr>
          <w:p w14:paraId="0F7BABE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1,583,333.79</w:t>
            </w:r>
          </w:p>
        </w:tc>
        <w:tc>
          <w:tcPr>
            <w:tcW w:w="3213" w:type="dxa"/>
            <w:tcBorders>
              <w:top w:val="single" w:sz="2" w:space="0" w:color="auto"/>
              <w:left w:val="single" w:sz="2" w:space="0" w:color="auto"/>
              <w:bottom w:val="single" w:sz="2" w:space="0" w:color="auto"/>
              <w:right w:val="single" w:sz="2" w:space="0" w:color="auto"/>
            </w:tcBorders>
            <w:vAlign w:val="center"/>
          </w:tcPr>
          <w:p w14:paraId="167E1CE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2,323,706.19</w:t>
            </w:r>
          </w:p>
        </w:tc>
      </w:tr>
      <w:tr w:rsidR="006C011D" w:rsidRPr="005A284F" w14:paraId="75E1729F"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E0792F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差旅费</w:t>
            </w:r>
          </w:p>
        </w:tc>
        <w:tc>
          <w:tcPr>
            <w:tcW w:w="3213" w:type="dxa"/>
            <w:tcBorders>
              <w:top w:val="single" w:sz="2" w:space="0" w:color="auto"/>
              <w:left w:val="single" w:sz="2" w:space="0" w:color="auto"/>
              <w:bottom w:val="single" w:sz="2" w:space="0" w:color="auto"/>
              <w:right w:val="single" w:sz="2" w:space="0" w:color="auto"/>
            </w:tcBorders>
            <w:vAlign w:val="center"/>
          </w:tcPr>
          <w:p w14:paraId="139E53C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1,587,413.74</w:t>
            </w:r>
          </w:p>
        </w:tc>
        <w:tc>
          <w:tcPr>
            <w:tcW w:w="3213" w:type="dxa"/>
            <w:tcBorders>
              <w:top w:val="single" w:sz="2" w:space="0" w:color="auto"/>
              <w:left w:val="single" w:sz="2" w:space="0" w:color="auto"/>
              <w:bottom w:val="single" w:sz="2" w:space="0" w:color="auto"/>
              <w:right w:val="single" w:sz="2" w:space="0" w:color="auto"/>
            </w:tcBorders>
            <w:vAlign w:val="center"/>
          </w:tcPr>
          <w:p w14:paraId="3C0062F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1,530,996.97</w:t>
            </w:r>
          </w:p>
        </w:tc>
      </w:tr>
      <w:tr w:rsidR="006C011D" w:rsidRPr="005A284F" w14:paraId="4A4B24B0"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4F7363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修理费</w:t>
            </w:r>
          </w:p>
        </w:tc>
        <w:tc>
          <w:tcPr>
            <w:tcW w:w="3213" w:type="dxa"/>
            <w:tcBorders>
              <w:top w:val="single" w:sz="2" w:space="0" w:color="auto"/>
              <w:left w:val="single" w:sz="2" w:space="0" w:color="auto"/>
              <w:bottom w:val="single" w:sz="2" w:space="0" w:color="auto"/>
              <w:right w:val="single" w:sz="2" w:space="0" w:color="auto"/>
            </w:tcBorders>
            <w:vAlign w:val="center"/>
          </w:tcPr>
          <w:p w14:paraId="7AE8EBB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1,040,395.84</w:t>
            </w:r>
          </w:p>
        </w:tc>
        <w:tc>
          <w:tcPr>
            <w:tcW w:w="3213" w:type="dxa"/>
            <w:tcBorders>
              <w:top w:val="single" w:sz="2" w:space="0" w:color="auto"/>
              <w:left w:val="single" w:sz="2" w:space="0" w:color="auto"/>
              <w:bottom w:val="single" w:sz="2" w:space="0" w:color="auto"/>
              <w:right w:val="single" w:sz="2" w:space="0" w:color="auto"/>
            </w:tcBorders>
            <w:vAlign w:val="center"/>
          </w:tcPr>
          <w:p w14:paraId="54A7F41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956,186.91</w:t>
            </w:r>
          </w:p>
        </w:tc>
      </w:tr>
      <w:tr w:rsidR="006C011D" w:rsidRPr="005A284F" w14:paraId="52CA975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FCB5F1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780B9F1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32,245,446.95</w:t>
            </w:r>
          </w:p>
        </w:tc>
        <w:tc>
          <w:tcPr>
            <w:tcW w:w="3213" w:type="dxa"/>
            <w:tcBorders>
              <w:top w:val="single" w:sz="2" w:space="0" w:color="auto"/>
              <w:left w:val="single" w:sz="2" w:space="0" w:color="auto"/>
              <w:bottom w:val="single" w:sz="2" w:space="0" w:color="auto"/>
              <w:right w:val="single" w:sz="2" w:space="0" w:color="auto"/>
            </w:tcBorders>
            <w:vAlign w:val="center"/>
          </w:tcPr>
          <w:p w14:paraId="70E315D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32,466,538.03</w:t>
            </w:r>
          </w:p>
        </w:tc>
      </w:tr>
      <w:tr w:rsidR="006C011D" w:rsidRPr="005A284F" w14:paraId="538F513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1C357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723C597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115,974,605.11</w:t>
            </w:r>
          </w:p>
        </w:tc>
        <w:tc>
          <w:tcPr>
            <w:tcW w:w="3213" w:type="dxa"/>
            <w:tcBorders>
              <w:top w:val="single" w:sz="2" w:space="0" w:color="auto"/>
              <w:left w:val="single" w:sz="2" w:space="0" w:color="auto"/>
              <w:bottom w:val="single" w:sz="2" w:space="0" w:color="auto"/>
              <w:right w:val="single" w:sz="2" w:space="0" w:color="auto"/>
            </w:tcBorders>
            <w:vAlign w:val="center"/>
          </w:tcPr>
          <w:p w14:paraId="10421E4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113,862,139.49</w:t>
            </w:r>
          </w:p>
        </w:tc>
      </w:tr>
    </w:tbl>
    <w:p w14:paraId="3C2CA91E"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w:t>
      </w:r>
    </w:p>
    <w:p w14:paraId="1860A577" w14:textId="77777777" w:rsidR="000309B5" w:rsidRDefault="00000000">
      <w:pPr>
        <w:pStyle w:val="a3"/>
        <w:divId w:val="637102202"/>
        <w:rPr>
          <w:rFonts w:ascii="Times New Roman" w:hAnsi="Times New Roman" w:cs="Times New Roman"/>
          <w:sz w:val="18"/>
          <w:szCs w:val="18"/>
        </w:rPr>
      </w:pPr>
      <w:r w:rsidRPr="005A284F">
        <w:rPr>
          <w:rFonts w:ascii="Times New Roman" w:hAnsi="Times New Roman" w:cs="Times New Roman"/>
          <w:sz w:val="18"/>
          <w:szCs w:val="18"/>
        </w:rPr>
        <w:t>无</w:t>
      </w:r>
    </w:p>
    <w:p w14:paraId="00924EBA" w14:textId="77777777" w:rsidR="001C2948" w:rsidRPr="005A284F" w:rsidRDefault="001C2948">
      <w:pPr>
        <w:pStyle w:val="a3"/>
        <w:divId w:val="637102202"/>
        <w:rPr>
          <w:rFonts w:ascii="Times New Roman" w:hAnsi="Times New Roman" w:cs="Times New Roman"/>
          <w:sz w:val="18"/>
          <w:szCs w:val="18"/>
        </w:rPr>
      </w:pPr>
    </w:p>
    <w:p w14:paraId="4EB8773C" w14:textId="77777777" w:rsidR="006C011D" w:rsidRPr="005A284F" w:rsidRDefault="00000000">
      <w:pPr>
        <w:pStyle w:val="3"/>
        <w:spacing w:line="280" w:lineRule="exact"/>
        <w:jc w:val="left"/>
        <w:rPr>
          <w:rFonts w:ascii="Times New Roman" w:hAnsi="Times New Roman" w:cs="Times New Roman"/>
          <w:b/>
          <w:bCs/>
        </w:rPr>
      </w:pPr>
      <w:bookmarkStart w:id="321" w:name="_Toc989253"/>
      <w:r w:rsidRPr="005A284F">
        <w:rPr>
          <w:rFonts w:ascii="Times New Roman" w:hAnsi="Times New Roman" w:cs="Times New Roman"/>
          <w:b/>
          <w:bCs/>
        </w:rPr>
        <w:t>64</w:t>
      </w:r>
      <w:r w:rsidRPr="005A284F">
        <w:rPr>
          <w:rFonts w:ascii="Times New Roman" w:hAnsi="Times New Roman" w:cs="Times New Roman"/>
          <w:b/>
          <w:bCs/>
        </w:rPr>
        <w:t>、销售费用</w:t>
      </w:r>
      <w:bookmarkEnd w:id="321"/>
    </w:p>
    <w:p w14:paraId="15C30AB2" w14:textId="7864973A"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105FCD8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7E169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35AD7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4BBB5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上期发生额</w:t>
            </w:r>
          </w:p>
        </w:tc>
      </w:tr>
      <w:tr w:rsidR="006C011D" w:rsidRPr="005A284F" w14:paraId="1F0D2146"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65C9FB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工资</w:t>
            </w:r>
          </w:p>
        </w:tc>
        <w:tc>
          <w:tcPr>
            <w:tcW w:w="3213" w:type="dxa"/>
            <w:tcBorders>
              <w:top w:val="single" w:sz="2" w:space="0" w:color="auto"/>
              <w:left w:val="single" w:sz="2" w:space="0" w:color="auto"/>
              <w:bottom w:val="single" w:sz="2" w:space="0" w:color="auto"/>
              <w:right w:val="single" w:sz="2" w:space="0" w:color="auto"/>
            </w:tcBorders>
            <w:vAlign w:val="center"/>
          </w:tcPr>
          <w:p w14:paraId="6A6809F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30,715,915.73</w:t>
            </w:r>
          </w:p>
        </w:tc>
        <w:tc>
          <w:tcPr>
            <w:tcW w:w="3213" w:type="dxa"/>
            <w:tcBorders>
              <w:top w:val="single" w:sz="2" w:space="0" w:color="auto"/>
              <w:left w:val="single" w:sz="2" w:space="0" w:color="auto"/>
              <w:bottom w:val="single" w:sz="2" w:space="0" w:color="auto"/>
              <w:right w:val="single" w:sz="2" w:space="0" w:color="auto"/>
            </w:tcBorders>
            <w:vAlign w:val="center"/>
          </w:tcPr>
          <w:p w14:paraId="34543F4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33,637,888.58</w:t>
            </w:r>
          </w:p>
        </w:tc>
      </w:tr>
      <w:tr w:rsidR="006C011D" w:rsidRPr="005A284F" w14:paraId="1AE352A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5C24C0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广告费</w:t>
            </w:r>
          </w:p>
        </w:tc>
        <w:tc>
          <w:tcPr>
            <w:tcW w:w="3213" w:type="dxa"/>
            <w:tcBorders>
              <w:top w:val="single" w:sz="2" w:space="0" w:color="auto"/>
              <w:left w:val="single" w:sz="2" w:space="0" w:color="auto"/>
              <w:bottom w:val="single" w:sz="2" w:space="0" w:color="auto"/>
              <w:right w:val="single" w:sz="2" w:space="0" w:color="auto"/>
            </w:tcBorders>
            <w:vAlign w:val="center"/>
          </w:tcPr>
          <w:p w14:paraId="19EB7AF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46,480.77</w:t>
            </w:r>
          </w:p>
        </w:tc>
        <w:tc>
          <w:tcPr>
            <w:tcW w:w="3213" w:type="dxa"/>
            <w:tcBorders>
              <w:top w:val="single" w:sz="2" w:space="0" w:color="auto"/>
              <w:left w:val="single" w:sz="2" w:space="0" w:color="auto"/>
              <w:bottom w:val="single" w:sz="2" w:space="0" w:color="auto"/>
              <w:right w:val="single" w:sz="2" w:space="0" w:color="auto"/>
            </w:tcBorders>
            <w:vAlign w:val="center"/>
          </w:tcPr>
          <w:p w14:paraId="79D9281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9,296.12</w:t>
            </w:r>
          </w:p>
        </w:tc>
      </w:tr>
      <w:tr w:rsidR="006C011D" w:rsidRPr="005A284F" w14:paraId="503EB4EE"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DE6539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差旅费</w:t>
            </w:r>
          </w:p>
        </w:tc>
        <w:tc>
          <w:tcPr>
            <w:tcW w:w="3213" w:type="dxa"/>
            <w:tcBorders>
              <w:top w:val="single" w:sz="2" w:space="0" w:color="auto"/>
              <w:left w:val="single" w:sz="2" w:space="0" w:color="auto"/>
              <w:bottom w:val="single" w:sz="2" w:space="0" w:color="auto"/>
              <w:right w:val="single" w:sz="2" w:space="0" w:color="auto"/>
            </w:tcBorders>
            <w:vAlign w:val="center"/>
          </w:tcPr>
          <w:p w14:paraId="2821A4E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1,152,161.54</w:t>
            </w:r>
          </w:p>
        </w:tc>
        <w:tc>
          <w:tcPr>
            <w:tcW w:w="3213" w:type="dxa"/>
            <w:tcBorders>
              <w:top w:val="single" w:sz="2" w:space="0" w:color="auto"/>
              <w:left w:val="single" w:sz="2" w:space="0" w:color="auto"/>
              <w:bottom w:val="single" w:sz="2" w:space="0" w:color="auto"/>
              <w:right w:val="single" w:sz="2" w:space="0" w:color="auto"/>
            </w:tcBorders>
            <w:vAlign w:val="center"/>
          </w:tcPr>
          <w:p w14:paraId="2DC095C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1,302,573.96</w:t>
            </w:r>
          </w:p>
        </w:tc>
      </w:tr>
      <w:tr w:rsidR="006C011D" w:rsidRPr="005A284F" w14:paraId="7072B944"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0AFECC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折旧费</w:t>
            </w:r>
          </w:p>
        </w:tc>
        <w:tc>
          <w:tcPr>
            <w:tcW w:w="3213" w:type="dxa"/>
            <w:tcBorders>
              <w:top w:val="single" w:sz="2" w:space="0" w:color="auto"/>
              <w:left w:val="single" w:sz="2" w:space="0" w:color="auto"/>
              <w:bottom w:val="single" w:sz="2" w:space="0" w:color="auto"/>
              <w:right w:val="single" w:sz="2" w:space="0" w:color="auto"/>
            </w:tcBorders>
            <w:vAlign w:val="center"/>
          </w:tcPr>
          <w:p w14:paraId="481C1BE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223,960.29</w:t>
            </w:r>
          </w:p>
        </w:tc>
        <w:tc>
          <w:tcPr>
            <w:tcW w:w="3213" w:type="dxa"/>
            <w:tcBorders>
              <w:top w:val="single" w:sz="2" w:space="0" w:color="auto"/>
              <w:left w:val="single" w:sz="2" w:space="0" w:color="auto"/>
              <w:bottom w:val="single" w:sz="2" w:space="0" w:color="auto"/>
              <w:right w:val="single" w:sz="2" w:space="0" w:color="auto"/>
            </w:tcBorders>
            <w:vAlign w:val="center"/>
          </w:tcPr>
          <w:p w14:paraId="79669BC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266,764.80</w:t>
            </w:r>
          </w:p>
        </w:tc>
      </w:tr>
      <w:tr w:rsidR="006C011D" w:rsidRPr="005A284F" w14:paraId="0283CFE0"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C3A6AB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租赁费</w:t>
            </w:r>
          </w:p>
        </w:tc>
        <w:tc>
          <w:tcPr>
            <w:tcW w:w="3213" w:type="dxa"/>
            <w:tcBorders>
              <w:top w:val="single" w:sz="2" w:space="0" w:color="auto"/>
              <w:left w:val="single" w:sz="2" w:space="0" w:color="auto"/>
              <w:bottom w:val="single" w:sz="2" w:space="0" w:color="auto"/>
              <w:right w:val="single" w:sz="2" w:space="0" w:color="auto"/>
            </w:tcBorders>
            <w:vAlign w:val="center"/>
          </w:tcPr>
          <w:p w14:paraId="681C3EC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1,130,644.49</w:t>
            </w:r>
          </w:p>
        </w:tc>
        <w:tc>
          <w:tcPr>
            <w:tcW w:w="3213" w:type="dxa"/>
            <w:tcBorders>
              <w:top w:val="single" w:sz="2" w:space="0" w:color="auto"/>
              <w:left w:val="single" w:sz="2" w:space="0" w:color="auto"/>
              <w:bottom w:val="single" w:sz="2" w:space="0" w:color="auto"/>
              <w:right w:val="single" w:sz="2" w:space="0" w:color="auto"/>
            </w:tcBorders>
            <w:vAlign w:val="center"/>
          </w:tcPr>
          <w:p w14:paraId="1EA030F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1,066,905.14</w:t>
            </w:r>
          </w:p>
        </w:tc>
      </w:tr>
      <w:tr w:rsidR="006C011D" w:rsidRPr="005A284F" w14:paraId="3705D7E0"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5CA6AD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仓储费</w:t>
            </w:r>
          </w:p>
        </w:tc>
        <w:tc>
          <w:tcPr>
            <w:tcW w:w="3213" w:type="dxa"/>
            <w:tcBorders>
              <w:top w:val="single" w:sz="2" w:space="0" w:color="auto"/>
              <w:left w:val="single" w:sz="2" w:space="0" w:color="auto"/>
              <w:bottom w:val="single" w:sz="2" w:space="0" w:color="auto"/>
              <w:right w:val="single" w:sz="2" w:space="0" w:color="auto"/>
            </w:tcBorders>
            <w:vAlign w:val="center"/>
          </w:tcPr>
          <w:p w14:paraId="11708E6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548,802.19</w:t>
            </w:r>
          </w:p>
        </w:tc>
        <w:tc>
          <w:tcPr>
            <w:tcW w:w="3213" w:type="dxa"/>
            <w:tcBorders>
              <w:top w:val="single" w:sz="2" w:space="0" w:color="auto"/>
              <w:left w:val="single" w:sz="2" w:space="0" w:color="auto"/>
              <w:bottom w:val="single" w:sz="2" w:space="0" w:color="auto"/>
              <w:right w:val="single" w:sz="2" w:space="0" w:color="auto"/>
            </w:tcBorders>
            <w:vAlign w:val="center"/>
          </w:tcPr>
          <w:p w14:paraId="2612B71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382,707.93</w:t>
            </w:r>
          </w:p>
        </w:tc>
      </w:tr>
      <w:tr w:rsidR="006C011D" w:rsidRPr="005A284F" w14:paraId="4385DBD1"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63777E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服务费</w:t>
            </w:r>
          </w:p>
        </w:tc>
        <w:tc>
          <w:tcPr>
            <w:tcW w:w="3213" w:type="dxa"/>
            <w:tcBorders>
              <w:top w:val="single" w:sz="2" w:space="0" w:color="auto"/>
              <w:left w:val="single" w:sz="2" w:space="0" w:color="auto"/>
              <w:bottom w:val="single" w:sz="2" w:space="0" w:color="auto"/>
              <w:right w:val="single" w:sz="2" w:space="0" w:color="auto"/>
            </w:tcBorders>
            <w:vAlign w:val="center"/>
          </w:tcPr>
          <w:p w14:paraId="48FFB65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8,701,598.27</w:t>
            </w:r>
          </w:p>
        </w:tc>
        <w:tc>
          <w:tcPr>
            <w:tcW w:w="3213" w:type="dxa"/>
            <w:tcBorders>
              <w:top w:val="single" w:sz="2" w:space="0" w:color="auto"/>
              <w:left w:val="single" w:sz="2" w:space="0" w:color="auto"/>
              <w:bottom w:val="single" w:sz="2" w:space="0" w:color="auto"/>
              <w:right w:val="single" w:sz="2" w:space="0" w:color="auto"/>
            </w:tcBorders>
            <w:vAlign w:val="center"/>
          </w:tcPr>
          <w:p w14:paraId="1503880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11,414,289.81</w:t>
            </w:r>
          </w:p>
        </w:tc>
      </w:tr>
      <w:tr w:rsidR="006C011D" w:rsidRPr="005A284F" w14:paraId="611D72F9"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14EBD0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装卸费</w:t>
            </w:r>
          </w:p>
        </w:tc>
        <w:tc>
          <w:tcPr>
            <w:tcW w:w="3213" w:type="dxa"/>
            <w:tcBorders>
              <w:top w:val="single" w:sz="2" w:space="0" w:color="auto"/>
              <w:left w:val="single" w:sz="2" w:space="0" w:color="auto"/>
              <w:bottom w:val="single" w:sz="2" w:space="0" w:color="auto"/>
              <w:right w:val="single" w:sz="2" w:space="0" w:color="auto"/>
            </w:tcBorders>
            <w:vAlign w:val="center"/>
          </w:tcPr>
          <w:p w14:paraId="44B5FEF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1,372.21</w:t>
            </w:r>
          </w:p>
        </w:tc>
        <w:tc>
          <w:tcPr>
            <w:tcW w:w="3213" w:type="dxa"/>
            <w:tcBorders>
              <w:top w:val="single" w:sz="2" w:space="0" w:color="auto"/>
              <w:left w:val="single" w:sz="2" w:space="0" w:color="auto"/>
              <w:bottom w:val="single" w:sz="2" w:space="0" w:color="auto"/>
              <w:right w:val="single" w:sz="2" w:space="0" w:color="auto"/>
            </w:tcBorders>
            <w:vAlign w:val="center"/>
          </w:tcPr>
          <w:p w14:paraId="15044D7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7,423.78</w:t>
            </w:r>
          </w:p>
        </w:tc>
      </w:tr>
      <w:tr w:rsidR="006C011D" w:rsidRPr="005A284F" w14:paraId="48FEF6A2"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1D0ADF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修理费</w:t>
            </w:r>
          </w:p>
        </w:tc>
        <w:tc>
          <w:tcPr>
            <w:tcW w:w="3213" w:type="dxa"/>
            <w:tcBorders>
              <w:top w:val="single" w:sz="2" w:space="0" w:color="auto"/>
              <w:left w:val="single" w:sz="2" w:space="0" w:color="auto"/>
              <w:bottom w:val="single" w:sz="2" w:space="0" w:color="auto"/>
              <w:right w:val="single" w:sz="2" w:space="0" w:color="auto"/>
            </w:tcBorders>
            <w:vAlign w:val="center"/>
          </w:tcPr>
          <w:p w14:paraId="7DAFECE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9,495.27</w:t>
            </w:r>
          </w:p>
        </w:tc>
        <w:tc>
          <w:tcPr>
            <w:tcW w:w="3213" w:type="dxa"/>
            <w:tcBorders>
              <w:top w:val="single" w:sz="2" w:space="0" w:color="auto"/>
              <w:left w:val="single" w:sz="2" w:space="0" w:color="auto"/>
              <w:bottom w:val="single" w:sz="2" w:space="0" w:color="auto"/>
              <w:right w:val="single" w:sz="2" w:space="0" w:color="auto"/>
            </w:tcBorders>
            <w:vAlign w:val="center"/>
          </w:tcPr>
          <w:p w14:paraId="6120F90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10,635.69</w:t>
            </w:r>
          </w:p>
        </w:tc>
      </w:tr>
      <w:tr w:rsidR="006C011D" w:rsidRPr="005A284F" w14:paraId="01D35C24"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848844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1108B44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7,186,567.64</w:t>
            </w:r>
          </w:p>
        </w:tc>
        <w:tc>
          <w:tcPr>
            <w:tcW w:w="3213" w:type="dxa"/>
            <w:tcBorders>
              <w:top w:val="single" w:sz="2" w:space="0" w:color="auto"/>
              <w:left w:val="single" w:sz="2" w:space="0" w:color="auto"/>
              <w:bottom w:val="single" w:sz="2" w:space="0" w:color="auto"/>
              <w:right w:val="single" w:sz="2" w:space="0" w:color="auto"/>
            </w:tcBorders>
            <w:vAlign w:val="center"/>
          </w:tcPr>
          <w:p w14:paraId="15F8B8B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9,182,026.31</w:t>
            </w:r>
          </w:p>
        </w:tc>
      </w:tr>
      <w:tr w:rsidR="006C011D" w:rsidRPr="005A284F" w14:paraId="11EB955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8276C5"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3C13250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49,716,998.40</w:t>
            </w:r>
          </w:p>
        </w:tc>
        <w:tc>
          <w:tcPr>
            <w:tcW w:w="3213" w:type="dxa"/>
            <w:tcBorders>
              <w:top w:val="single" w:sz="2" w:space="0" w:color="auto"/>
              <w:left w:val="single" w:sz="2" w:space="0" w:color="auto"/>
              <w:bottom w:val="single" w:sz="2" w:space="0" w:color="auto"/>
              <w:right w:val="single" w:sz="2" w:space="0" w:color="auto"/>
            </w:tcBorders>
            <w:vAlign w:val="center"/>
          </w:tcPr>
          <w:p w14:paraId="4581717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57,280,512.12</w:t>
            </w:r>
          </w:p>
        </w:tc>
      </w:tr>
    </w:tbl>
    <w:p w14:paraId="15CDD92B"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w:t>
      </w:r>
    </w:p>
    <w:p w14:paraId="15110BEF" w14:textId="77777777" w:rsidR="000309B5" w:rsidRPr="005A284F" w:rsidRDefault="00000000">
      <w:pPr>
        <w:pStyle w:val="a3"/>
        <w:divId w:val="1957901818"/>
        <w:rPr>
          <w:rFonts w:ascii="Times New Roman" w:hAnsi="Times New Roman" w:cs="Times New Roman"/>
          <w:sz w:val="18"/>
          <w:szCs w:val="18"/>
        </w:rPr>
      </w:pPr>
      <w:r w:rsidRPr="005A284F">
        <w:rPr>
          <w:rFonts w:ascii="Times New Roman" w:hAnsi="Times New Roman" w:cs="Times New Roman"/>
          <w:sz w:val="18"/>
          <w:szCs w:val="18"/>
        </w:rPr>
        <w:t>无</w:t>
      </w:r>
    </w:p>
    <w:p w14:paraId="4A0383F9" w14:textId="77777777" w:rsidR="006C011D" w:rsidRPr="005A284F" w:rsidRDefault="00000000">
      <w:pPr>
        <w:pStyle w:val="3"/>
        <w:spacing w:line="280" w:lineRule="exact"/>
        <w:jc w:val="left"/>
        <w:rPr>
          <w:rFonts w:ascii="Times New Roman" w:hAnsi="Times New Roman" w:cs="Times New Roman"/>
          <w:b/>
          <w:bCs/>
        </w:rPr>
      </w:pPr>
      <w:bookmarkStart w:id="322" w:name="_Toc989254"/>
      <w:r w:rsidRPr="005A284F">
        <w:rPr>
          <w:rFonts w:ascii="Times New Roman" w:hAnsi="Times New Roman" w:cs="Times New Roman"/>
          <w:b/>
          <w:bCs/>
        </w:rPr>
        <w:t>65</w:t>
      </w:r>
      <w:r w:rsidRPr="005A284F">
        <w:rPr>
          <w:rFonts w:ascii="Times New Roman" w:hAnsi="Times New Roman" w:cs="Times New Roman"/>
          <w:b/>
          <w:bCs/>
        </w:rPr>
        <w:t>、研发费用</w:t>
      </w:r>
      <w:bookmarkEnd w:id="322"/>
    </w:p>
    <w:p w14:paraId="03EAD17C"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4DF7697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73365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F8C5E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CE0DE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上期发生额</w:t>
            </w:r>
          </w:p>
        </w:tc>
      </w:tr>
      <w:tr w:rsidR="006C011D" w:rsidRPr="005A284F" w14:paraId="70E0A9C1"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7952C3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原材料</w:t>
            </w:r>
          </w:p>
        </w:tc>
        <w:tc>
          <w:tcPr>
            <w:tcW w:w="3213" w:type="dxa"/>
            <w:tcBorders>
              <w:top w:val="single" w:sz="2" w:space="0" w:color="auto"/>
              <w:left w:val="single" w:sz="2" w:space="0" w:color="auto"/>
              <w:bottom w:val="single" w:sz="2" w:space="0" w:color="auto"/>
              <w:right w:val="single" w:sz="2" w:space="0" w:color="auto"/>
            </w:tcBorders>
            <w:vAlign w:val="center"/>
          </w:tcPr>
          <w:p w14:paraId="20CEA9E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760,651.53</w:t>
            </w:r>
          </w:p>
        </w:tc>
        <w:tc>
          <w:tcPr>
            <w:tcW w:w="3213" w:type="dxa"/>
            <w:tcBorders>
              <w:top w:val="single" w:sz="2" w:space="0" w:color="auto"/>
              <w:left w:val="single" w:sz="2" w:space="0" w:color="auto"/>
              <w:bottom w:val="single" w:sz="2" w:space="0" w:color="auto"/>
              <w:right w:val="single" w:sz="2" w:space="0" w:color="auto"/>
            </w:tcBorders>
            <w:vAlign w:val="center"/>
          </w:tcPr>
          <w:p w14:paraId="3358CDE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562,096.61</w:t>
            </w:r>
          </w:p>
        </w:tc>
      </w:tr>
      <w:tr w:rsidR="006C011D" w:rsidRPr="005A284F" w14:paraId="65CC56E4"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5DD34D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工资费用</w:t>
            </w:r>
          </w:p>
        </w:tc>
        <w:tc>
          <w:tcPr>
            <w:tcW w:w="3213" w:type="dxa"/>
            <w:tcBorders>
              <w:top w:val="single" w:sz="2" w:space="0" w:color="auto"/>
              <w:left w:val="single" w:sz="2" w:space="0" w:color="auto"/>
              <w:bottom w:val="single" w:sz="2" w:space="0" w:color="auto"/>
              <w:right w:val="single" w:sz="2" w:space="0" w:color="auto"/>
            </w:tcBorders>
            <w:vAlign w:val="center"/>
          </w:tcPr>
          <w:p w14:paraId="4241135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2,733,029.12</w:t>
            </w:r>
          </w:p>
        </w:tc>
        <w:tc>
          <w:tcPr>
            <w:tcW w:w="3213" w:type="dxa"/>
            <w:tcBorders>
              <w:top w:val="single" w:sz="2" w:space="0" w:color="auto"/>
              <w:left w:val="single" w:sz="2" w:space="0" w:color="auto"/>
              <w:bottom w:val="single" w:sz="2" w:space="0" w:color="auto"/>
              <w:right w:val="single" w:sz="2" w:space="0" w:color="auto"/>
            </w:tcBorders>
            <w:vAlign w:val="center"/>
          </w:tcPr>
          <w:p w14:paraId="558EE3F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1,877,228.26</w:t>
            </w:r>
          </w:p>
        </w:tc>
      </w:tr>
      <w:tr w:rsidR="006C011D" w:rsidRPr="005A284F" w14:paraId="4AE62C6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B2E52B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折旧费</w:t>
            </w:r>
          </w:p>
        </w:tc>
        <w:tc>
          <w:tcPr>
            <w:tcW w:w="3213" w:type="dxa"/>
            <w:tcBorders>
              <w:top w:val="single" w:sz="2" w:space="0" w:color="auto"/>
              <w:left w:val="single" w:sz="2" w:space="0" w:color="auto"/>
              <w:bottom w:val="single" w:sz="2" w:space="0" w:color="auto"/>
              <w:right w:val="single" w:sz="2" w:space="0" w:color="auto"/>
            </w:tcBorders>
            <w:vAlign w:val="center"/>
          </w:tcPr>
          <w:p w14:paraId="6B27901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467,097.82</w:t>
            </w:r>
          </w:p>
        </w:tc>
        <w:tc>
          <w:tcPr>
            <w:tcW w:w="3213" w:type="dxa"/>
            <w:tcBorders>
              <w:top w:val="single" w:sz="2" w:space="0" w:color="auto"/>
              <w:left w:val="single" w:sz="2" w:space="0" w:color="auto"/>
              <w:bottom w:val="single" w:sz="2" w:space="0" w:color="auto"/>
              <w:right w:val="single" w:sz="2" w:space="0" w:color="auto"/>
            </w:tcBorders>
            <w:vAlign w:val="center"/>
          </w:tcPr>
          <w:p w14:paraId="67D0A8B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449,175.95</w:t>
            </w:r>
          </w:p>
        </w:tc>
      </w:tr>
      <w:tr w:rsidR="006C011D" w:rsidRPr="005A284F" w14:paraId="698CAF37"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B42722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差旅费</w:t>
            </w:r>
          </w:p>
        </w:tc>
        <w:tc>
          <w:tcPr>
            <w:tcW w:w="3213" w:type="dxa"/>
            <w:tcBorders>
              <w:top w:val="single" w:sz="2" w:space="0" w:color="auto"/>
              <w:left w:val="single" w:sz="2" w:space="0" w:color="auto"/>
              <w:bottom w:val="single" w:sz="2" w:space="0" w:color="auto"/>
              <w:right w:val="single" w:sz="2" w:space="0" w:color="auto"/>
            </w:tcBorders>
            <w:vAlign w:val="center"/>
          </w:tcPr>
          <w:p w14:paraId="3F21992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141,454.70</w:t>
            </w:r>
          </w:p>
        </w:tc>
        <w:tc>
          <w:tcPr>
            <w:tcW w:w="3213" w:type="dxa"/>
            <w:tcBorders>
              <w:top w:val="single" w:sz="2" w:space="0" w:color="auto"/>
              <w:left w:val="single" w:sz="2" w:space="0" w:color="auto"/>
              <w:bottom w:val="single" w:sz="2" w:space="0" w:color="auto"/>
              <w:right w:val="single" w:sz="2" w:space="0" w:color="auto"/>
            </w:tcBorders>
            <w:vAlign w:val="center"/>
          </w:tcPr>
          <w:p w14:paraId="06FE6C4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136,275.81</w:t>
            </w:r>
          </w:p>
        </w:tc>
      </w:tr>
      <w:tr w:rsidR="006C011D" w:rsidRPr="005A284F" w14:paraId="06D319A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52ABF8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其他费用</w:t>
            </w:r>
          </w:p>
        </w:tc>
        <w:tc>
          <w:tcPr>
            <w:tcW w:w="3213" w:type="dxa"/>
            <w:tcBorders>
              <w:top w:val="single" w:sz="2" w:space="0" w:color="auto"/>
              <w:left w:val="single" w:sz="2" w:space="0" w:color="auto"/>
              <w:bottom w:val="single" w:sz="2" w:space="0" w:color="auto"/>
              <w:right w:val="single" w:sz="2" w:space="0" w:color="auto"/>
            </w:tcBorders>
            <w:vAlign w:val="center"/>
          </w:tcPr>
          <w:p w14:paraId="6401684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206,921.53</w:t>
            </w:r>
          </w:p>
        </w:tc>
        <w:tc>
          <w:tcPr>
            <w:tcW w:w="3213" w:type="dxa"/>
            <w:tcBorders>
              <w:top w:val="single" w:sz="2" w:space="0" w:color="auto"/>
              <w:left w:val="single" w:sz="2" w:space="0" w:color="auto"/>
              <w:bottom w:val="single" w:sz="2" w:space="0" w:color="auto"/>
              <w:right w:val="single" w:sz="2" w:space="0" w:color="auto"/>
            </w:tcBorders>
            <w:vAlign w:val="center"/>
          </w:tcPr>
          <w:p w14:paraId="2509DF9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112,331.46</w:t>
            </w:r>
          </w:p>
        </w:tc>
      </w:tr>
      <w:tr w:rsidR="006C011D" w:rsidRPr="005A284F" w14:paraId="79132D2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8C73FC"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64A739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4,309,154.70</w:t>
            </w:r>
          </w:p>
        </w:tc>
        <w:tc>
          <w:tcPr>
            <w:tcW w:w="3213" w:type="dxa"/>
            <w:tcBorders>
              <w:top w:val="single" w:sz="2" w:space="0" w:color="auto"/>
              <w:left w:val="single" w:sz="2" w:space="0" w:color="auto"/>
              <w:bottom w:val="single" w:sz="2" w:space="0" w:color="auto"/>
              <w:right w:val="single" w:sz="2" w:space="0" w:color="auto"/>
            </w:tcBorders>
            <w:vAlign w:val="center"/>
          </w:tcPr>
          <w:p w14:paraId="7141818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3,137,108.09</w:t>
            </w:r>
          </w:p>
        </w:tc>
      </w:tr>
    </w:tbl>
    <w:p w14:paraId="7F7D40A5" w14:textId="07E2EC32" w:rsidR="006C011D" w:rsidRDefault="00000000" w:rsidP="001C2948">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w:t>
      </w:r>
    </w:p>
    <w:p w14:paraId="408CCE35" w14:textId="2BA0423C" w:rsidR="001C2948" w:rsidRPr="001C2948" w:rsidRDefault="001C2948" w:rsidP="001C2948">
      <w:pPr>
        <w:pStyle w:val="a3"/>
        <w:rPr>
          <w:rFonts w:ascii="Times New Roman" w:hAnsi="Times New Roman" w:cs="Times New Roman"/>
          <w:sz w:val="18"/>
          <w:szCs w:val="18"/>
        </w:rPr>
      </w:pPr>
      <w:r w:rsidRPr="005A284F">
        <w:rPr>
          <w:rFonts w:ascii="Times New Roman" w:hAnsi="Times New Roman" w:cs="Times New Roman"/>
          <w:sz w:val="18"/>
          <w:szCs w:val="18"/>
        </w:rPr>
        <w:t>无</w:t>
      </w:r>
    </w:p>
    <w:p w14:paraId="03260922" w14:textId="77777777" w:rsidR="006C011D" w:rsidRPr="005A284F" w:rsidRDefault="00000000">
      <w:pPr>
        <w:pStyle w:val="3"/>
        <w:spacing w:line="280" w:lineRule="exact"/>
        <w:jc w:val="left"/>
        <w:rPr>
          <w:rFonts w:ascii="Times New Roman" w:hAnsi="Times New Roman" w:cs="Times New Roman"/>
          <w:b/>
          <w:bCs/>
        </w:rPr>
      </w:pPr>
      <w:bookmarkStart w:id="323" w:name="_Toc989255"/>
      <w:r w:rsidRPr="005A284F">
        <w:rPr>
          <w:rFonts w:ascii="Times New Roman" w:hAnsi="Times New Roman" w:cs="Times New Roman"/>
          <w:b/>
          <w:bCs/>
        </w:rPr>
        <w:t>66</w:t>
      </w:r>
      <w:r w:rsidRPr="005A284F">
        <w:rPr>
          <w:rFonts w:ascii="Times New Roman" w:hAnsi="Times New Roman" w:cs="Times New Roman"/>
          <w:b/>
          <w:bCs/>
        </w:rPr>
        <w:t>、财务费用</w:t>
      </w:r>
      <w:bookmarkEnd w:id="323"/>
    </w:p>
    <w:p w14:paraId="65391552"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6A53CE6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F3DEE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BC2FC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81743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上期发生额</w:t>
            </w:r>
          </w:p>
        </w:tc>
      </w:tr>
      <w:tr w:rsidR="006C011D" w:rsidRPr="005A284F" w14:paraId="1C6AAC9D"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C22F5D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14:paraId="543E864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67,209,757.96</w:t>
            </w:r>
          </w:p>
        </w:tc>
        <w:tc>
          <w:tcPr>
            <w:tcW w:w="3213" w:type="dxa"/>
            <w:tcBorders>
              <w:top w:val="single" w:sz="2" w:space="0" w:color="auto"/>
              <w:left w:val="single" w:sz="2" w:space="0" w:color="auto"/>
              <w:bottom w:val="single" w:sz="2" w:space="0" w:color="auto"/>
              <w:right w:val="single" w:sz="2" w:space="0" w:color="auto"/>
            </w:tcBorders>
            <w:vAlign w:val="center"/>
          </w:tcPr>
          <w:p w14:paraId="7DB1788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54,880,293.96</w:t>
            </w:r>
          </w:p>
        </w:tc>
      </w:tr>
      <w:tr w:rsidR="006C011D" w:rsidRPr="005A284F" w14:paraId="72C0AF96"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36CD26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减：利息收入</w:t>
            </w:r>
          </w:p>
        </w:tc>
        <w:tc>
          <w:tcPr>
            <w:tcW w:w="3213" w:type="dxa"/>
            <w:tcBorders>
              <w:top w:val="single" w:sz="2" w:space="0" w:color="auto"/>
              <w:left w:val="single" w:sz="2" w:space="0" w:color="auto"/>
              <w:bottom w:val="single" w:sz="2" w:space="0" w:color="auto"/>
              <w:right w:val="single" w:sz="2" w:space="0" w:color="auto"/>
            </w:tcBorders>
            <w:vAlign w:val="center"/>
          </w:tcPr>
          <w:p w14:paraId="40CFE12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-6,371,203.62</w:t>
            </w:r>
          </w:p>
        </w:tc>
        <w:tc>
          <w:tcPr>
            <w:tcW w:w="3213" w:type="dxa"/>
            <w:tcBorders>
              <w:top w:val="single" w:sz="2" w:space="0" w:color="auto"/>
              <w:left w:val="single" w:sz="2" w:space="0" w:color="auto"/>
              <w:bottom w:val="single" w:sz="2" w:space="0" w:color="auto"/>
              <w:right w:val="single" w:sz="2" w:space="0" w:color="auto"/>
            </w:tcBorders>
            <w:vAlign w:val="center"/>
          </w:tcPr>
          <w:p w14:paraId="01FD700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-14,682,370.19</w:t>
            </w:r>
          </w:p>
        </w:tc>
      </w:tr>
      <w:tr w:rsidR="006C011D" w:rsidRPr="005A284F" w14:paraId="7BE5D6F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51CF9E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手续费支出</w:t>
            </w:r>
          </w:p>
        </w:tc>
        <w:tc>
          <w:tcPr>
            <w:tcW w:w="3213" w:type="dxa"/>
            <w:tcBorders>
              <w:top w:val="single" w:sz="2" w:space="0" w:color="auto"/>
              <w:left w:val="single" w:sz="2" w:space="0" w:color="auto"/>
              <w:bottom w:val="single" w:sz="2" w:space="0" w:color="auto"/>
              <w:right w:val="single" w:sz="2" w:space="0" w:color="auto"/>
            </w:tcBorders>
            <w:vAlign w:val="center"/>
          </w:tcPr>
          <w:p w14:paraId="23AC707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956,984.62</w:t>
            </w:r>
          </w:p>
        </w:tc>
        <w:tc>
          <w:tcPr>
            <w:tcW w:w="3213" w:type="dxa"/>
            <w:tcBorders>
              <w:top w:val="single" w:sz="2" w:space="0" w:color="auto"/>
              <w:left w:val="single" w:sz="2" w:space="0" w:color="auto"/>
              <w:bottom w:val="single" w:sz="2" w:space="0" w:color="auto"/>
              <w:right w:val="single" w:sz="2" w:space="0" w:color="auto"/>
            </w:tcBorders>
            <w:vAlign w:val="center"/>
          </w:tcPr>
          <w:p w14:paraId="2963FCC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1,418,346.30</w:t>
            </w:r>
          </w:p>
        </w:tc>
      </w:tr>
      <w:tr w:rsidR="006C011D" w:rsidRPr="005A284F" w14:paraId="05D12A8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B752FD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汇兑损益</w:t>
            </w:r>
          </w:p>
        </w:tc>
        <w:tc>
          <w:tcPr>
            <w:tcW w:w="3213" w:type="dxa"/>
            <w:tcBorders>
              <w:top w:val="single" w:sz="2" w:space="0" w:color="auto"/>
              <w:left w:val="single" w:sz="2" w:space="0" w:color="auto"/>
              <w:bottom w:val="single" w:sz="2" w:space="0" w:color="auto"/>
              <w:right w:val="single" w:sz="2" w:space="0" w:color="auto"/>
            </w:tcBorders>
            <w:vAlign w:val="center"/>
          </w:tcPr>
          <w:p w14:paraId="19B9A1E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20,745.52</w:t>
            </w:r>
          </w:p>
        </w:tc>
        <w:tc>
          <w:tcPr>
            <w:tcW w:w="3213" w:type="dxa"/>
            <w:tcBorders>
              <w:top w:val="single" w:sz="2" w:space="0" w:color="auto"/>
              <w:left w:val="single" w:sz="2" w:space="0" w:color="auto"/>
              <w:bottom w:val="single" w:sz="2" w:space="0" w:color="auto"/>
              <w:right w:val="single" w:sz="2" w:space="0" w:color="auto"/>
            </w:tcBorders>
            <w:vAlign w:val="center"/>
          </w:tcPr>
          <w:p w14:paraId="0185D1E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-33,195.49</w:t>
            </w:r>
          </w:p>
        </w:tc>
      </w:tr>
      <w:tr w:rsidR="006C011D" w:rsidRPr="005A284F" w14:paraId="322F431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58968B"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1594254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61,816,284.48</w:t>
            </w:r>
          </w:p>
        </w:tc>
        <w:tc>
          <w:tcPr>
            <w:tcW w:w="3213" w:type="dxa"/>
            <w:tcBorders>
              <w:top w:val="single" w:sz="2" w:space="0" w:color="auto"/>
              <w:left w:val="single" w:sz="2" w:space="0" w:color="auto"/>
              <w:bottom w:val="single" w:sz="2" w:space="0" w:color="auto"/>
              <w:right w:val="single" w:sz="2" w:space="0" w:color="auto"/>
            </w:tcBorders>
            <w:vAlign w:val="center"/>
          </w:tcPr>
          <w:p w14:paraId="6F65DF2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41,583,074.58</w:t>
            </w:r>
          </w:p>
        </w:tc>
      </w:tr>
    </w:tbl>
    <w:p w14:paraId="5A2CEA45"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w:t>
      </w:r>
    </w:p>
    <w:p w14:paraId="08244604" w14:textId="77777777" w:rsidR="000309B5" w:rsidRPr="005A284F" w:rsidRDefault="00000000">
      <w:pPr>
        <w:pStyle w:val="a3"/>
        <w:divId w:val="226495929"/>
        <w:rPr>
          <w:rFonts w:ascii="Times New Roman" w:hAnsi="Times New Roman" w:cs="Times New Roman"/>
          <w:sz w:val="18"/>
          <w:szCs w:val="18"/>
        </w:rPr>
      </w:pPr>
      <w:r w:rsidRPr="005A284F">
        <w:rPr>
          <w:rFonts w:ascii="Times New Roman" w:hAnsi="Times New Roman" w:cs="Times New Roman"/>
          <w:sz w:val="18"/>
          <w:szCs w:val="18"/>
        </w:rPr>
        <w:t>无</w:t>
      </w:r>
    </w:p>
    <w:p w14:paraId="729EBEF9" w14:textId="77777777" w:rsidR="006C011D" w:rsidRPr="005A284F" w:rsidRDefault="00000000">
      <w:pPr>
        <w:pStyle w:val="3"/>
        <w:spacing w:line="280" w:lineRule="exact"/>
        <w:jc w:val="left"/>
        <w:rPr>
          <w:rFonts w:ascii="Times New Roman" w:hAnsi="Times New Roman" w:cs="Times New Roman"/>
          <w:b/>
          <w:bCs/>
        </w:rPr>
      </w:pPr>
      <w:bookmarkStart w:id="324" w:name="_Toc989256"/>
      <w:r w:rsidRPr="005A284F">
        <w:rPr>
          <w:rFonts w:ascii="Times New Roman" w:hAnsi="Times New Roman" w:cs="Times New Roman"/>
          <w:b/>
          <w:bCs/>
        </w:rPr>
        <w:lastRenderedPageBreak/>
        <w:t>67</w:t>
      </w:r>
      <w:r w:rsidRPr="005A284F">
        <w:rPr>
          <w:rFonts w:ascii="Times New Roman" w:hAnsi="Times New Roman" w:cs="Times New Roman"/>
          <w:b/>
          <w:bCs/>
        </w:rPr>
        <w:t>、其他收益</w:t>
      </w:r>
      <w:bookmarkEnd w:id="324"/>
    </w:p>
    <w:p w14:paraId="3E929E45" w14:textId="77777777" w:rsidR="002D4CF5" w:rsidRDefault="002D4CF5">
      <w:pPr>
        <w:spacing w:before="40" w:after="40" w:line="240" w:lineRule="exact"/>
        <w:jc w:val="right"/>
        <w:rPr>
          <w:rFonts w:ascii="Times New Roman" w:eastAsia="宋体" w:hAnsi="Times New Roman" w:cs="Times New Roman"/>
          <w:sz w:val="18"/>
          <w:szCs w:val="18"/>
        </w:rPr>
      </w:pPr>
    </w:p>
    <w:p w14:paraId="4F114726" w14:textId="0746B4CC"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4CEBE84A"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E35DD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产生其他收益的来源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93BD3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CE1AE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上期发生额</w:t>
            </w:r>
          </w:p>
        </w:tc>
      </w:tr>
      <w:tr w:rsidR="006C011D" w:rsidRPr="005A284F" w14:paraId="1F1958A2"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vAlign w:val="center"/>
          </w:tcPr>
          <w:p w14:paraId="113B3D5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与日常活动相关的政府补助</w:t>
            </w:r>
          </w:p>
        </w:tc>
        <w:tc>
          <w:tcPr>
            <w:tcW w:w="3213" w:type="dxa"/>
            <w:tcBorders>
              <w:top w:val="single" w:sz="2" w:space="0" w:color="auto"/>
              <w:left w:val="single" w:sz="2" w:space="0" w:color="auto"/>
              <w:bottom w:val="single" w:sz="2" w:space="0" w:color="auto"/>
              <w:right w:val="single" w:sz="2" w:space="0" w:color="auto"/>
            </w:tcBorders>
            <w:vAlign w:val="center"/>
          </w:tcPr>
          <w:p w14:paraId="28ACAAF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4,239,031.26</w:t>
            </w:r>
          </w:p>
        </w:tc>
        <w:tc>
          <w:tcPr>
            <w:tcW w:w="3213" w:type="dxa"/>
            <w:tcBorders>
              <w:top w:val="single" w:sz="2" w:space="0" w:color="auto"/>
              <w:left w:val="single" w:sz="2" w:space="0" w:color="auto"/>
              <w:bottom w:val="single" w:sz="2" w:space="0" w:color="auto"/>
              <w:right w:val="single" w:sz="2" w:space="0" w:color="auto"/>
            </w:tcBorders>
            <w:vAlign w:val="center"/>
          </w:tcPr>
          <w:p w14:paraId="03278B5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6,969,253.10</w:t>
            </w:r>
          </w:p>
        </w:tc>
      </w:tr>
      <w:tr w:rsidR="006C011D" w:rsidRPr="005A284F" w14:paraId="4C0C52DD"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vAlign w:val="center"/>
          </w:tcPr>
          <w:p w14:paraId="2A69F20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代扣个人所得税手续费返回</w:t>
            </w:r>
          </w:p>
        </w:tc>
        <w:tc>
          <w:tcPr>
            <w:tcW w:w="3213" w:type="dxa"/>
            <w:tcBorders>
              <w:top w:val="single" w:sz="2" w:space="0" w:color="auto"/>
              <w:left w:val="single" w:sz="2" w:space="0" w:color="auto"/>
              <w:bottom w:val="single" w:sz="2" w:space="0" w:color="auto"/>
              <w:right w:val="single" w:sz="2" w:space="0" w:color="auto"/>
            </w:tcBorders>
            <w:vAlign w:val="center"/>
          </w:tcPr>
          <w:p w14:paraId="3D76E9B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61,274.55</w:t>
            </w:r>
          </w:p>
        </w:tc>
        <w:tc>
          <w:tcPr>
            <w:tcW w:w="3213" w:type="dxa"/>
            <w:tcBorders>
              <w:top w:val="single" w:sz="2" w:space="0" w:color="auto"/>
              <w:left w:val="single" w:sz="2" w:space="0" w:color="auto"/>
              <w:bottom w:val="single" w:sz="2" w:space="0" w:color="auto"/>
              <w:right w:val="single" w:sz="2" w:space="0" w:color="auto"/>
            </w:tcBorders>
            <w:vAlign w:val="center"/>
          </w:tcPr>
          <w:p w14:paraId="15F0A59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164,681.34</w:t>
            </w:r>
          </w:p>
        </w:tc>
      </w:tr>
    </w:tbl>
    <w:p w14:paraId="0FD3C20D" w14:textId="77777777" w:rsidR="006C011D" w:rsidRPr="005A284F" w:rsidRDefault="00000000">
      <w:pPr>
        <w:pStyle w:val="3"/>
        <w:spacing w:line="280" w:lineRule="exact"/>
        <w:jc w:val="left"/>
        <w:rPr>
          <w:rFonts w:ascii="Times New Roman" w:hAnsi="Times New Roman" w:cs="Times New Roman"/>
          <w:b/>
          <w:bCs/>
        </w:rPr>
      </w:pPr>
      <w:bookmarkStart w:id="325" w:name="_Toc989257"/>
      <w:r w:rsidRPr="005A284F">
        <w:rPr>
          <w:rFonts w:ascii="Times New Roman" w:hAnsi="Times New Roman" w:cs="Times New Roman"/>
          <w:b/>
          <w:bCs/>
        </w:rPr>
        <w:t>68</w:t>
      </w:r>
      <w:r w:rsidRPr="005A284F">
        <w:rPr>
          <w:rFonts w:ascii="Times New Roman" w:hAnsi="Times New Roman" w:cs="Times New Roman"/>
          <w:b/>
          <w:bCs/>
        </w:rPr>
        <w:t>、净敞口套期收益</w:t>
      </w:r>
      <w:bookmarkEnd w:id="325"/>
    </w:p>
    <w:p w14:paraId="64274D1B" w14:textId="77777777" w:rsidR="000309B5" w:rsidRPr="005A284F" w:rsidRDefault="00000000">
      <w:pPr>
        <w:pStyle w:val="a3"/>
        <w:divId w:val="583804504"/>
        <w:rPr>
          <w:rFonts w:ascii="Times New Roman" w:hAnsi="Times New Roman" w:cs="Times New Roman"/>
          <w:sz w:val="18"/>
          <w:szCs w:val="18"/>
        </w:rPr>
      </w:pPr>
      <w:r w:rsidRPr="005A284F">
        <w:rPr>
          <w:rFonts w:ascii="Times New Roman" w:hAnsi="Times New Roman" w:cs="Times New Roman"/>
          <w:sz w:val="18"/>
          <w:szCs w:val="18"/>
        </w:rPr>
        <w:t>无</w:t>
      </w:r>
    </w:p>
    <w:p w14:paraId="52C5F4C0" w14:textId="77777777" w:rsidR="006C011D" w:rsidRPr="005A284F" w:rsidRDefault="00000000">
      <w:pPr>
        <w:pStyle w:val="3"/>
        <w:spacing w:line="280" w:lineRule="exact"/>
        <w:jc w:val="left"/>
        <w:rPr>
          <w:rFonts w:ascii="Times New Roman" w:hAnsi="Times New Roman" w:cs="Times New Roman"/>
          <w:b/>
          <w:bCs/>
        </w:rPr>
      </w:pPr>
      <w:bookmarkStart w:id="326" w:name="_Toc989258"/>
      <w:r w:rsidRPr="005A284F">
        <w:rPr>
          <w:rFonts w:ascii="Times New Roman" w:hAnsi="Times New Roman" w:cs="Times New Roman"/>
          <w:b/>
          <w:bCs/>
        </w:rPr>
        <w:t>69</w:t>
      </w:r>
      <w:r w:rsidRPr="005A284F">
        <w:rPr>
          <w:rFonts w:ascii="Times New Roman" w:hAnsi="Times New Roman" w:cs="Times New Roman"/>
          <w:b/>
          <w:bCs/>
        </w:rPr>
        <w:t>、公允价值变动收益</w:t>
      </w:r>
      <w:bookmarkEnd w:id="326"/>
    </w:p>
    <w:p w14:paraId="0F4B51D4"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36B81616"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8EF0F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产生公允价值变动收益的来源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BEB0A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8C0C1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上期发生额</w:t>
            </w:r>
          </w:p>
        </w:tc>
      </w:tr>
      <w:tr w:rsidR="006C011D" w:rsidRPr="005A284F" w14:paraId="6AD93BF9"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341405"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1BF0EF5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-9,825.57</w:t>
            </w:r>
          </w:p>
        </w:tc>
        <w:tc>
          <w:tcPr>
            <w:tcW w:w="3213" w:type="dxa"/>
            <w:tcBorders>
              <w:top w:val="single" w:sz="2" w:space="0" w:color="auto"/>
              <w:left w:val="single" w:sz="2" w:space="0" w:color="auto"/>
              <w:bottom w:val="single" w:sz="2" w:space="0" w:color="auto"/>
              <w:right w:val="single" w:sz="2" w:space="0" w:color="auto"/>
            </w:tcBorders>
            <w:vAlign w:val="center"/>
          </w:tcPr>
          <w:p w14:paraId="051AA930"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19DA521B"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DEBFBC"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3E6E67F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-9,825.57</w:t>
            </w:r>
          </w:p>
        </w:tc>
        <w:tc>
          <w:tcPr>
            <w:tcW w:w="3213" w:type="dxa"/>
            <w:tcBorders>
              <w:top w:val="single" w:sz="2" w:space="0" w:color="auto"/>
              <w:left w:val="single" w:sz="2" w:space="0" w:color="auto"/>
              <w:bottom w:val="single" w:sz="2" w:space="0" w:color="auto"/>
              <w:right w:val="single" w:sz="2" w:space="0" w:color="auto"/>
            </w:tcBorders>
            <w:vAlign w:val="center"/>
          </w:tcPr>
          <w:p w14:paraId="2C963775" w14:textId="77777777" w:rsidR="006C011D" w:rsidRPr="005A284F" w:rsidRDefault="006C011D">
            <w:pPr>
              <w:spacing w:after="0" w:line="240" w:lineRule="exact"/>
              <w:jc w:val="right"/>
              <w:rPr>
                <w:rFonts w:ascii="Times New Roman" w:eastAsia="宋体" w:hAnsi="Times New Roman" w:cs="Times New Roman"/>
                <w:sz w:val="18"/>
                <w:szCs w:val="18"/>
              </w:rPr>
            </w:pPr>
          </w:p>
        </w:tc>
      </w:tr>
    </w:tbl>
    <w:p w14:paraId="678C9E0A"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w:t>
      </w:r>
    </w:p>
    <w:p w14:paraId="1897C35F" w14:textId="77777777" w:rsidR="000309B5" w:rsidRPr="005A284F" w:rsidRDefault="00000000">
      <w:pPr>
        <w:pStyle w:val="a3"/>
        <w:divId w:val="1372146737"/>
        <w:rPr>
          <w:rFonts w:ascii="Times New Roman" w:hAnsi="Times New Roman" w:cs="Times New Roman"/>
          <w:sz w:val="18"/>
          <w:szCs w:val="18"/>
        </w:rPr>
      </w:pPr>
      <w:r w:rsidRPr="005A284F">
        <w:rPr>
          <w:rFonts w:ascii="Times New Roman" w:hAnsi="Times New Roman" w:cs="Times New Roman"/>
          <w:sz w:val="18"/>
          <w:szCs w:val="18"/>
        </w:rPr>
        <w:t>无</w:t>
      </w:r>
    </w:p>
    <w:p w14:paraId="112ECFE8" w14:textId="77777777" w:rsidR="006C011D" w:rsidRPr="005A284F" w:rsidRDefault="00000000">
      <w:pPr>
        <w:pStyle w:val="3"/>
        <w:spacing w:line="280" w:lineRule="exact"/>
        <w:jc w:val="left"/>
        <w:rPr>
          <w:rFonts w:ascii="Times New Roman" w:hAnsi="Times New Roman" w:cs="Times New Roman"/>
          <w:b/>
          <w:bCs/>
        </w:rPr>
      </w:pPr>
      <w:bookmarkStart w:id="327" w:name="_Toc989259"/>
      <w:r w:rsidRPr="005A284F">
        <w:rPr>
          <w:rFonts w:ascii="Times New Roman" w:hAnsi="Times New Roman" w:cs="Times New Roman"/>
          <w:b/>
          <w:bCs/>
        </w:rPr>
        <w:t>70</w:t>
      </w:r>
      <w:r w:rsidRPr="005A284F">
        <w:rPr>
          <w:rFonts w:ascii="Times New Roman" w:hAnsi="Times New Roman" w:cs="Times New Roman"/>
          <w:b/>
          <w:bCs/>
        </w:rPr>
        <w:t>、投资收益</w:t>
      </w:r>
      <w:bookmarkEnd w:id="327"/>
    </w:p>
    <w:p w14:paraId="4BEABA31"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444B1318"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F5CB8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8D0EA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78AB2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上期发生额</w:t>
            </w:r>
          </w:p>
        </w:tc>
      </w:tr>
      <w:tr w:rsidR="006C011D" w:rsidRPr="005A284F" w14:paraId="22E6C2C9"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285956"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交易性金融资产在持有期间的投资收益</w:t>
            </w:r>
          </w:p>
        </w:tc>
        <w:tc>
          <w:tcPr>
            <w:tcW w:w="3213" w:type="dxa"/>
            <w:tcBorders>
              <w:top w:val="single" w:sz="2" w:space="0" w:color="auto"/>
              <w:left w:val="single" w:sz="2" w:space="0" w:color="auto"/>
              <w:bottom w:val="single" w:sz="2" w:space="0" w:color="auto"/>
              <w:right w:val="single" w:sz="2" w:space="0" w:color="auto"/>
            </w:tcBorders>
            <w:vAlign w:val="center"/>
          </w:tcPr>
          <w:p w14:paraId="19F7F50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690,346.28</w:t>
            </w:r>
          </w:p>
        </w:tc>
        <w:tc>
          <w:tcPr>
            <w:tcW w:w="3213" w:type="dxa"/>
            <w:tcBorders>
              <w:top w:val="single" w:sz="2" w:space="0" w:color="auto"/>
              <w:left w:val="single" w:sz="2" w:space="0" w:color="auto"/>
              <w:bottom w:val="single" w:sz="2" w:space="0" w:color="auto"/>
              <w:right w:val="single" w:sz="2" w:space="0" w:color="auto"/>
            </w:tcBorders>
            <w:vAlign w:val="center"/>
          </w:tcPr>
          <w:p w14:paraId="587F337A"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5933A05E"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CB6F57"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5C7B19A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690,346.28</w:t>
            </w:r>
          </w:p>
        </w:tc>
        <w:tc>
          <w:tcPr>
            <w:tcW w:w="3213" w:type="dxa"/>
            <w:tcBorders>
              <w:top w:val="single" w:sz="2" w:space="0" w:color="auto"/>
              <w:left w:val="single" w:sz="2" w:space="0" w:color="auto"/>
              <w:bottom w:val="single" w:sz="2" w:space="0" w:color="auto"/>
              <w:right w:val="single" w:sz="2" w:space="0" w:color="auto"/>
            </w:tcBorders>
            <w:vAlign w:val="center"/>
          </w:tcPr>
          <w:p w14:paraId="7994B6BE" w14:textId="77777777" w:rsidR="006C011D" w:rsidRPr="005A284F" w:rsidRDefault="006C011D">
            <w:pPr>
              <w:spacing w:after="0" w:line="240" w:lineRule="exact"/>
              <w:jc w:val="right"/>
              <w:rPr>
                <w:rFonts w:ascii="Times New Roman" w:eastAsia="宋体" w:hAnsi="Times New Roman" w:cs="Times New Roman"/>
                <w:sz w:val="18"/>
                <w:szCs w:val="18"/>
              </w:rPr>
            </w:pPr>
          </w:p>
        </w:tc>
      </w:tr>
    </w:tbl>
    <w:p w14:paraId="2C9C0E0A"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w:t>
      </w:r>
    </w:p>
    <w:p w14:paraId="79D371F1" w14:textId="77777777" w:rsidR="000309B5" w:rsidRPr="005A284F" w:rsidRDefault="00000000">
      <w:pPr>
        <w:pStyle w:val="a3"/>
        <w:divId w:val="262344443"/>
        <w:rPr>
          <w:rFonts w:ascii="Times New Roman" w:hAnsi="Times New Roman" w:cs="Times New Roman"/>
          <w:sz w:val="18"/>
          <w:szCs w:val="18"/>
        </w:rPr>
      </w:pPr>
      <w:r w:rsidRPr="005A284F">
        <w:rPr>
          <w:rFonts w:ascii="Times New Roman" w:hAnsi="Times New Roman" w:cs="Times New Roman"/>
          <w:sz w:val="18"/>
          <w:szCs w:val="18"/>
        </w:rPr>
        <w:t>无</w:t>
      </w:r>
    </w:p>
    <w:p w14:paraId="3FC7225D" w14:textId="77777777" w:rsidR="006C011D" w:rsidRPr="005A284F" w:rsidRDefault="00000000">
      <w:pPr>
        <w:pStyle w:val="3"/>
        <w:spacing w:line="280" w:lineRule="exact"/>
        <w:jc w:val="left"/>
        <w:rPr>
          <w:rFonts w:ascii="Times New Roman" w:hAnsi="Times New Roman" w:cs="Times New Roman"/>
          <w:b/>
          <w:bCs/>
        </w:rPr>
      </w:pPr>
      <w:bookmarkStart w:id="328" w:name="_Toc989260"/>
      <w:r w:rsidRPr="005A284F">
        <w:rPr>
          <w:rFonts w:ascii="Times New Roman" w:hAnsi="Times New Roman" w:cs="Times New Roman"/>
          <w:b/>
          <w:bCs/>
        </w:rPr>
        <w:t>71</w:t>
      </w:r>
      <w:r w:rsidRPr="005A284F">
        <w:rPr>
          <w:rFonts w:ascii="Times New Roman" w:hAnsi="Times New Roman" w:cs="Times New Roman"/>
          <w:b/>
          <w:bCs/>
        </w:rPr>
        <w:t>、信用减值损失</w:t>
      </w:r>
      <w:bookmarkEnd w:id="328"/>
    </w:p>
    <w:p w14:paraId="557E0E58"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1635D788"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F9278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6E2C8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AFF42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上期发生额</w:t>
            </w:r>
          </w:p>
        </w:tc>
      </w:tr>
      <w:tr w:rsidR="006C011D" w:rsidRPr="005A284F" w14:paraId="5BFF3D77"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9A36B4"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应收账款坏账损失</w:t>
            </w:r>
          </w:p>
        </w:tc>
        <w:tc>
          <w:tcPr>
            <w:tcW w:w="3213" w:type="dxa"/>
            <w:tcBorders>
              <w:top w:val="single" w:sz="2" w:space="0" w:color="auto"/>
              <w:left w:val="single" w:sz="2" w:space="0" w:color="auto"/>
              <w:bottom w:val="single" w:sz="2" w:space="0" w:color="auto"/>
              <w:right w:val="single" w:sz="2" w:space="0" w:color="auto"/>
            </w:tcBorders>
            <w:vAlign w:val="center"/>
          </w:tcPr>
          <w:p w14:paraId="7931570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1,802,752.83</w:t>
            </w:r>
          </w:p>
        </w:tc>
        <w:tc>
          <w:tcPr>
            <w:tcW w:w="3213" w:type="dxa"/>
            <w:tcBorders>
              <w:top w:val="single" w:sz="2" w:space="0" w:color="auto"/>
              <w:left w:val="single" w:sz="2" w:space="0" w:color="auto"/>
              <w:bottom w:val="single" w:sz="2" w:space="0" w:color="auto"/>
              <w:right w:val="single" w:sz="2" w:space="0" w:color="auto"/>
            </w:tcBorders>
            <w:vAlign w:val="center"/>
          </w:tcPr>
          <w:p w14:paraId="74E3A35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2,385,311.66</w:t>
            </w:r>
          </w:p>
        </w:tc>
      </w:tr>
      <w:tr w:rsidR="006C011D" w:rsidRPr="005A284F" w14:paraId="423BA126"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E5E2DB"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其他应收款坏账损失</w:t>
            </w:r>
          </w:p>
        </w:tc>
        <w:tc>
          <w:tcPr>
            <w:tcW w:w="3213" w:type="dxa"/>
            <w:tcBorders>
              <w:top w:val="single" w:sz="2" w:space="0" w:color="auto"/>
              <w:left w:val="single" w:sz="2" w:space="0" w:color="auto"/>
              <w:bottom w:val="single" w:sz="2" w:space="0" w:color="auto"/>
              <w:right w:val="single" w:sz="2" w:space="0" w:color="auto"/>
            </w:tcBorders>
            <w:vAlign w:val="center"/>
          </w:tcPr>
          <w:p w14:paraId="333CE99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-612,247.76</w:t>
            </w:r>
          </w:p>
        </w:tc>
        <w:tc>
          <w:tcPr>
            <w:tcW w:w="3213" w:type="dxa"/>
            <w:tcBorders>
              <w:top w:val="single" w:sz="2" w:space="0" w:color="auto"/>
              <w:left w:val="single" w:sz="2" w:space="0" w:color="auto"/>
              <w:bottom w:val="single" w:sz="2" w:space="0" w:color="auto"/>
              <w:right w:val="single" w:sz="2" w:space="0" w:color="auto"/>
            </w:tcBorders>
            <w:vAlign w:val="center"/>
          </w:tcPr>
          <w:p w14:paraId="42DA0D4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-3,678,809.35</w:t>
            </w:r>
          </w:p>
        </w:tc>
      </w:tr>
      <w:tr w:rsidR="006C011D" w:rsidRPr="005A284F" w14:paraId="1B49B9D0"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A21888"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5993D83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1,190,505.07</w:t>
            </w:r>
          </w:p>
        </w:tc>
        <w:tc>
          <w:tcPr>
            <w:tcW w:w="3213" w:type="dxa"/>
            <w:tcBorders>
              <w:top w:val="single" w:sz="2" w:space="0" w:color="auto"/>
              <w:left w:val="single" w:sz="2" w:space="0" w:color="auto"/>
              <w:bottom w:val="single" w:sz="2" w:space="0" w:color="auto"/>
              <w:right w:val="single" w:sz="2" w:space="0" w:color="auto"/>
            </w:tcBorders>
            <w:vAlign w:val="center"/>
          </w:tcPr>
          <w:p w14:paraId="17D9D83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-1,293,497.69</w:t>
            </w:r>
          </w:p>
        </w:tc>
      </w:tr>
    </w:tbl>
    <w:p w14:paraId="766A1AA1"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w:t>
      </w:r>
    </w:p>
    <w:p w14:paraId="5F8C89EC" w14:textId="77777777" w:rsidR="000309B5" w:rsidRPr="005A284F" w:rsidRDefault="00000000">
      <w:pPr>
        <w:pStyle w:val="a3"/>
        <w:divId w:val="1785802075"/>
        <w:rPr>
          <w:rFonts w:ascii="Times New Roman" w:hAnsi="Times New Roman" w:cs="Times New Roman"/>
          <w:sz w:val="18"/>
          <w:szCs w:val="18"/>
        </w:rPr>
      </w:pPr>
      <w:r w:rsidRPr="005A284F">
        <w:rPr>
          <w:rFonts w:ascii="Times New Roman" w:hAnsi="Times New Roman" w:cs="Times New Roman"/>
          <w:sz w:val="18"/>
          <w:szCs w:val="18"/>
        </w:rPr>
        <w:t>无</w:t>
      </w:r>
    </w:p>
    <w:p w14:paraId="2D941141" w14:textId="77777777" w:rsidR="006C011D" w:rsidRPr="005A284F" w:rsidRDefault="00000000">
      <w:pPr>
        <w:pStyle w:val="3"/>
        <w:spacing w:line="280" w:lineRule="exact"/>
        <w:jc w:val="left"/>
        <w:rPr>
          <w:rFonts w:ascii="Times New Roman" w:hAnsi="Times New Roman" w:cs="Times New Roman"/>
          <w:b/>
          <w:bCs/>
        </w:rPr>
      </w:pPr>
      <w:bookmarkStart w:id="329" w:name="_Toc989261"/>
      <w:r w:rsidRPr="005A284F">
        <w:rPr>
          <w:rFonts w:ascii="Times New Roman" w:hAnsi="Times New Roman" w:cs="Times New Roman"/>
          <w:b/>
          <w:bCs/>
        </w:rPr>
        <w:lastRenderedPageBreak/>
        <w:t>72</w:t>
      </w:r>
      <w:r w:rsidRPr="005A284F">
        <w:rPr>
          <w:rFonts w:ascii="Times New Roman" w:hAnsi="Times New Roman" w:cs="Times New Roman"/>
          <w:b/>
          <w:bCs/>
        </w:rPr>
        <w:t>、资产减值损失</w:t>
      </w:r>
      <w:bookmarkEnd w:id="329"/>
    </w:p>
    <w:p w14:paraId="2466C162"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4A02DF59"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158D1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D37A6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0CD98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上期发生额</w:t>
            </w:r>
          </w:p>
        </w:tc>
      </w:tr>
      <w:tr w:rsidR="006C011D" w:rsidRPr="005A284F" w14:paraId="00851AFC"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3F2D19"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一、存货跌价损失及合同履约成本减值损失</w:t>
            </w:r>
          </w:p>
        </w:tc>
        <w:tc>
          <w:tcPr>
            <w:tcW w:w="3213" w:type="dxa"/>
            <w:tcBorders>
              <w:top w:val="single" w:sz="2" w:space="0" w:color="auto"/>
              <w:left w:val="single" w:sz="2" w:space="0" w:color="auto"/>
              <w:bottom w:val="single" w:sz="2" w:space="0" w:color="auto"/>
              <w:right w:val="single" w:sz="2" w:space="0" w:color="auto"/>
            </w:tcBorders>
            <w:vAlign w:val="center"/>
          </w:tcPr>
          <w:p w14:paraId="71B21B2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-1,392,080.10</w:t>
            </w:r>
          </w:p>
        </w:tc>
        <w:tc>
          <w:tcPr>
            <w:tcW w:w="3213" w:type="dxa"/>
            <w:tcBorders>
              <w:top w:val="single" w:sz="2" w:space="0" w:color="auto"/>
              <w:left w:val="single" w:sz="2" w:space="0" w:color="auto"/>
              <w:bottom w:val="single" w:sz="2" w:space="0" w:color="auto"/>
              <w:right w:val="single" w:sz="2" w:space="0" w:color="auto"/>
            </w:tcBorders>
            <w:vAlign w:val="center"/>
          </w:tcPr>
          <w:p w14:paraId="58C7B55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29,704,269.59</w:t>
            </w:r>
          </w:p>
        </w:tc>
      </w:tr>
      <w:tr w:rsidR="006C011D" w:rsidRPr="005A284F" w14:paraId="59B493AB"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68EE7F"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D92336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-1,392,080.10</w:t>
            </w:r>
          </w:p>
        </w:tc>
        <w:tc>
          <w:tcPr>
            <w:tcW w:w="3213" w:type="dxa"/>
            <w:tcBorders>
              <w:top w:val="single" w:sz="2" w:space="0" w:color="auto"/>
              <w:left w:val="single" w:sz="2" w:space="0" w:color="auto"/>
              <w:bottom w:val="single" w:sz="2" w:space="0" w:color="auto"/>
              <w:right w:val="single" w:sz="2" w:space="0" w:color="auto"/>
            </w:tcBorders>
            <w:vAlign w:val="center"/>
          </w:tcPr>
          <w:p w14:paraId="3CCB2E1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29,704,269.59</w:t>
            </w:r>
          </w:p>
        </w:tc>
      </w:tr>
    </w:tbl>
    <w:p w14:paraId="7F91DEC9"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w:t>
      </w:r>
    </w:p>
    <w:p w14:paraId="1A1CB2CB" w14:textId="77777777" w:rsidR="000309B5" w:rsidRPr="005A284F" w:rsidRDefault="00000000">
      <w:pPr>
        <w:pStyle w:val="a3"/>
        <w:divId w:val="354888262"/>
        <w:rPr>
          <w:rFonts w:ascii="Times New Roman" w:hAnsi="Times New Roman" w:cs="Times New Roman"/>
          <w:sz w:val="18"/>
          <w:szCs w:val="18"/>
        </w:rPr>
      </w:pPr>
      <w:r w:rsidRPr="005A284F">
        <w:rPr>
          <w:rFonts w:ascii="Times New Roman" w:hAnsi="Times New Roman" w:cs="Times New Roman"/>
          <w:sz w:val="18"/>
          <w:szCs w:val="18"/>
        </w:rPr>
        <w:t>无</w:t>
      </w:r>
    </w:p>
    <w:p w14:paraId="5A03CD44" w14:textId="77777777" w:rsidR="006C011D" w:rsidRPr="005A284F" w:rsidRDefault="00000000">
      <w:pPr>
        <w:pStyle w:val="3"/>
        <w:spacing w:line="280" w:lineRule="exact"/>
        <w:jc w:val="left"/>
        <w:rPr>
          <w:rFonts w:ascii="Times New Roman" w:hAnsi="Times New Roman" w:cs="Times New Roman"/>
          <w:b/>
          <w:bCs/>
        </w:rPr>
      </w:pPr>
      <w:bookmarkStart w:id="330" w:name="_Toc989262"/>
      <w:r w:rsidRPr="005A284F">
        <w:rPr>
          <w:rFonts w:ascii="Times New Roman" w:hAnsi="Times New Roman" w:cs="Times New Roman"/>
          <w:b/>
          <w:bCs/>
        </w:rPr>
        <w:t>73</w:t>
      </w:r>
      <w:r w:rsidRPr="005A284F">
        <w:rPr>
          <w:rFonts w:ascii="Times New Roman" w:hAnsi="Times New Roman" w:cs="Times New Roman"/>
          <w:b/>
          <w:bCs/>
        </w:rPr>
        <w:t>、资产处置收益</w:t>
      </w:r>
      <w:bookmarkEnd w:id="330"/>
    </w:p>
    <w:p w14:paraId="5EE69A65"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7DF337B8"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BDF5B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资产处置收益的来源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889CA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EEF32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上期发生额</w:t>
            </w:r>
          </w:p>
        </w:tc>
      </w:tr>
      <w:tr w:rsidR="006C011D" w:rsidRPr="005A284F" w14:paraId="214AD905"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vAlign w:val="center"/>
          </w:tcPr>
          <w:p w14:paraId="76AD872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处置非流动资产的利得（损失</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w:t>
            </w:r>
          </w:p>
        </w:tc>
        <w:tc>
          <w:tcPr>
            <w:tcW w:w="3213" w:type="dxa"/>
            <w:tcBorders>
              <w:top w:val="single" w:sz="2" w:space="0" w:color="auto"/>
              <w:left w:val="single" w:sz="2" w:space="0" w:color="auto"/>
              <w:bottom w:val="single" w:sz="2" w:space="0" w:color="auto"/>
              <w:right w:val="single" w:sz="2" w:space="0" w:color="auto"/>
            </w:tcBorders>
            <w:vAlign w:val="center"/>
          </w:tcPr>
          <w:p w14:paraId="7A26C00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-1,660,619.06</w:t>
            </w:r>
          </w:p>
        </w:tc>
        <w:tc>
          <w:tcPr>
            <w:tcW w:w="3213" w:type="dxa"/>
            <w:tcBorders>
              <w:top w:val="single" w:sz="2" w:space="0" w:color="auto"/>
              <w:left w:val="single" w:sz="2" w:space="0" w:color="auto"/>
              <w:bottom w:val="single" w:sz="2" w:space="0" w:color="auto"/>
              <w:right w:val="single" w:sz="2" w:space="0" w:color="auto"/>
            </w:tcBorders>
            <w:vAlign w:val="center"/>
          </w:tcPr>
          <w:p w14:paraId="3BA0C24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-577,407.87</w:t>
            </w:r>
          </w:p>
        </w:tc>
      </w:tr>
    </w:tbl>
    <w:p w14:paraId="4F744E83" w14:textId="77777777" w:rsidR="006C011D" w:rsidRPr="005A284F" w:rsidRDefault="00000000">
      <w:pPr>
        <w:pStyle w:val="3"/>
        <w:spacing w:line="280" w:lineRule="exact"/>
        <w:jc w:val="left"/>
        <w:rPr>
          <w:rFonts w:ascii="Times New Roman" w:hAnsi="Times New Roman" w:cs="Times New Roman"/>
          <w:b/>
          <w:bCs/>
        </w:rPr>
      </w:pPr>
      <w:bookmarkStart w:id="331" w:name="_Toc989263"/>
      <w:r w:rsidRPr="005A284F">
        <w:rPr>
          <w:rFonts w:ascii="Times New Roman" w:hAnsi="Times New Roman" w:cs="Times New Roman"/>
          <w:b/>
          <w:bCs/>
        </w:rPr>
        <w:t>74</w:t>
      </w:r>
      <w:r w:rsidRPr="005A284F">
        <w:rPr>
          <w:rFonts w:ascii="Times New Roman" w:hAnsi="Times New Roman" w:cs="Times New Roman"/>
          <w:b/>
          <w:bCs/>
        </w:rPr>
        <w:t>、营业外收入</w:t>
      </w:r>
      <w:bookmarkEnd w:id="331"/>
    </w:p>
    <w:p w14:paraId="3BF4CC2F"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6C011D" w:rsidRPr="005A284F" w14:paraId="239C5464" w14:textId="77777777" w:rsidTr="00A27B2B">
        <w:trPr>
          <w:trHeight w:val="240"/>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94A03B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77C3DE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45F548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上期发生额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83BA7A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计入当期非经常性损益的金额</w:t>
            </w:r>
          </w:p>
        </w:tc>
      </w:tr>
      <w:tr w:rsidR="006C011D" w:rsidRPr="005A284F" w14:paraId="1A1E4487" w14:textId="77777777" w:rsidTr="00A27B2B">
        <w:trPr>
          <w:trHeight w:val="240"/>
          <w:jc w:val="center"/>
        </w:trPr>
        <w:tc>
          <w:tcPr>
            <w:tcW w:w="2410" w:type="dxa"/>
            <w:tcBorders>
              <w:top w:val="single" w:sz="2" w:space="0" w:color="auto"/>
              <w:left w:val="single" w:sz="2" w:space="0" w:color="auto"/>
              <w:bottom w:val="single" w:sz="2" w:space="0" w:color="auto"/>
              <w:right w:val="single" w:sz="2" w:space="0" w:color="auto"/>
            </w:tcBorders>
            <w:vAlign w:val="center"/>
          </w:tcPr>
          <w:p w14:paraId="3F5E512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c>
          <w:tcPr>
            <w:tcW w:w="2410" w:type="dxa"/>
            <w:tcBorders>
              <w:top w:val="single" w:sz="2" w:space="0" w:color="auto"/>
              <w:left w:val="single" w:sz="2" w:space="0" w:color="auto"/>
              <w:bottom w:val="single" w:sz="2" w:space="0" w:color="auto"/>
              <w:right w:val="single" w:sz="2" w:space="0" w:color="auto"/>
            </w:tcBorders>
            <w:vAlign w:val="center"/>
          </w:tcPr>
          <w:p w14:paraId="205D04D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3,326,070.94</w:t>
            </w:r>
          </w:p>
        </w:tc>
        <w:tc>
          <w:tcPr>
            <w:tcW w:w="2410" w:type="dxa"/>
            <w:tcBorders>
              <w:top w:val="single" w:sz="2" w:space="0" w:color="auto"/>
              <w:left w:val="single" w:sz="2" w:space="0" w:color="auto"/>
              <w:bottom w:val="single" w:sz="2" w:space="0" w:color="auto"/>
              <w:right w:val="single" w:sz="2" w:space="0" w:color="auto"/>
            </w:tcBorders>
            <w:vAlign w:val="center"/>
          </w:tcPr>
          <w:p w14:paraId="2B8E74C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1,742,973.97</w:t>
            </w:r>
          </w:p>
        </w:tc>
        <w:tc>
          <w:tcPr>
            <w:tcW w:w="2410" w:type="dxa"/>
            <w:tcBorders>
              <w:top w:val="single" w:sz="2" w:space="0" w:color="auto"/>
              <w:left w:val="single" w:sz="2" w:space="0" w:color="auto"/>
              <w:bottom w:val="single" w:sz="2" w:space="0" w:color="auto"/>
              <w:right w:val="single" w:sz="2" w:space="0" w:color="auto"/>
            </w:tcBorders>
            <w:vAlign w:val="center"/>
          </w:tcPr>
          <w:p w14:paraId="1321FE1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3,326,070.94</w:t>
            </w:r>
          </w:p>
        </w:tc>
      </w:tr>
      <w:tr w:rsidR="006C011D" w:rsidRPr="005A284F" w14:paraId="68CB0AB2" w14:textId="77777777" w:rsidTr="00A27B2B">
        <w:trPr>
          <w:trHeight w:val="240"/>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637A60B"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6FE9B3E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3,326,070.94</w:t>
            </w:r>
          </w:p>
        </w:tc>
        <w:tc>
          <w:tcPr>
            <w:tcW w:w="2410" w:type="dxa"/>
            <w:tcBorders>
              <w:top w:val="single" w:sz="2" w:space="0" w:color="auto"/>
              <w:left w:val="single" w:sz="2" w:space="0" w:color="auto"/>
              <w:bottom w:val="single" w:sz="2" w:space="0" w:color="auto"/>
              <w:right w:val="single" w:sz="2" w:space="0" w:color="auto"/>
            </w:tcBorders>
            <w:vAlign w:val="center"/>
          </w:tcPr>
          <w:p w14:paraId="73A7C92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1,742,973.97</w:t>
            </w:r>
          </w:p>
        </w:tc>
        <w:tc>
          <w:tcPr>
            <w:tcW w:w="2410" w:type="dxa"/>
            <w:tcBorders>
              <w:top w:val="single" w:sz="2" w:space="0" w:color="auto"/>
              <w:left w:val="single" w:sz="2" w:space="0" w:color="auto"/>
              <w:bottom w:val="single" w:sz="2" w:space="0" w:color="auto"/>
              <w:right w:val="single" w:sz="2" w:space="0" w:color="auto"/>
            </w:tcBorders>
            <w:vAlign w:val="center"/>
          </w:tcPr>
          <w:p w14:paraId="06DD09B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3,326,070.94</w:t>
            </w:r>
          </w:p>
        </w:tc>
      </w:tr>
    </w:tbl>
    <w:p w14:paraId="50663E9B"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w:t>
      </w:r>
    </w:p>
    <w:p w14:paraId="7D7CA861" w14:textId="77777777" w:rsidR="000309B5" w:rsidRPr="005A284F" w:rsidRDefault="00000000">
      <w:pPr>
        <w:pStyle w:val="a3"/>
        <w:divId w:val="1763909523"/>
        <w:rPr>
          <w:rFonts w:ascii="Times New Roman" w:hAnsi="Times New Roman" w:cs="Times New Roman"/>
          <w:sz w:val="18"/>
          <w:szCs w:val="18"/>
        </w:rPr>
      </w:pPr>
      <w:r w:rsidRPr="005A284F">
        <w:rPr>
          <w:rFonts w:ascii="Times New Roman" w:hAnsi="Times New Roman" w:cs="Times New Roman"/>
          <w:sz w:val="18"/>
          <w:szCs w:val="18"/>
        </w:rPr>
        <w:t>无</w:t>
      </w:r>
    </w:p>
    <w:p w14:paraId="32549CE8" w14:textId="77777777" w:rsidR="006C011D" w:rsidRPr="005A284F" w:rsidRDefault="00000000">
      <w:pPr>
        <w:pStyle w:val="3"/>
        <w:spacing w:line="280" w:lineRule="exact"/>
        <w:jc w:val="left"/>
        <w:rPr>
          <w:rFonts w:ascii="Times New Roman" w:hAnsi="Times New Roman" w:cs="Times New Roman"/>
          <w:b/>
          <w:bCs/>
        </w:rPr>
      </w:pPr>
      <w:bookmarkStart w:id="332" w:name="_Toc989264"/>
      <w:r w:rsidRPr="005A284F">
        <w:rPr>
          <w:rFonts w:ascii="Times New Roman" w:hAnsi="Times New Roman" w:cs="Times New Roman"/>
          <w:b/>
          <w:bCs/>
        </w:rPr>
        <w:t>75</w:t>
      </w:r>
      <w:r w:rsidRPr="005A284F">
        <w:rPr>
          <w:rFonts w:ascii="Times New Roman" w:hAnsi="Times New Roman" w:cs="Times New Roman"/>
          <w:b/>
          <w:bCs/>
        </w:rPr>
        <w:t>、营业外支出</w:t>
      </w:r>
      <w:bookmarkEnd w:id="332"/>
    </w:p>
    <w:p w14:paraId="731439EF"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6C011D" w:rsidRPr="005A284F" w14:paraId="7DF58451" w14:textId="77777777" w:rsidTr="00A27B2B">
        <w:trPr>
          <w:trHeight w:val="240"/>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9FF74D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83349F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2A9FA2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上期发生额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DEE671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计入当期非经常性损益的金额</w:t>
            </w:r>
          </w:p>
        </w:tc>
      </w:tr>
      <w:tr w:rsidR="006C011D" w:rsidRPr="005A284F" w14:paraId="1E6C2107" w14:textId="77777777" w:rsidTr="00A27B2B">
        <w:trPr>
          <w:trHeight w:val="240"/>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EE202A6"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对外捐赠</w:t>
            </w:r>
          </w:p>
        </w:tc>
        <w:tc>
          <w:tcPr>
            <w:tcW w:w="2410" w:type="dxa"/>
            <w:tcBorders>
              <w:top w:val="single" w:sz="2" w:space="0" w:color="auto"/>
              <w:left w:val="single" w:sz="2" w:space="0" w:color="auto"/>
              <w:bottom w:val="single" w:sz="2" w:space="0" w:color="auto"/>
              <w:right w:val="single" w:sz="2" w:space="0" w:color="auto"/>
            </w:tcBorders>
            <w:vAlign w:val="center"/>
          </w:tcPr>
          <w:p w14:paraId="4F8C717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59E905C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50,000.00</w:t>
            </w:r>
          </w:p>
        </w:tc>
        <w:tc>
          <w:tcPr>
            <w:tcW w:w="2410" w:type="dxa"/>
            <w:tcBorders>
              <w:top w:val="single" w:sz="2" w:space="0" w:color="auto"/>
              <w:left w:val="single" w:sz="2" w:space="0" w:color="auto"/>
              <w:bottom w:val="single" w:sz="2" w:space="0" w:color="auto"/>
              <w:right w:val="single" w:sz="2" w:space="0" w:color="auto"/>
            </w:tcBorders>
            <w:vAlign w:val="center"/>
          </w:tcPr>
          <w:p w14:paraId="5B8F2ADC"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662BB6F8" w14:textId="77777777" w:rsidTr="00A27B2B">
        <w:trPr>
          <w:trHeight w:val="240"/>
          <w:jc w:val="center"/>
        </w:trPr>
        <w:tc>
          <w:tcPr>
            <w:tcW w:w="2410" w:type="dxa"/>
            <w:tcBorders>
              <w:top w:val="single" w:sz="2" w:space="0" w:color="auto"/>
              <w:left w:val="single" w:sz="2" w:space="0" w:color="auto"/>
              <w:bottom w:val="single" w:sz="2" w:space="0" w:color="auto"/>
              <w:right w:val="single" w:sz="2" w:space="0" w:color="auto"/>
            </w:tcBorders>
            <w:vAlign w:val="center"/>
          </w:tcPr>
          <w:p w14:paraId="353BBA9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c>
          <w:tcPr>
            <w:tcW w:w="2410" w:type="dxa"/>
            <w:tcBorders>
              <w:top w:val="single" w:sz="2" w:space="0" w:color="auto"/>
              <w:left w:val="single" w:sz="2" w:space="0" w:color="auto"/>
              <w:bottom w:val="single" w:sz="2" w:space="0" w:color="auto"/>
              <w:right w:val="single" w:sz="2" w:space="0" w:color="auto"/>
            </w:tcBorders>
            <w:vAlign w:val="center"/>
          </w:tcPr>
          <w:p w14:paraId="4F733EA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3,016,694.11</w:t>
            </w:r>
          </w:p>
        </w:tc>
        <w:tc>
          <w:tcPr>
            <w:tcW w:w="2410" w:type="dxa"/>
            <w:tcBorders>
              <w:top w:val="single" w:sz="2" w:space="0" w:color="auto"/>
              <w:left w:val="single" w:sz="2" w:space="0" w:color="auto"/>
              <w:bottom w:val="single" w:sz="2" w:space="0" w:color="auto"/>
              <w:right w:val="single" w:sz="2" w:space="0" w:color="auto"/>
            </w:tcBorders>
            <w:vAlign w:val="center"/>
          </w:tcPr>
          <w:p w14:paraId="13366A4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5,349,475.32</w:t>
            </w:r>
          </w:p>
        </w:tc>
        <w:tc>
          <w:tcPr>
            <w:tcW w:w="2410" w:type="dxa"/>
            <w:tcBorders>
              <w:top w:val="single" w:sz="2" w:space="0" w:color="auto"/>
              <w:left w:val="single" w:sz="2" w:space="0" w:color="auto"/>
              <w:bottom w:val="single" w:sz="2" w:space="0" w:color="auto"/>
              <w:right w:val="single" w:sz="2" w:space="0" w:color="auto"/>
            </w:tcBorders>
            <w:vAlign w:val="center"/>
          </w:tcPr>
          <w:p w14:paraId="2998CE3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3,016,694.11</w:t>
            </w:r>
          </w:p>
        </w:tc>
      </w:tr>
      <w:tr w:rsidR="006C011D" w:rsidRPr="005A284F" w14:paraId="290208E8" w14:textId="77777777" w:rsidTr="00A27B2B">
        <w:trPr>
          <w:trHeight w:val="240"/>
          <w:jc w:val="center"/>
        </w:trPr>
        <w:tc>
          <w:tcPr>
            <w:tcW w:w="2410" w:type="dxa"/>
            <w:tcBorders>
              <w:top w:val="single" w:sz="2" w:space="0" w:color="auto"/>
              <w:left w:val="single" w:sz="2" w:space="0" w:color="auto"/>
              <w:bottom w:val="single" w:sz="2" w:space="0" w:color="auto"/>
              <w:right w:val="single" w:sz="2" w:space="0" w:color="auto"/>
            </w:tcBorders>
            <w:vAlign w:val="center"/>
          </w:tcPr>
          <w:p w14:paraId="361741A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非流动资产毁损报废损失</w:t>
            </w:r>
          </w:p>
        </w:tc>
        <w:tc>
          <w:tcPr>
            <w:tcW w:w="2410" w:type="dxa"/>
            <w:tcBorders>
              <w:top w:val="single" w:sz="2" w:space="0" w:color="auto"/>
              <w:left w:val="single" w:sz="2" w:space="0" w:color="auto"/>
              <w:bottom w:val="single" w:sz="2" w:space="0" w:color="auto"/>
              <w:right w:val="single" w:sz="2" w:space="0" w:color="auto"/>
            </w:tcBorders>
            <w:vAlign w:val="center"/>
          </w:tcPr>
          <w:p w14:paraId="353D88C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407,956.39</w:t>
            </w:r>
          </w:p>
        </w:tc>
        <w:tc>
          <w:tcPr>
            <w:tcW w:w="2410" w:type="dxa"/>
            <w:tcBorders>
              <w:top w:val="single" w:sz="2" w:space="0" w:color="auto"/>
              <w:left w:val="single" w:sz="2" w:space="0" w:color="auto"/>
              <w:bottom w:val="single" w:sz="2" w:space="0" w:color="auto"/>
              <w:right w:val="single" w:sz="2" w:space="0" w:color="auto"/>
            </w:tcBorders>
            <w:vAlign w:val="center"/>
          </w:tcPr>
          <w:p w14:paraId="14B59C4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62,989.07</w:t>
            </w:r>
          </w:p>
        </w:tc>
        <w:tc>
          <w:tcPr>
            <w:tcW w:w="2410" w:type="dxa"/>
            <w:tcBorders>
              <w:top w:val="single" w:sz="2" w:space="0" w:color="auto"/>
              <w:left w:val="single" w:sz="2" w:space="0" w:color="auto"/>
              <w:bottom w:val="single" w:sz="2" w:space="0" w:color="auto"/>
              <w:right w:val="single" w:sz="2" w:space="0" w:color="auto"/>
            </w:tcBorders>
            <w:vAlign w:val="center"/>
          </w:tcPr>
          <w:p w14:paraId="1639230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407,956.39</w:t>
            </w:r>
          </w:p>
        </w:tc>
      </w:tr>
      <w:tr w:rsidR="006C011D" w:rsidRPr="005A284F" w14:paraId="3343AB7A" w14:textId="77777777" w:rsidTr="00A27B2B">
        <w:trPr>
          <w:trHeight w:val="240"/>
          <w:jc w:val="center"/>
        </w:trPr>
        <w:tc>
          <w:tcPr>
            <w:tcW w:w="2410" w:type="dxa"/>
            <w:tcBorders>
              <w:top w:val="single" w:sz="2" w:space="0" w:color="auto"/>
              <w:left w:val="single" w:sz="2" w:space="0" w:color="auto"/>
              <w:bottom w:val="single" w:sz="2" w:space="0" w:color="auto"/>
              <w:right w:val="single" w:sz="2" w:space="0" w:color="auto"/>
            </w:tcBorders>
            <w:vAlign w:val="center"/>
          </w:tcPr>
          <w:p w14:paraId="4E1C70B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其中：固定资产</w:t>
            </w:r>
          </w:p>
        </w:tc>
        <w:tc>
          <w:tcPr>
            <w:tcW w:w="2410" w:type="dxa"/>
            <w:tcBorders>
              <w:top w:val="single" w:sz="2" w:space="0" w:color="auto"/>
              <w:left w:val="single" w:sz="2" w:space="0" w:color="auto"/>
              <w:bottom w:val="single" w:sz="2" w:space="0" w:color="auto"/>
              <w:right w:val="single" w:sz="2" w:space="0" w:color="auto"/>
            </w:tcBorders>
            <w:vAlign w:val="center"/>
          </w:tcPr>
          <w:p w14:paraId="341C09E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407,956.39</w:t>
            </w:r>
          </w:p>
        </w:tc>
        <w:tc>
          <w:tcPr>
            <w:tcW w:w="2410" w:type="dxa"/>
            <w:tcBorders>
              <w:top w:val="single" w:sz="2" w:space="0" w:color="auto"/>
              <w:left w:val="single" w:sz="2" w:space="0" w:color="auto"/>
              <w:bottom w:val="single" w:sz="2" w:space="0" w:color="auto"/>
              <w:right w:val="single" w:sz="2" w:space="0" w:color="auto"/>
            </w:tcBorders>
            <w:vAlign w:val="center"/>
          </w:tcPr>
          <w:p w14:paraId="32B5717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62,989.07</w:t>
            </w:r>
          </w:p>
        </w:tc>
        <w:tc>
          <w:tcPr>
            <w:tcW w:w="2410" w:type="dxa"/>
            <w:tcBorders>
              <w:top w:val="single" w:sz="2" w:space="0" w:color="auto"/>
              <w:left w:val="single" w:sz="2" w:space="0" w:color="auto"/>
              <w:bottom w:val="single" w:sz="2" w:space="0" w:color="auto"/>
              <w:right w:val="single" w:sz="2" w:space="0" w:color="auto"/>
            </w:tcBorders>
            <w:vAlign w:val="center"/>
          </w:tcPr>
          <w:p w14:paraId="75CF783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407,956.39</w:t>
            </w:r>
          </w:p>
        </w:tc>
      </w:tr>
      <w:tr w:rsidR="006C011D" w:rsidRPr="005A284F" w14:paraId="7A55A136" w14:textId="77777777" w:rsidTr="00A27B2B">
        <w:trPr>
          <w:trHeight w:val="240"/>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6162489"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5A8484F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3,424,650.50</w:t>
            </w:r>
          </w:p>
        </w:tc>
        <w:tc>
          <w:tcPr>
            <w:tcW w:w="2410" w:type="dxa"/>
            <w:tcBorders>
              <w:top w:val="single" w:sz="2" w:space="0" w:color="auto"/>
              <w:left w:val="single" w:sz="2" w:space="0" w:color="auto"/>
              <w:bottom w:val="single" w:sz="2" w:space="0" w:color="auto"/>
              <w:right w:val="single" w:sz="2" w:space="0" w:color="auto"/>
            </w:tcBorders>
            <w:vAlign w:val="center"/>
          </w:tcPr>
          <w:p w14:paraId="28EDF8D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5,462,464.39</w:t>
            </w:r>
          </w:p>
        </w:tc>
        <w:tc>
          <w:tcPr>
            <w:tcW w:w="2410" w:type="dxa"/>
            <w:tcBorders>
              <w:top w:val="single" w:sz="2" w:space="0" w:color="auto"/>
              <w:left w:val="single" w:sz="2" w:space="0" w:color="auto"/>
              <w:bottom w:val="single" w:sz="2" w:space="0" w:color="auto"/>
              <w:right w:val="single" w:sz="2" w:space="0" w:color="auto"/>
            </w:tcBorders>
            <w:vAlign w:val="center"/>
          </w:tcPr>
          <w:p w14:paraId="4C6FDBF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3,424,650.50</w:t>
            </w:r>
          </w:p>
        </w:tc>
      </w:tr>
    </w:tbl>
    <w:p w14:paraId="42168DB4"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w:t>
      </w:r>
    </w:p>
    <w:p w14:paraId="7646FA3E" w14:textId="77777777" w:rsidR="000309B5" w:rsidRPr="005A284F" w:rsidRDefault="00000000">
      <w:pPr>
        <w:pStyle w:val="a3"/>
        <w:divId w:val="818810944"/>
        <w:rPr>
          <w:rFonts w:ascii="Times New Roman" w:hAnsi="Times New Roman" w:cs="Times New Roman"/>
          <w:sz w:val="18"/>
          <w:szCs w:val="18"/>
        </w:rPr>
      </w:pPr>
      <w:r w:rsidRPr="005A284F">
        <w:rPr>
          <w:rFonts w:ascii="Times New Roman" w:hAnsi="Times New Roman" w:cs="Times New Roman"/>
          <w:sz w:val="18"/>
          <w:szCs w:val="18"/>
        </w:rPr>
        <w:t>无</w:t>
      </w:r>
    </w:p>
    <w:p w14:paraId="1BFB2425" w14:textId="77777777" w:rsidR="006C011D" w:rsidRPr="005A284F" w:rsidRDefault="00000000">
      <w:pPr>
        <w:pStyle w:val="3"/>
        <w:spacing w:line="280" w:lineRule="exact"/>
        <w:jc w:val="left"/>
        <w:rPr>
          <w:rFonts w:ascii="Times New Roman" w:hAnsi="Times New Roman" w:cs="Times New Roman"/>
          <w:b/>
          <w:bCs/>
        </w:rPr>
      </w:pPr>
      <w:bookmarkStart w:id="333" w:name="_Toc989265"/>
      <w:r w:rsidRPr="005A284F">
        <w:rPr>
          <w:rFonts w:ascii="Times New Roman" w:hAnsi="Times New Roman" w:cs="Times New Roman"/>
          <w:b/>
          <w:bCs/>
        </w:rPr>
        <w:t>76</w:t>
      </w:r>
      <w:r w:rsidRPr="005A284F">
        <w:rPr>
          <w:rFonts w:ascii="Times New Roman" w:hAnsi="Times New Roman" w:cs="Times New Roman"/>
          <w:b/>
          <w:bCs/>
        </w:rPr>
        <w:t>、所得税费用</w:t>
      </w:r>
      <w:bookmarkEnd w:id="333"/>
    </w:p>
    <w:p w14:paraId="0CA67098" w14:textId="3E19C606"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334" w:name="_Toc989266"/>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1</w:t>
      </w:r>
      <w:r w:rsidRPr="005A284F">
        <w:rPr>
          <w:rFonts w:ascii="Times New Roman" w:eastAsia="宋体" w:hAnsi="Times New Roman" w:cs="Times New Roman"/>
          <w:b/>
          <w:bCs/>
          <w:sz w:val="21"/>
          <w:szCs w:val="21"/>
        </w:rPr>
        <w:t>）所得税费用表</w:t>
      </w:r>
      <w:bookmarkEnd w:id="334"/>
    </w:p>
    <w:p w14:paraId="7ADA5FCC" w14:textId="77777777" w:rsidR="001C2948" w:rsidRDefault="001C2948">
      <w:pPr>
        <w:spacing w:before="40" w:after="40" w:line="240" w:lineRule="exact"/>
        <w:jc w:val="right"/>
        <w:rPr>
          <w:rFonts w:ascii="Times New Roman" w:eastAsia="宋体" w:hAnsi="Times New Roman" w:cs="Times New Roman"/>
          <w:sz w:val="18"/>
          <w:szCs w:val="18"/>
        </w:rPr>
      </w:pPr>
    </w:p>
    <w:p w14:paraId="683A1FD4" w14:textId="7DCE9FEE"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单位：元</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3D24CB97"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E3F31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F1827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27B3A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上期发生额</w:t>
            </w:r>
          </w:p>
        </w:tc>
      </w:tr>
      <w:tr w:rsidR="006C011D" w:rsidRPr="005A284F" w14:paraId="31D6CD42"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A32E4E"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当期所得税费用</w:t>
            </w:r>
          </w:p>
        </w:tc>
        <w:tc>
          <w:tcPr>
            <w:tcW w:w="3213" w:type="dxa"/>
            <w:tcBorders>
              <w:top w:val="single" w:sz="2" w:space="0" w:color="auto"/>
              <w:left w:val="single" w:sz="2" w:space="0" w:color="auto"/>
              <w:bottom w:val="single" w:sz="2" w:space="0" w:color="auto"/>
              <w:right w:val="single" w:sz="2" w:space="0" w:color="auto"/>
            </w:tcBorders>
            <w:vAlign w:val="center"/>
          </w:tcPr>
          <w:p w14:paraId="5A3446F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260,814.65</w:t>
            </w:r>
          </w:p>
        </w:tc>
        <w:tc>
          <w:tcPr>
            <w:tcW w:w="3213" w:type="dxa"/>
            <w:tcBorders>
              <w:top w:val="single" w:sz="2" w:space="0" w:color="auto"/>
              <w:left w:val="single" w:sz="2" w:space="0" w:color="auto"/>
              <w:bottom w:val="single" w:sz="2" w:space="0" w:color="auto"/>
              <w:right w:val="single" w:sz="2" w:space="0" w:color="auto"/>
            </w:tcBorders>
            <w:vAlign w:val="center"/>
          </w:tcPr>
          <w:p w14:paraId="2294644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2,594.03</w:t>
            </w:r>
          </w:p>
        </w:tc>
      </w:tr>
      <w:tr w:rsidR="006C011D" w:rsidRPr="005A284F" w14:paraId="62D32AC5"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8D26EF"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递延所得税费用</w:t>
            </w:r>
          </w:p>
        </w:tc>
        <w:tc>
          <w:tcPr>
            <w:tcW w:w="3213" w:type="dxa"/>
            <w:tcBorders>
              <w:top w:val="single" w:sz="2" w:space="0" w:color="auto"/>
              <w:left w:val="single" w:sz="2" w:space="0" w:color="auto"/>
              <w:bottom w:val="single" w:sz="2" w:space="0" w:color="auto"/>
              <w:right w:val="single" w:sz="2" w:space="0" w:color="auto"/>
            </w:tcBorders>
            <w:vAlign w:val="center"/>
          </w:tcPr>
          <w:p w14:paraId="7A1B5D0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1,146,264.41</w:t>
            </w:r>
          </w:p>
        </w:tc>
        <w:tc>
          <w:tcPr>
            <w:tcW w:w="3213" w:type="dxa"/>
            <w:tcBorders>
              <w:top w:val="single" w:sz="2" w:space="0" w:color="auto"/>
              <w:left w:val="single" w:sz="2" w:space="0" w:color="auto"/>
              <w:bottom w:val="single" w:sz="2" w:space="0" w:color="auto"/>
              <w:right w:val="single" w:sz="2" w:space="0" w:color="auto"/>
            </w:tcBorders>
            <w:vAlign w:val="center"/>
          </w:tcPr>
          <w:p w14:paraId="06CC332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-6,148,249.19</w:t>
            </w:r>
          </w:p>
        </w:tc>
      </w:tr>
      <w:tr w:rsidR="006C011D" w:rsidRPr="005A284F" w14:paraId="3095CF39"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1CABF8"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18FE323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1,407,079.06</w:t>
            </w:r>
          </w:p>
        </w:tc>
        <w:tc>
          <w:tcPr>
            <w:tcW w:w="3213" w:type="dxa"/>
            <w:tcBorders>
              <w:top w:val="single" w:sz="2" w:space="0" w:color="auto"/>
              <w:left w:val="single" w:sz="2" w:space="0" w:color="auto"/>
              <w:bottom w:val="single" w:sz="2" w:space="0" w:color="auto"/>
              <w:right w:val="single" w:sz="2" w:space="0" w:color="auto"/>
            </w:tcBorders>
            <w:vAlign w:val="center"/>
          </w:tcPr>
          <w:p w14:paraId="6AD9621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-6,145,655.16</w:t>
            </w:r>
          </w:p>
        </w:tc>
      </w:tr>
    </w:tbl>
    <w:p w14:paraId="7E3B8BB4" w14:textId="269A1C82"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335" w:name="_Toc989267"/>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2</w:t>
      </w:r>
      <w:r w:rsidRPr="005A284F">
        <w:rPr>
          <w:rFonts w:ascii="Times New Roman" w:eastAsia="宋体" w:hAnsi="Times New Roman" w:cs="Times New Roman"/>
          <w:b/>
          <w:bCs/>
          <w:sz w:val="21"/>
          <w:szCs w:val="21"/>
        </w:rPr>
        <w:t>）会计利润与所得税费用调整过程</w:t>
      </w:r>
      <w:bookmarkEnd w:id="335"/>
    </w:p>
    <w:p w14:paraId="4D6B7BF7"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6C011D" w:rsidRPr="005A284F" w14:paraId="692F6FB1" w14:textId="77777777" w:rsidTr="00A27B2B">
        <w:trPr>
          <w:trHeight w:val="240"/>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F7F8B1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B07114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本期发生额</w:t>
            </w:r>
          </w:p>
        </w:tc>
      </w:tr>
      <w:tr w:rsidR="006C011D" w:rsidRPr="005A284F" w14:paraId="76EB1609" w14:textId="77777777" w:rsidTr="00A27B2B">
        <w:trPr>
          <w:trHeight w:val="240"/>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BDCC665"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利润总额</w:t>
            </w:r>
          </w:p>
        </w:tc>
        <w:tc>
          <w:tcPr>
            <w:tcW w:w="4820" w:type="dxa"/>
            <w:tcBorders>
              <w:top w:val="single" w:sz="2" w:space="0" w:color="auto"/>
              <w:left w:val="single" w:sz="2" w:space="0" w:color="auto"/>
              <w:bottom w:val="single" w:sz="2" w:space="0" w:color="auto"/>
              <w:right w:val="single" w:sz="2" w:space="0" w:color="auto"/>
            </w:tcBorders>
            <w:vAlign w:val="center"/>
          </w:tcPr>
          <w:p w14:paraId="3FB3FC8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32,143,308.04</w:t>
            </w:r>
          </w:p>
        </w:tc>
      </w:tr>
      <w:tr w:rsidR="006C011D" w:rsidRPr="005A284F" w14:paraId="11604829" w14:textId="77777777" w:rsidTr="00A27B2B">
        <w:trPr>
          <w:trHeight w:val="240"/>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3B95F6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按法定</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适用税率计算的所得税费用</w:t>
            </w:r>
          </w:p>
        </w:tc>
        <w:tc>
          <w:tcPr>
            <w:tcW w:w="4820" w:type="dxa"/>
            <w:tcBorders>
              <w:top w:val="single" w:sz="2" w:space="0" w:color="auto"/>
              <w:left w:val="single" w:sz="2" w:space="0" w:color="auto"/>
              <w:bottom w:val="single" w:sz="2" w:space="0" w:color="auto"/>
              <w:right w:val="single" w:sz="2" w:space="0" w:color="auto"/>
            </w:tcBorders>
            <w:vAlign w:val="center"/>
          </w:tcPr>
          <w:p w14:paraId="698E40F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8,035,827.00</w:t>
            </w:r>
          </w:p>
        </w:tc>
      </w:tr>
      <w:tr w:rsidR="006C011D" w:rsidRPr="005A284F" w14:paraId="0A65577B" w14:textId="77777777" w:rsidTr="00A27B2B">
        <w:trPr>
          <w:trHeight w:val="240"/>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5BD1859"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子公司适用不同税率的影响</w:t>
            </w:r>
          </w:p>
        </w:tc>
        <w:tc>
          <w:tcPr>
            <w:tcW w:w="4820" w:type="dxa"/>
            <w:tcBorders>
              <w:top w:val="single" w:sz="2" w:space="0" w:color="auto"/>
              <w:left w:val="single" w:sz="2" w:space="0" w:color="auto"/>
              <w:bottom w:val="single" w:sz="2" w:space="0" w:color="auto"/>
              <w:right w:val="single" w:sz="2" w:space="0" w:color="auto"/>
            </w:tcBorders>
            <w:vAlign w:val="center"/>
          </w:tcPr>
          <w:p w14:paraId="325BE4C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7,409,568.87</w:t>
            </w:r>
          </w:p>
        </w:tc>
      </w:tr>
      <w:tr w:rsidR="006C011D" w:rsidRPr="005A284F" w14:paraId="4900B317" w14:textId="77777777" w:rsidTr="00A27B2B">
        <w:trPr>
          <w:trHeight w:val="240"/>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CD9B657"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调整以前期间所得税的影响</w:t>
            </w:r>
          </w:p>
        </w:tc>
        <w:tc>
          <w:tcPr>
            <w:tcW w:w="4820" w:type="dxa"/>
            <w:tcBorders>
              <w:top w:val="single" w:sz="2" w:space="0" w:color="auto"/>
              <w:left w:val="single" w:sz="2" w:space="0" w:color="auto"/>
              <w:bottom w:val="single" w:sz="2" w:space="0" w:color="auto"/>
              <w:right w:val="single" w:sz="2" w:space="0" w:color="auto"/>
            </w:tcBorders>
            <w:vAlign w:val="center"/>
          </w:tcPr>
          <w:p w14:paraId="77350B5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178,639.04</w:t>
            </w:r>
          </w:p>
        </w:tc>
      </w:tr>
      <w:tr w:rsidR="006C011D" w:rsidRPr="005A284F" w14:paraId="39F12192" w14:textId="77777777" w:rsidTr="00A27B2B">
        <w:trPr>
          <w:trHeight w:val="240"/>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AE352E5"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非应税收入的影响</w:t>
            </w:r>
          </w:p>
        </w:tc>
        <w:tc>
          <w:tcPr>
            <w:tcW w:w="4820" w:type="dxa"/>
            <w:tcBorders>
              <w:top w:val="single" w:sz="2" w:space="0" w:color="auto"/>
              <w:left w:val="single" w:sz="2" w:space="0" w:color="auto"/>
              <w:bottom w:val="single" w:sz="2" w:space="0" w:color="auto"/>
              <w:right w:val="single" w:sz="2" w:space="0" w:color="auto"/>
            </w:tcBorders>
            <w:vAlign w:val="center"/>
          </w:tcPr>
          <w:p w14:paraId="3DEFF75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-476,657.06</w:t>
            </w:r>
          </w:p>
        </w:tc>
      </w:tr>
      <w:tr w:rsidR="006C011D" w:rsidRPr="005A284F" w14:paraId="6F4BA6BE" w14:textId="77777777" w:rsidTr="00A27B2B">
        <w:trPr>
          <w:trHeight w:val="240"/>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2A1AAC3"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不可抵扣的成本、费用和损失的影响</w:t>
            </w:r>
          </w:p>
        </w:tc>
        <w:tc>
          <w:tcPr>
            <w:tcW w:w="4820" w:type="dxa"/>
            <w:tcBorders>
              <w:top w:val="single" w:sz="2" w:space="0" w:color="auto"/>
              <w:left w:val="single" w:sz="2" w:space="0" w:color="auto"/>
              <w:bottom w:val="single" w:sz="2" w:space="0" w:color="auto"/>
              <w:right w:val="single" w:sz="2" w:space="0" w:color="auto"/>
            </w:tcBorders>
            <w:vAlign w:val="center"/>
          </w:tcPr>
          <w:p w14:paraId="3F20FB0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2,493,077.54</w:t>
            </w:r>
          </w:p>
        </w:tc>
      </w:tr>
      <w:tr w:rsidR="006C011D" w:rsidRPr="005A284F" w14:paraId="6174BF9F" w14:textId="77777777" w:rsidTr="00A27B2B">
        <w:trPr>
          <w:trHeight w:val="240"/>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448A762"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使用前期未确认递延所得税资产的可抵扣亏损的影响</w:t>
            </w:r>
          </w:p>
        </w:tc>
        <w:tc>
          <w:tcPr>
            <w:tcW w:w="4820" w:type="dxa"/>
            <w:tcBorders>
              <w:top w:val="single" w:sz="2" w:space="0" w:color="auto"/>
              <w:left w:val="single" w:sz="2" w:space="0" w:color="auto"/>
              <w:bottom w:val="single" w:sz="2" w:space="0" w:color="auto"/>
              <w:right w:val="single" w:sz="2" w:space="0" w:color="auto"/>
            </w:tcBorders>
            <w:vAlign w:val="center"/>
          </w:tcPr>
          <w:p w14:paraId="324A24D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-246,304.31</w:t>
            </w:r>
          </w:p>
        </w:tc>
      </w:tr>
      <w:tr w:rsidR="006C011D" w:rsidRPr="005A284F" w14:paraId="05F39934" w14:textId="77777777" w:rsidTr="00A27B2B">
        <w:trPr>
          <w:trHeight w:val="240"/>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6E81D56"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本期未确认递延所得税资产的可抵扣暂时性差异或可抵扣亏损的影响</w:t>
            </w:r>
          </w:p>
        </w:tc>
        <w:tc>
          <w:tcPr>
            <w:tcW w:w="4820" w:type="dxa"/>
            <w:tcBorders>
              <w:top w:val="single" w:sz="2" w:space="0" w:color="auto"/>
              <w:left w:val="single" w:sz="2" w:space="0" w:color="auto"/>
              <w:bottom w:val="single" w:sz="2" w:space="0" w:color="auto"/>
              <w:right w:val="single" w:sz="2" w:space="0" w:color="auto"/>
            </w:tcBorders>
            <w:vAlign w:val="center"/>
          </w:tcPr>
          <w:p w14:paraId="21BA5FA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-15,821,059.13</w:t>
            </w:r>
          </w:p>
        </w:tc>
      </w:tr>
      <w:tr w:rsidR="006C011D" w:rsidRPr="005A284F" w14:paraId="34F8D9BF" w14:textId="77777777" w:rsidTr="00A27B2B">
        <w:trPr>
          <w:trHeight w:val="240"/>
          <w:jc w:val="center"/>
        </w:trPr>
        <w:tc>
          <w:tcPr>
            <w:tcW w:w="4820" w:type="dxa"/>
            <w:tcBorders>
              <w:top w:val="single" w:sz="2" w:space="0" w:color="auto"/>
              <w:left w:val="single" w:sz="2" w:space="0" w:color="auto"/>
              <w:bottom w:val="single" w:sz="2" w:space="0" w:color="auto"/>
              <w:right w:val="single" w:sz="2" w:space="0" w:color="auto"/>
            </w:tcBorders>
            <w:vAlign w:val="center"/>
          </w:tcPr>
          <w:p w14:paraId="6D49211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 </w:t>
            </w:r>
            <w:r w:rsidRPr="005A284F">
              <w:rPr>
                <w:rFonts w:ascii="Times New Roman" w:eastAsia="宋体" w:hAnsi="Times New Roman" w:cs="Times New Roman"/>
                <w:sz w:val="18"/>
                <w:szCs w:val="18"/>
              </w:rPr>
              <w:t>研发支出影响</w:t>
            </w:r>
          </w:p>
        </w:tc>
        <w:tc>
          <w:tcPr>
            <w:tcW w:w="4820" w:type="dxa"/>
            <w:tcBorders>
              <w:top w:val="single" w:sz="2" w:space="0" w:color="auto"/>
              <w:left w:val="single" w:sz="2" w:space="0" w:color="auto"/>
              <w:bottom w:val="single" w:sz="2" w:space="0" w:color="auto"/>
              <w:right w:val="single" w:sz="2" w:space="0" w:color="auto"/>
            </w:tcBorders>
            <w:vAlign w:val="center"/>
          </w:tcPr>
          <w:p w14:paraId="2986D72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-166,012.92</w:t>
            </w:r>
          </w:p>
        </w:tc>
      </w:tr>
      <w:tr w:rsidR="006C011D" w:rsidRPr="005A284F" w14:paraId="00860F1D" w14:textId="77777777" w:rsidTr="00A27B2B">
        <w:trPr>
          <w:trHeight w:val="240"/>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9C6416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所得税费用</w:t>
            </w:r>
          </w:p>
        </w:tc>
        <w:tc>
          <w:tcPr>
            <w:tcW w:w="4820" w:type="dxa"/>
            <w:tcBorders>
              <w:top w:val="single" w:sz="2" w:space="0" w:color="auto"/>
              <w:left w:val="single" w:sz="2" w:space="0" w:color="auto"/>
              <w:bottom w:val="single" w:sz="2" w:space="0" w:color="auto"/>
              <w:right w:val="single" w:sz="2" w:space="0" w:color="auto"/>
            </w:tcBorders>
            <w:vAlign w:val="center"/>
          </w:tcPr>
          <w:p w14:paraId="55C84ED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1,407,079.06</w:t>
            </w:r>
          </w:p>
        </w:tc>
      </w:tr>
    </w:tbl>
    <w:p w14:paraId="31FE8010"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w:t>
      </w:r>
    </w:p>
    <w:p w14:paraId="0B83A5F5" w14:textId="77777777" w:rsidR="000309B5" w:rsidRPr="005A284F" w:rsidRDefault="00000000">
      <w:pPr>
        <w:pStyle w:val="a3"/>
        <w:divId w:val="1330400115"/>
        <w:rPr>
          <w:rFonts w:ascii="Times New Roman" w:hAnsi="Times New Roman" w:cs="Times New Roman"/>
          <w:sz w:val="18"/>
          <w:szCs w:val="18"/>
        </w:rPr>
      </w:pPr>
      <w:r w:rsidRPr="005A284F">
        <w:rPr>
          <w:rFonts w:ascii="Times New Roman" w:hAnsi="Times New Roman" w:cs="Times New Roman"/>
          <w:sz w:val="18"/>
          <w:szCs w:val="18"/>
        </w:rPr>
        <w:t>无</w:t>
      </w:r>
    </w:p>
    <w:p w14:paraId="54825333" w14:textId="77777777" w:rsidR="006C011D" w:rsidRPr="005A284F" w:rsidRDefault="00000000">
      <w:pPr>
        <w:pStyle w:val="3"/>
        <w:spacing w:line="280" w:lineRule="exact"/>
        <w:jc w:val="left"/>
        <w:rPr>
          <w:rFonts w:ascii="Times New Roman" w:hAnsi="Times New Roman" w:cs="Times New Roman"/>
          <w:b/>
          <w:bCs/>
        </w:rPr>
      </w:pPr>
      <w:bookmarkStart w:id="336" w:name="_Toc989268"/>
      <w:r w:rsidRPr="005A284F">
        <w:rPr>
          <w:rFonts w:ascii="Times New Roman" w:hAnsi="Times New Roman" w:cs="Times New Roman"/>
          <w:b/>
          <w:bCs/>
        </w:rPr>
        <w:t>77</w:t>
      </w:r>
      <w:r w:rsidRPr="005A284F">
        <w:rPr>
          <w:rFonts w:ascii="Times New Roman" w:hAnsi="Times New Roman" w:cs="Times New Roman"/>
          <w:b/>
          <w:bCs/>
        </w:rPr>
        <w:t>、其他综合收益</w:t>
      </w:r>
      <w:bookmarkEnd w:id="336"/>
    </w:p>
    <w:p w14:paraId="26BEADA6" w14:textId="661F5A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详见附注七、</w:t>
      </w:r>
      <w:r w:rsidRPr="005A284F">
        <w:rPr>
          <w:rFonts w:ascii="Times New Roman" w:eastAsia="宋体" w:hAnsi="Times New Roman" w:cs="Times New Roman"/>
          <w:sz w:val="18"/>
          <w:szCs w:val="18"/>
        </w:rPr>
        <w:t>57“</w:t>
      </w:r>
      <w:r w:rsidRPr="005A284F">
        <w:rPr>
          <w:rFonts w:ascii="Times New Roman" w:eastAsia="宋体" w:hAnsi="Times New Roman" w:cs="Times New Roman"/>
          <w:sz w:val="18"/>
          <w:szCs w:val="18"/>
        </w:rPr>
        <w:t>其他综合收益</w:t>
      </w:r>
      <w:r w:rsidRPr="005A284F">
        <w:rPr>
          <w:rFonts w:ascii="Times New Roman" w:eastAsia="宋体" w:hAnsi="Times New Roman" w:cs="Times New Roman"/>
          <w:sz w:val="18"/>
          <w:szCs w:val="18"/>
        </w:rPr>
        <w:t>”</w:t>
      </w:r>
      <w:r w:rsidR="00A63401">
        <w:rPr>
          <w:rFonts w:ascii="Times New Roman" w:eastAsia="宋体" w:hAnsi="Times New Roman" w:cs="Times New Roman" w:hint="eastAsia"/>
          <w:sz w:val="18"/>
          <w:szCs w:val="18"/>
        </w:rPr>
        <w:t>。</w:t>
      </w:r>
    </w:p>
    <w:p w14:paraId="7C187A7D" w14:textId="77777777" w:rsidR="006C011D" w:rsidRPr="005A284F" w:rsidRDefault="00000000">
      <w:pPr>
        <w:pStyle w:val="3"/>
        <w:spacing w:line="280" w:lineRule="exact"/>
        <w:jc w:val="left"/>
        <w:rPr>
          <w:rFonts w:ascii="Times New Roman" w:hAnsi="Times New Roman" w:cs="Times New Roman"/>
          <w:b/>
          <w:bCs/>
        </w:rPr>
      </w:pPr>
      <w:bookmarkStart w:id="337" w:name="_Toc989269"/>
      <w:r w:rsidRPr="005A284F">
        <w:rPr>
          <w:rFonts w:ascii="Times New Roman" w:hAnsi="Times New Roman" w:cs="Times New Roman"/>
          <w:b/>
          <w:bCs/>
        </w:rPr>
        <w:t>78</w:t>
      </w:r>
      <w:r w:rsidRPr="005A284F">
        <w:rPr>
          <w:rFonts w:ascii="Times New Roman" w:hAnsi="Times New Roman" w:cs="Times New Roman"/>
          <w:b/>
          <w:bCs/>
        </w:rPr>
        <w:t>、现金流量表项目</w:t>
      </w:r>
      <w:bookmarkEnd w:id="337"/>
    </w:p>
    <w:p w14:paraId="52200EA9" w14:textId="77777777"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338" w:name="_Toc989270"/>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1</w:t>
      </w:r>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 xml:space="preserve"> </w:t>
      </w:r>
      <w:r w:rsidRPr="005A284F">
        <w:rPr>
          <w:rFonts w:ascii="Times New Roman" w:eastAsia="宋体" w:hAnsi="Times New Roman" w:cs="Times New Roman"/>
          <w:b/>
          <w:bCs/>
          <w:sz w:val="21"/>
          <w:szCs w:val="21"/>
        </w:rPr>
        <w:t>与经营活动有关的现金</w:t>
      </w:r>
      <w:bookmarkEnd w:id="338"/>
    </w:p>
    <w:p w14:paraId="32DF4FF9"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收到的其他与经营活动有关的现金</w:t>
      </w:r>
    </w:p>
    <w:p w14:paraId="3C0BD07C"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6E1DB1A5"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49F46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31AE3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F65B6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上期发生额</w:t>
            </w:r>
          </w:p>
        </w:tc>
      </w:tr>
      <w:tr w:rsidR="006C011D" w:rsidRPr="005A284F" w14:paraId="7FDDFBD4"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vAlign w:val="center"/>
          </w:tcPr>
          <w:p w14:paraId="0434F35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14:paraId="7E690A5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6,323,719.20</w:t>
            </w:r>
          </w:p>
        </w:tc>
        <w:tc>
          <w:tcPr>
            <w:tcW w:w="3213" w:type="dxa"/>
            <w:tcBorders>
              <w:top w:val="single" w:sz="2" w:space="0" w:color="auto"/>
              <w:left w:val="single" w:sz="2" w:space="0" w:color="auto"/>
              <w:bottom w:val="single" w:sz="2" w:space="0" w:color="auto"/>
              <w:right w:val="single" w:sz="2" w:space="0" w:color="auto"/>
            </w:tcBorders>
            <w:vAlign w:val="center"/>
          </w:tcPr>
          <w:p w14:paraId="1EBE26A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13,535,246.19</w:t>
            </w:r>
          </w:p>
        </w:tc>
      </w:tr>
      <w:tr w:rsidR="006C011D" w:rsidRPr="005A284F" w14:paraId="0BB7346C"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vAlign w:val="center"/>
          </w:tcPr>
          <w:p w14:paraId="0212FD7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政府补贴</w:t>
            </w:r>
          </w:p>
        </w:tc>
        <w:tc>
          <w:tcPr>
            <w:tcW w:w="3213" w:type="dxa"/>
            <w:tcBorders>
              <w:top w:val="single" w:sz="2" w:space="0" w:color="auto"/>
              <w:left w:val="single" w:sz="2" w:space="0" w:color="auto"/>
              <w:bottom w:val="single" w:sz="2" w:space="0" w:color="auto"/>
              <w:right w:val="single" w:sz="2" w:space="0" w:color="auto"/>
            </w:tcBorders>
            <w:vAlign w:val="center"/>
          </w:tcPr>
          <w:p w14:paraId="2D916A4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2,062,315.89</w:t>
            </w:r>
          </w:p>
        </w:tc>
        <w:tc>
          <w:tcPr>
            <w:tcW w:w="3213" w:type="dxa"/>
            <w:tcBorders>
              <w:top w:val="single" w:sz="2" w:space="0" w:color="auto"/>
              <w:left w:val="single" w:sz="2" w:space="0" w:color="auto"/>
              <w:bottom w:val="single" w:sz="2" w:space="0" w:color="auto"/>
              <w:right w:val="single" w:sz="2" w:space="0" w:color="auto"/>
            </w:tcBorders>
            <w:vAlign w:val="center"/>
          </w:tcPr>
          <w:p w14:paraId="3EA6452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5,982,147.56</w:t>
            </w:r>
          </w:p>
        </w:tc>
      </w:tr>
      <w:tr w:rsidR="006C011D" w:rsidRPr="005A284F" w14:paraId="6C6F5A34"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vAlign w:val="center"/>
          </w:tcPr>
          <w:p w14:paraId="0E62CB8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押金和保证金</w:t>
            </w:r>
          </w:p>
        </w:tc>
        <w:tc>
          <w:tcPr>
            <w:tcW w:w="3213" w:type="dxa"/>
            <w:tcBorders>
              <w:top w:val="single" w:sz="2" w:space="0" w:color="auto"/>
              <w:left w:val="single" w:sz="2" w:space="0" w:color="auto"/>
              <w:bottom w:val="single" w:sz="2" w:space="0" w:color="auto"/>
              <w:right w:val="single" w:sz="2" w:space="0" w:color="auto"/>
            </w:tcBorders>
            <w:vAlign w:val="center"/>
          </w:tcPr>
          <w:p w14:paraId="7F25FD8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43,392,052.87</w:t>
            </w:r>
          </w:p>
        </w:tc>
        <w:tc>
          <w:tcPr>
            <w:tcW w:w="3213" w:type="dxa"/>
            <w:tcBorders>
              <w:top w:val="single" w:sz="2" w:space="0" w:color="auto"/>
              <w:left w:val="single" w:sz="2" w:space="0" w:color="auto"/>
              <w:bottom w:val="single" w:sz="2" w:space="0" w:color="auto"/>
              <w:right w:val="single" w:sz="2" w:space="0" w:color="auto"/>
            </w:tcBorders>
            <w:vAlign w:val="center"/>
          </w:tcPr>
          <w:p w14:paraId="6F7B68C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44,223,555.63</w:t>
            </w:r>
          </w:p>
        </w:tc>
      </w:tr>
      <w:tr w:rsidR="006C011D" w:rsidRPr="005A284F" w14:paraId="407B70E0"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vAlign w:val="center"/>
          </w:tcPr>
          <w:p w14:paraId="06E47AD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备用金等</w:t>
            </w:r>
          </w:p>
        </w:tc>
        <w:tc>
          <w:tcPr>
            <w:tcW w:w="3213" w:type="dxa"/>
            <w:tcBorders>
              <w:top w:val="single" w:sz="2" w:space="0" w:color="auto"/>
              <w:left w:val="single" w:sz="2" w:space="0" w:color="auto"/>
              <w:bottom w:val="single" w:sz="2" w:space="0" w:color="auto"/>
              <w:right w:val="single" w:sz="2" w:space="0" w:color="auto"/>
            </w:tcBorders>
            <w:vAlign w:val="center"/>
          </w:tcPr>
          <w:p w14:paraId="0649975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11,596,447.07</w:t>
            </w:r>
          </w:p>
        </w:tc>
        <w:tc>
          <w:tcPr>
            <w:tcW w:w="3213" w:type="dxa"/>
            <w:tcBorders>
              <w:top w:val="single" w:sz="2" w:space="0" w:color="auto"/>
              <w:left w:val="single" w:sz="2" w:space="0" w:color="auto"/>
              <w:bottom w:val="single" w:sz="2" w:space="0" w:color="auto"/>
              <w:right w:val="single" w:sz="2" w:space="0" w:color="auto"/>
            </w:tcBorders>
            <w:vAlign w:val="center"/>
          </w:tcPr>
          <w:p w14:paraId="503FF3D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9,808,984.32</w:t>
            </w:r>
          </w:p>
        </w:tc>
      </w:tr>
      <w:tr w:rsidR="006C011D" w:rsidRPr="005A284F" w14:paraId="008754D7"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A62A6C"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33B6646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63,374,535.03</w:t>
            </w:r>
          </w:p>
        </w:tc>
        <w:tc>
          <w:tcPr>
            <w:tcW w:w="3213" w:type="dxa"/>
            <w:tcBorders>
              <w:top w:val="single" w:sz="2" w:space="0" w:color="auto"/>
              <w:left w:val="single" w:sz="2" w:space="0" w:color="auto"/>
              <w:bottom w:val="single" w:sz="2" w:space="0" w:color="auto"/>
              <w:right w:val="single" w:sz="2" w:space="0" w:color="auto"/>
            </w:tcBorders>
            <w:vAlign w:val="center"/>
          </w:tcPr>
          <w:p w14:paraId="77367DD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73,549,933.70</w:t>
            </w:r>
          </w:p>
        </w:tc>
      </w:tr>
    </w:tbl>
    <w:p w14:paraId="62CE6F94"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收到的其他与经营活动有关的现金说明：</w:t>
      </w:r>
    </w:p>
    <w:p w14:paraId="249B78CE" w14:textId="77777777" w:rsidR="000309B5" w:rsidRPr="005A284F" w:rsidRDefault="00000000">
      <w:pPr>
        <w:pStyle w:val="a3"/>
        <w:divId w:val="1296061131"/>
        <w:rPr>
          <w:rFonts w:ascii="Times New Roman" w:hAnsi="Times New Roman" w:cs="Times New Roman"/>
          <w:sz w:val="18"/>
          <w:szCs w:val="18"/>
        </w:rPr>
      </w:pPr>
      <w:r w:rsidRPr="005A284F">
        <w:rPr>
          <w:rFonts w:ascii="Times New Roman" w:hAnsi="Times New Roman" w:cs="Times New Roman"/>
          <w:sz w:val="18"/>
          <w:szCs w:val="18"/>
        </w:rPr>
        <w:t>无</w:t>
      </w:r>
    </w:p>
    <w:p w14:paraId="7B763553"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支付的其他与经营活动有关的现金</w:t>
      </w:r>
    </w:p>
    <w:p w14:paraId="00E89DBA"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单位：元</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1AF3489A"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F7A3B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4F7CD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752AA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上期发生额</w:t>
            </w:r>
          </w:p>
        </w:tc>
      </w:tr>
      <w:tr w:rsidR="006C011D" w:rsidRPr="005A284F" w14:paraId="6D2AEB24"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vAlign w:val="center"/>
          </w:tcPr>
          <w:p w14:paraId="02350B4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管理费用支出</w:t>
            </w:r>
          </w:p>
        </w:tc>
        <w:tc>
          <w:tcPr>
            <w:tcW w:w="3213" w:type="dxa"/>
            <w:tcBorders>
              <w:top w:val="single" w:sz="2" w:space="0" w:color="auto"/>
              <w:left w:val="single" w:sz="2" w:space="0" w:color="auto"/>
              <w:bottom w:val="single" w:sz="2" w:space="0" w:color="auto"/>
              <w:right w:val="single" w:sz="2" w:space="0" w:color="auto"/>
            </w:tcBorders>
            <w:vAlign w:val="center"/>
          </w:tcPr>
          <w:p w14:paraId="47FF23C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41,646,420.03</w:t>
            </w:r>
          </w:p>
        </w:tc>
        <w:tc>
          <w:tcPr>
            <w:tcW w:w="3213" w:type="dxa"/>
            <w:tcBorders>
              <w:top w:val="single" w:sz="2" w:space="0" w:color="auto"/>
              <w:left w:val="single" w:sz="2" w:space="0" w:color="auto"/>
              <w:bottom w:val="single" w:sz="2" w:space="0" w:color="auto"/>
              <w:right w:val="single" w:sz="2" w:space="0" w:color="auto"/>
            </w:tcBorders>
            <w:vAlign w:val="center"/>
          </w:tcPr>
          <w:p w14:paraId="220D240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43,652,034.08</w:t>
            </w:r>
          </w:p>
        </w:tc>
      </w:tr>
      <w:tr w:rsidR="006C011D" w:rsidRPr="005A284F" w14:paraId="426086B9"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vAlign w:val="center"/>
          </w:tcPr>
          <w:p w14:paraId="228BA76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销售费用支出</w:t>
            </w:r>
          </w:p>
        </w:tc>
        <w:tc>
          <w:tcPr>
            <w:tcW w:w="3213" w:type="dxa"/>
            <w:tcBorders>
              <w:top w:val="single" w:sz="2" w:space="0" w:color="auto"/>
              <w:left w:val="single" w:sz="2" w:space="0" w:color="auto"/>
              <w:bottom w:val="single" w:sz="2" w:space="0" w:color="auto"/>
              <w:right w:val="single" w:sz="2" w:space="0" w:color="auto"/>
            </w:tcBorders>
            <w:vAlign w:val="center"/>
          </w:tcPr>
          <w:p w14:paraId="62A321C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15,830,139.25</w:t>
            </w:r>
          </w:p>
        </w:tc>
        <w:tc>
          <w:tcPr>
            <w:tcW w:w="3213" w:type="dxa"/>
            <w:tcBorders>
              <w:top w:val="single" w:sz="2" w:space="0" w:color="auto"/>
              <w:left w:val="single" w:sz="2" w:space="0" w:color="auto"/>
              <w:bottom w:val="single" w:sz="2" w:space="0" w:color="auto"/>
              <w:right w:val="single" w:sz="2" w:space="0" w:color="auto"/>
            </w:tcBorders>
            <w:vAlign w:val="center"/>
          </w:tcPr>
          <w:p w14:paraId="2753513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9,809,472.92</w:t>
            </w:r>
          </w:p>
        </w:tc>
      </w:tr>
      <w:tr w:rsidR="006C011D" w:rsidRPr="005A284F" w14:paraId="108FF03B"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vAlign w:val="center"/>
          </w:tcPr>
          <w:p w14:paraId="0C1D40D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财务费用支出</w:t>
            </w:r>
          </w:p>
        </w:tc>
        <w:tc>
          <w:tcPr>
            <w:tcW w:w="3213" w:type="dxa"/>
            <w:tcBorders>
              <w:top w:val="single" w:sz="2" w:space="0" w:color="auto"/>
              <w:left w:val="single" w:sz="2" w:space="0" w:color="auto"/>
              <w:bottom w:val="single" w:sz="2" w:space="0" w:color="auto"/>
              <w:right w:val="single" w:sz="2" w:space="0" w:color="auto"/>
            </w:tcBorders>
            <w:vAlign w:val="center"/>
          </w:tcPr>
          <w:p w14:paraId="594C9B6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886,883.53</w:t>
            </w:r>
          </w:p>
        </w:tc>
        <w:tc>
          <w:tcPr>
            <w:tcW w:w="3213" w:type="dxa"/>
            <w:tcBorders>
              <w:top w:val="single" w:sz="2" w:space="0" w:color="auto"/>
              <w:left w:val="single" w:sz="2" w:space="0" w:color="auto"/>
              <w:bottom w:val="single" w:sz="2" w:space="0" w:color="auto"/>
              <w:right w:val="single" w:sz="2" w:space="0" w:color="auto"/>
            </w:tcBorders>
            <w:vAlign w:val="center"/>
          </w:tcPr>
          <w:p w14:paraId="6AF33D9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959,465.42</w:t>
            </w:r>
          </w:p>
        </w:tc>
      </w:tr>
      <w:tr w:rsidR="006C011D" w:rsidRPr="005A284F" w14:paraId="467AE885"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vAlign w:val="center"/>
          </w:tcPr>
          <w:p w14:paraId="0A0BD2E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押金保证金备用金等</w:t>
            </w:r>
          </w:p>
        </w:tc>
        <w:tc>
          <w:tcPr>
            <w:tcW w:w="3213" w:type="dxa"/>
            <w:tcBorders>
              <w:top w:val="single" w:sz="2" w:space="0" w:color="auto"/>
              <w:left w:val="single" w:sz="2" w:space="0" w:color="auto"/>
              <w:bottom w:val="single" w:sz="2" w:space="0" w:color="auto"/>
              <w:right w:val="single" w:sz="2" w:space="0" w:color="auto"/>
            </w:tcBorders>
            <w:vAlign w:val="center"/>
          </w:tcPr>
          <w:p w14:paraId="02A65ED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76,971,301.06</w:t>
            </w:r>
          </w:p>
        </w:tc>
        <w:tc>
          <w:tcPr>
            <w:tcW w:w="3213" w:type="dxa"/>
            <w:tcBorders>
              <w:top w:val="single" w:sz="2" w:space="0" w:color="auto"/>
              <w:left w:val="single" w:sz="2" w:space="0" w:color="auto"/>
              <w:bottom w:val="single" w:sz="2" w:space="0" w:color="auto"/>
              <w:right w:val="single" w:sz="2" w:space="0" w:color="auto"/>
            </w:tcBorders>
            <w:vAlign w:val="center"/>
          </w:tcPr>
          <w:p w14:paraId="4391ABD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72,659,530.74</w:t>
            </w:r>
          </w:p>
        </w:tc>
      </w:tr>
      <w:tr w:rsidR="006C011D" w:rsidRPr="005A284F" w14:paraId="7EDEB64C"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371FBD"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1C9854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135,334,743.87</w:t>
            </w:r>
          </w:p>
        </w:tc>
        <w:tc>
          <w:tcPr>
            <w:tcW w:w="3213" w:type="dxa"/>
            <w:tcBorders>
              <w:top w:val="single" w:sz="2" w:space="0" w:color="auto"/>
              <w:left w:val="single" w:sz="2" w:space="0" w:color="auto"/>
              <w:bottom w:val="single" w:sz="2" w:space="0" w:color="auto"/>
              <w:right w:val="single" w:sz="2" w:space="0" w:color="auto"/>
            </w:tcBorders>
            <w:vAlign w:val="center"/>
          </w:tcPr>
          <w:p w14:paraId="2B0BCDB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127,080,503.16</w:t>
            </w:r>
          </w:p>
        </w:tc>
      </w:tr>
    </w:tbl>
    <w:p w14:paraId="41047EE4"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支付的其他与经营活动有关的现金说明：</w:t>
      </w:r>
    </w:p>
    <w:p w14:paraId="6484BF47" w14:textId="77777777" w:rsidR="000309B5" w:rsidRPr="005A284F" w:rsidRDefault="00000000">
      <w:pPr>
        <w:pStyle w:val="a3"/>
        <w:divId w:val="673803672"/>
        <w:rPr>
          <w:rFonts w:ascii="Times New Roman" w:hAnsi="Times New Roman" w:cs="Times New Roman"/>
          <w:sz w:val="18"/>
          <w:szCs w:val="18"/>
        </w:rPr>
      </w:pPr>
      <w:r w:rsidRPr="005A284F">
        <w:rPr>
          <w:rFonts w:ascii="Times New Roman" w:hAnsi="Times New Roman" w:cs="Times New Roman"/>
          <w:sz w:val="18"/>
          <w:szCs w:val="18"/>
        </w:rPr>
        <w:t>无</w:t>
      </w:r>
    </w:p>
    <w:p w14:paraId="53AAE773" w14:textId="01446366"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339" w:name="_Toc989271"/>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2</w:t>
      </w:r>
      <w:r w:rsidRPr="005A284F">
        <w:rPr>
          <w:rFonts w:ascii="Times New Roman" w:eastAsia="宋体" w:hAnsi="Times New Roman" w:cs="Times New Roman"/>
          <w:b/>
          <w:bCs/>
          <w:sz w:val="21"/>
          <w:szCs w:val="21"/>
        </w:rPr>
        <w:t>）与投资活动有关的现金</w:t>
      </w:r>
      <w:bookmarkEnd w:id="339"/>
    </w:p>
    <w:p w14:paraId="64B6CD5B" w14:textId="77777777" w:rsidR="000309B5" w:rsidRPr="005A284F" w:rsidRDefault="00000000">
      <w:pPr>
        <w:pStyle w:val="a3"/>
        <w:divId w:val="1759671476"/>
        <w:rPr>
          <w:rFonts w:ascii="Times New Roman" w:hAnsi="Times New Roman" w:cs="Times New Roman"/>
          <w:sz w:val="18"/>
          <w:szCs w:val="18"/>
        </w:rPr>
      </w:pPr>
      <w:r w:rsidRPr="005A284F">
        <w:rPr>
          <w:rFonts w:ascii="Times New Roman" w:hAnsi="Times New Roman" w:cs="Times New Roman"/>
          <w:sz w:val="18"/>
          <w:szCs w:val="18"/>
        </w:rPr>
        <w:t>无</w:t>
      </w:r>
    </w:p>
    <w:p w14:paraId="53F115AB" w14:textId="37A5EE10"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340" w:name="_Toc989272"/>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3</w:t>
      </w:r>
      <w:r w:rsidRPr="005A284F">
        <w:rPr>
          <w:rFonts w:ascii="Times New Roman" w:eastAsia="宋体" w:hAnsi="Times New Roman" w:cs="Times New Roman"/>
          <w:b/>
          <w:bCs/>
          <w:sz w:val="21"/>
          <w:szCs w:val="21"/>
        </w:rPr>
        <w:t>）与筹资活动有关的现金</w:t>
      </w:r>
      <w:bookmarkEnd w:id="340"/>
    </w:p>
    <w:p w14:paraId="62D91364"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收到的其他与筹资活动有关的现金</w:t>
      </w:r>
    </w:p>
    <w:p w14:paraId="3CC9CE1A"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09022D33"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F48F1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214DE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B7534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上期发生额</w:t>
            </w:r>
          </w:p>
        </w:tc>
      </w:tr>
      <w:tr w:rsidR="006C011D" w:rsidRPr="005A284F" w14:paraId="5EC932FA"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vAlign w:val="center"/>
          </w:tcPr>
          <w:p w14:paraId="338CBAB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融资租赁款</w:t>
            </w:r>
          </w:p>
        </w:tc>
        <w:tc>
          <w:tcPr>
            <w:tcW w:w="3213" w:type="dxa"/>
            <w:tcBorders>
              <w:top w:val="single" w:sz="2" w:space="0" w:color="auto"/>
              <w:left w:val="single" w:sz="2" w:space="0" w:color="auto"/>
              <w:bottom w:val="single" w:sz="2" w:space="0" w:color="auto"/>
              <w:right w:val="single" w:sz="2" w:space="0" w:color="auto"/>
            </w:tcBorders>
            <w:vAlign w:val="center"/>
          </w:tcPr>
          <w:p w14:paraId="38E4F43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55,000,000.00</w:t>
            </w:r>
          </w:p>
        </w:tc>
        <w:tc>
          <w:tcPr>
            <w:tcW w:w="3213" w:type="dxa"/>
            <w:tcBorders>
              <w:top w:val="single" w:sz="2" w:space="0" w:color="auto"/>
              <w:left w:val="single" w:sz="2" w:space="0" w:color="auto"/>
              <w:bottom w:val="single" w:sz="2" w:space="0" w:color="auto"/>
              <w:right w:val="single" w:sz="2" w:space="0" w:color="auto"/>
            </w:tcBorders>
            <w:vAlign w:val="center"/>
          </w:tcPr>
          <w:p w14:paraId="427A097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60,000,000.00</w:t>
            </w:r>
          </w:p>
        </w:tc>
      </w:tr>
      <w:tr w:rsidR="006C011D" w:rsidRPr="005A284F" w14:paraId="468FD17E"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vAlign w:val="center"/>
          </w:tcPr>
          <w:p w14:paraId="67B5957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票据、供应链融资收款</w:t>
            </w:r>
          </w:p>
        </w:tc>
        <w:tc>
          <w:tcPr>
            <w:tcW w:w="3213" w:type="dxa"/>
            <w:tcBorders>
              <w:top w:val="single" w:sz="2" w:space="0" w:color="auto"/>
              <w:left w:val="single" w:sz="2" w:space="0" w:color="auto"/>
              <w:bottom w:val="single" w:sz="2" w:space="0" w:color="auto"/>
              <w:right w:val="single" w:sz="2" w:space="0" w:color="auto"/>
            </w:tcBorders>
            <w:vAlign w:val="center"/>
          </w:tcPr>
          <w:p w14:paraId="3C3488C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707,545,827.28</w:t>
            </w:r>
          </w:p>
        </w:tc>
        <w:tc>
          <w:tcPr>
            <w:tcW w:w="3213" w:type="dxa"/>
            <w:tcBorders>
              <w:top w:val="single" w:sz="2" w:space="0" w:color="auto"/>
              <w:left w:val="single" w:sz="2" w:space="0" w:color="auto"/>
              <w:bottom w:val="single" w:sz="2" w:space="0" w:color="auto"/>
              <w:right w:val="single" w:sz="2" w:space="0" w:color="auto"/>
            </w:tcBorders>
            <w:vAlign w:val="center"/>
          </w:tcPr>
          <w:p w14:paraId="466FB56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705,070,868.05</w:t>
            </w:r>
          </w:p>
        </w:tc>
      </w:tr>
      <w:tr w:rsidR="006C011D" w:rsidRPr="005A284F" w14:paraId="3A1936BE"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649FC6"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2D522FF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762,545,827.28</w:t>
            </w:r>
          </w:p>
        </w:tc>
        <w:tc>
          <w:tcPr>
            <w:tcW w:w="3213" w:type="dxa"/>
            <w:tcBorders>
              <w:top w:val="single" w:sz="2" w:space="0" w:color="auto"/>
              <w:left w:val="single" w:sz="2" w:space="0" w:color="auto"/>
              <w:bottom w:val="single" w:sz="2" w:space="0" w:color="auto"/>
              <w:right w:val="single" w:sz="2" w:space="0" w:color="auto"/>
            </w:tcBorders>
            <w:vAlign w:val="center"/>
          </w:tcPr>
          <w:p w14:paraId="45070A0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765,070,868.05</w:t>
            </w:r>
          </w:p>
        </w:tc>
      </w:tr>
    </w:tbl>
    <w:p w14:paraId="7455DC54"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收到的其他与筹资活动有关的现金说明：</w:t>
      </w:r>
    </w:p>
    <w:p w14:paraId="1CF28365" w14:textId="77777777" w:rsidR="000309B5" w:rsidRPr="005A284F" w:rsidRDefault="00000000">
      <w:pPr>
        <w:pStyle w:val="a3"/>
        <w:divId w:val="1586107910"/>
        <w:rPr>
          <w:rFonts w:ascii="Times New Roman" w:hAnsi="Times New Roman" w:cs="Times New Roman"/>
          <w:sz w:val="18"/>
          <w:szCs w:val="18"/>
        </w:rPr>
      </w:pPr>
      <w:r w:rsidRPr="005A284F">
        <w:rPr>
          <w:rFonts w:ascii="Times New Roman" w:hAnsi="Times New Roman" w:cs="Times New Roman"/>
          <w:sz w:val="18"/>
          <w:szCs w:val="18"/>
        </w:rPr>
        <w:t>无</w:t>
      </w:r>
    </w:p>
    <w:p w14:paraId="1EA77D5B"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支付的其他与筹资活动有关的现金</w:t>
      </w:r>
    </w:p>
    <w:p w14:paraId="1A80C05C"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670A0D9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605B0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90A13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86738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上期发生额</w:t>
            </w:r>
          </w:p>
        </w:tc>
      </w:tr>
      <w:tr w:rsidR="006C011D" w:rsidRPr="005A284F" w14:paraId="743DB15C"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7B8C2D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14:paraId="56164E5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8,974,271.92</w:t>
            </w:r>
          </w:p>
        </w:tc>
        <w:tc>
          <w:tcPr>
            <w:tcW w:w="3213" w:type="dxa"/>
            <w:tcBorders>
              <w:top w:val="single" w:sz="2" w:space="0" w:color="auto"/>
              <w:left w:val="single" w:sz="2" w:space="0" w:color="auto"/>
              <w:bottom w:val="single" w:sz="2" w:space="0" w:color="auto"/>
              <w:right w:val="single" w:sz="2" w:space="0" w:color="auto"/>
            </w:tcBorders>
            <w:vAlign w:val="center"/>
          </w:tcPr>
          <w:p w14:paraId="30C798C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5,458,203.42</w:t>
            </w:r>
          </w:p>
        </w:tc>
      </w:tr>
      <w:tr w:rsidR="006C011D" w:rsidRPr="005A284F" w14:paraId="243DCDE6"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DC9FBC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其他融资费用</w:t>
            </w:r>
          </w:p>
        </w:tc>
        <w:tc>
          <w:tcPr>
            <w:tcW w:w="3213" w:type="dxa"/>
            <w:tcBorders>
              <w:top w:val="single" w:sz="2" w:space="0" w:color="auto"/>
              <w:left w:val="single" w:sz="2" w:space="0" w:color="auto"/>
              <w:bottom w:val="single" w:sz="2" w:space="0" w:color="auto"/>
              <w:right w:val="single" w:sz="2" w:space="0" w:color="auto"/>
            </w:tcBorders>
            <w:vAlign w:val="center"/>
          </w:tcPr>
          <w:p w14:paraId="48CDB82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2,160,909.98</w:t>
            </w:r>
          </w:p>
        </w:tc>
        <w:tc>
          <w:tcPr>
            <w:tcW w:w="3213" w:type="dxa"/>
            <w:tcBorders>
              <w:top w:val="single" w:sz="2" w:space="0" w:color="auto"/>
              <w:left w:val="single" w:sz="2" w:space="0" w:color="auto"/>
              <w:bottom w:val="single" w:sz="2" w:space="0" w:color="auto"/>
              <w:right w:val="single" w:sz="2" w:space="0" w:color="auto"/>
            </w:tcBorders>
            <w:vAlign w:val="center"/>
          </w:tcPr>
          <w:p w14:paraId="171F3B97" w14:textId="41B16A80"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441458DD"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210B35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票据、供应链融资付款</w:t>
            </w:r>
          </w:p>
        </w:tc>
        <w:tc>
          <w:tcPr>
            <w:tcW w:w="3213" w:type="dxa"/>
            <w:tcBorders>
              <w:top w:val="single" w:sz="2" w:space="0" w:color="auto"/>
              <w:left w:val="single" w:sz="2" w:space="0" w:color="auto"/>
              <w:bottom w:val="single" w:sz="2" w:space="0" w:color="auto"/>
              <w:right w:val="single" w:sz="2" w:space="0" w:color="auto"/>
            </w:tcBorders>
            <w:vAlign w:val="center"/>
          </w:tcPr>
          <w:p w14:paraId="05BBFE3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710,057,574.13</w:t>
            </w:r>
          </w:p>
        </w:tc>
        <w:tc>
          <w:tcPr>
            <w:tcW w:w="3213" w:type="dxa"/>
            <w:tcBorders>
              <w:top w:val="single" w:sz="2" w:space="0" w:color="auto"/>
              <w:left w:val="single" w:sz="2" w:space="0" w:color="auto"/>
              <w:bottom w:val="single" w:sz="2" w:space="0" w:color="auto"/>
              <w:right w:val="single" w:sz="2" w:space="0" w:color="auto"/>
            </w:tcBorders>
            <w:vAlign w:val="center"/>
          </w:tcPr>
          <w:p w14:paraId="1813A10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837,729,004.44</w:t>
            </w:r>
          </w:p>
        </w:tc>
      </w:tr>
      <w:tr w:rsidR="00916763" w:rsidRPr="005A284F" w14:paraId="05366C44"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BA1E449" w14:textId="77777777" w:rsidR="00916763" w:rsidRPr="005A284F" w:rsidRDefault="00916763" w:rsidP="00916763">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支付融资租赁款</w:t>
            </w:r>
          </w:p>
        </w:tc>
        <w:tc>
          <w:tcPr>
            <w:tcW w:w="3213" w:type="dxa"/>
            <w:tcBorders>
              <w:top w:val="single" w:sz="2" w:space="0" w:color="auto"/>
              <w:left w:val="single" w:sz="2" w:space="0" w:color="auto"/>
              <w:bottom w:val="single" w:sz="2" w:space="0" w:color="auto"/>
              <w:right w:val="single" w:sz="2" w:space="0" w:color="auto"/>
            </w:tcBorders>
            <w:vAlign w:val="center"/>
          </w:tcPr>
          <w:p w14:paraId="6CBFA1BA" w14:textId="77777777" w:rsidR="00916763" w:rsidRPr="005A284F" w:rsidRDefault="00916763" w:rsidP="0091676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16,173,450.46</w:t>
            </w:r>
          </w:p>
        </w:tc>
        <w:tc>
          <w:tcPr>
            <w:tcW w:w="3213" w:type="dxa"/>
            <w:tcBorders>
              <w:top w:val="single" w:sz="2" w:space="0" w:color="auto"/>
              <w:left w:val="single" w:sz="2" w:space="0" w:color="auto"/>
              <w:bottom w:val="single" w:sz="2" w:space="0" w:color="auto"/>
              <w:right w:val="single" w:sz="2" w:space="0" w:color="auto"/>
            </w:tcBorders>
            <w:vAlign w:val="center"/>
          </w:tcPr>
          <w:p w14:paraId="0EAC5B47" w14:textId="606C739B" w:rsidR="00916763" w:rsidRPr="005A284F" w:rsidRDefault="00916763" w:rsidP="0091676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7,113,451.53</w:t>
            </w:r>
          </w:p>
        </w:tc>
      </w:tr>
      <w:tr w:rsidR="00916763" w:rsidRPr="005A284F" w14:paraId="3A46DD8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E42C65" w14:textId="77777777" w:rsidR="00916763" w:rsidRPr="005A284F" w:rsidRDefault="00916763" w:rsidP="00916763">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3387E14E" w14:textId="77777777" w:rsidR="00916763" w:rsidRPr="005A284F" w:rsidRDefault="00916763" w:rsidP="0091676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737,366,206.49</w:t>
            </w:r>
          </w:p>
        </w:tc>
        <w:tc>
          <w:tcPr>
            <w:tcW w:w="3213" w:type="dxa"/>
            <w:tcBorders>
              <w:top w:val="single" w:sz="2" w:space="0" w:color="auto"/>
              <w:left w:val="single" w:sz="2" w:space="0" w:color="auto"/>
              <w:bottom w:val="single" w:sz="2" w:space="0" w:color="auto"/>
              <w:right w:val="single" w:sz="2" w:space="0" w:color="auto"/>
            </w:tcBorders>
            <w:vAlign w:val="center"/>
          </w:tcPr>
          <w:p w14:paraId="7EDB332A" w14:textId="77777777" w:rsidR="00916763" w:rsidRPr="005A284F" w:rsidRDefault="00916763" w:rsidP="00916763">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850,300,659.39</w:t>
            </w:r>
          </w:p>
        </w:tc>
      </w:tr>
    </w:tbl>
    <w:p w14:paraId="4BAE3779"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支付的其他与筹资活动有关的现金说明：</w:t>
      </w:r>
    </w:p>
    <w:p w14:paraId="75930135" w14:textId="77777777" w:rsidR="000309B5" w:rsidRPr="005A284F" w:rsidRDefault="00000000">
      <w:pPr>
        <w:pStyle w:val="a3"/>
        <w:divId w:val="126700298"/>
        <w:rPr>
          <w:rFonts w:ascii="Times New Roman" w:hAnsi="Times New Roman" w:cs="Times New Roman"/>
          <w:sz w:val="18"/>
          <w:szCs w:val="18"/>
        </w:rPr>
      </w:pPr>
      <w:r w:rsidRPr="005A284F">
        <w:rPr>
          <w:rFonts w:ascii="Times New Roman" w:hAnsi="Times New Roman" w:cs="Times New Roman"/>
          <w:sz w:val="18"/>
          <w:szCs w:val="18"/>
        </w:rPr>
        <w:t>无</w:t>
      </w:r>
    </w:p>
    <w:p w14:paraId="23A24FCF"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筹资活动产生的各项负债变动情况</w:t>
      </w:r>
    </w:p>
    <w:p w14:paraId="24DC6DED" w14:textId="77777777" w:rsidR="006C011D" w:rsidRPr="002D4CF5" w:rsidRDefault="00000000">
      <w:pPr>
        <w:spacing w:before="40" w:after="40" w:line="240" w:lineRule="exact"/>
        <w:rPr>
          <w:rFonts w:ascii="宋体" w:eastAsia="宋体" w:hAnsi="宋体" w:cs="Times New Roman" w:hint="eastAsia"/>
          <w:sz w:val="18"/>
          <w:szCs w:val="18"/>
        </w:rPr>
      </w:pPr>
      <w:r w:rsidRPr="002D4CF5">
        <w:rPr>
          <w:rFonts w:ascii="宋体" w:eastAsia="宋体" w:hAnsi="宋体" w:cs="Times New Roman"/>
          <w:sz w:val="18"/>
          <w:szCs w:val="18"/>
        </w:rPr>
        <w:t xml:space="preserve">□适用 </w:t>
      </w:r>
      <w:r w:rsidRPr="002D4CF5">
        <w:rPr>
          <w:rFonts w:ascii="宋体" w:eastAsia="宋体" w:hAnsi="宋体" w:cs="Times New Roman"/>
          <w:sz w:val="18"/>
          <w:szCs w:val="18"/>
        </w:rPr>
        <w:sym w:font="Wingdings 2" w:char="F052"/>
      </w:r>
      <w:r w:rsidRPr="002D4CF5">
        <w:rPr>
          <w:rFonts w:ascii="宋体" w:eastAsia="宋体" w:hAnsi="宋体" w:cs="Times New Roman"/>
          <w:sz w:val="18"/>
          <w:szCs w:val="18"/>
        </w:rPr>
        <w:t>不适用</w:t>
      </w:r>
    </w:p>
    <w:p w14:paraId="3771D9A4" w14:textId="73AAA384" w:rsidR="006C011D" w:rsidRDefault="00000000">
      <w:pPr>
        <w:keepNext/>
        <w:keepLines/>
        <w:spacing w:before="300" w:after="300" w:line="280" w:lineRule="exact"/>
        <w:outlineLvl w:val="3"/>
        <w:rPr>
          <w:rFonts w:ascii="Times New Roman" w:eastAsia="宋体" w:hAnsi="Times New Roman" w:cs="Times New Roman"/>
          <w:b/>
          <w:bCs/>
          <w:sz w:val="21"/>
          <w:szCs w:val="21"/>
        </w:rPr>
      </w:pPr>
      <w:bookmarkStart w:id="341" w:name="_Toc989273"/>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4</w:t>
      </w:r>
      <w:r w:rsidRPr="005A284F">
        <w:rPr>
          <w:rFonts w:ascii="Times New Roman" w:eastAsia="宋体" w:hAnsi="Times New Roman" w:cs="Times New Roman"/>
          <w:b/>
          <w:bCs/>
          <w:sz w:val="21"/>
          <w:szCs w:val="21"/>
        </w:rPr>
        <w:t>）以净额列报现金流量的说明</w:t>
      </w:r>
      <w:bookmarkEnd w:id="341"/>
    </w:p>
    <w:p w14:paraId="577D00CE" w14:textId="2C20C87B" w:rsidR="001C2948" w:rsidRPr="001C2948" w:rsidRDefault="001C2948" w:rsidP="001C2948">
      <w:pPr>
        <w:pStyle w:val="a3"/>
        <w:rPr>
          <w:rFonts w:ascii="Times New Roman" w:hAnsi="Times New Roman" w:cs="Times New Roman"/>
          <w:sz w:val="18"/>
          <w:szCs w:val="18"/>
        </w:rPr>
      </w:pPr>
      <w:r w:rsidRPr="005A284F">
        <w:rPr>
          <w:rFonts w:ascii="Times New Roman" w:hAnsi="Times New Roman" w:cs="Times New Roman"/>
          <w:sz w:val="18"/>
          <w:szCs w:val="18"/>
        </w:rPr>
        <w:t>无</w:t>
      </w:r>
    </w:p>
    <w:p w14:paraId="3E4EE58D" w14:textId="00B7DA46"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342" w:name="_Toc989274"/>
      <w:r w:rsidRPr="005A284F">
        <w:rPr>
          <w:rFonts w:ascii="Times New Roman" w:eastAsia="宋体" w:hAnsi="Times New Roman" w:cs="Times New Roman"/>
          <w:b/>
          <w:bCs/>
          <w:sz w:val="21"/>
          <w:szCs w:val="21"/>
        </w:rPr>
        <w:lastRenderedPageBreak/>
        <w:t>（</w:t>
      </w:r>
      <w:r w:rsidRPr="005A284F">
        <w:rPr>
          <w:rFonts w:ascii="Times New Roman" w:eastAsia="宋体" w:hAnsi="Times New Roman" w:cs="Times New Roman"/>
          <w:b/>
          <w:bCs/>
          <w:sz w:val="21"/>
          <w:szCs w:val="21"/>
        </w:rPr>
        <w:t>5</w:t>
      </w:r>
      <w:r w:rsidRPr="005A284F">
        <w:rPr>
          <w:rFonts w:ascii="Times New Roman" w:eastAsia="宋体" w:hAnsi="Times New Roman" w:cs="Times New Roman"/>
          <w:b/>
          <w:bCs/>
          <w:sz w:val="21"/>
          <w:szCs w:val="21"/>
        </w:rPr>
        <w:t>）不涉及当期现金收支、但影响企业财务状况或在未来可能影响企业现金流量的重大活动及财务影响</w:t>
      </w:r>
      <w:bookmarkEnd w:id="342"/>
    </w:p>
    <w:p w14:paraId="73C9302E" w14:textId="77777777" w:rsidR="000309B5" w:rsidRPr="005A284F" w:rsidRDefault="00000000">
      <w:pPr>
        <w:pStyle w:val="a3"/>
        <w:divId w:val="380982629"/>
        <w:rPr>
          <w:rFonts w:ascii="Times New Roman" w:hAnsi="Times New Roman" w:cs="Times New Roman"/>
          <w:sz w:val="18"/>
          <w:szCs w:val="18"/>
        </w:rPr>
      </w:pPr>
      <w:r w:rsidRPr="005A284F">
        <w:rPr>
          <w:rFonts w:ascii="Times New Roman" w:hAnsi="Times New Roman" w:cs="Times New Roman"/>
          <w:sz w:val="18"/>
          <w:szCs w:val="18"/>
        </w:rPr>
        <w:t>无</w:t>
      </w:r>
    </w:p>
    <w:p w14:paraId="084A4C60" w14:textId="77777777" w:rsidR="006C011D" w:rsidRPr="005A284F" w:rsidRDefault="00000000">
      <w:pPr>
        <w:pStyle w:val="3"/>
        <w:spacing w:line="280" w:lineRule="exact"/>
        <w:jc w:val="left"/>
        <w:rPr>
          <w:rFonts w:ascii="Times New Roman" w:hAnsi="Times New Roman" w:cs="Times New Roman"/>
          <w:b/>
          <w:bCs/>
        </w:rPr>
      </w:pPr>
      <w:bookmarkStart w:id="343" w:name="_Toc989275"/>
      <w:r w:rsidRPr="005A284F">
        <w:rPr>
          <w:rFonts w:ascii="Times New Roman" w:hAnsi="Times New Roman" w:cs="Times New Roman"/>
          <w:b/>
          <w:bCs/>
        </w:rPr>
        <w:t>79</w:t>
      </w:r>
      <w:r w:rsidRPr="005A284F">
        <w:rPr>
          <w:rFonts w:ascii="Times New Roman" w:hAnsi="Times New Roman" w:cs="Times New Roman"/>
          <w:b/>
          <w:bCs/>
        </w:rPr>
        <w:t>、现金流量表补充资料</w:t>
      </w:r>
      <w:bookmarkEnd w:id="343"/>
    </w:p>
    <w:p w14:paraId="2560B580" w14:textId="283D5CC3"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344" w:name="_Toc989276"/>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1</w:t>
      </w:r>
      <w:r w:rsidRPr="005A284F">
        <w:rPr>
          <w:rFonts w:ascii="Times New Roman" w:eastAsia="宋体" w:hAnsi="Times New Roman" w:cs="Times New Roman"/>
          <w:b/>
          <w:bCs/>
          <w:sz w:val="21"/>
          <w:szCs w:val="21"/>
        </w:rPr>
        <w:t>）现金流量表补充资料</w:t>
      </w:r>
      <w:bookmarkEnd w:id="344"/>
    </w:p>
    <w:p w14:paraId="0A1FB2F0"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6ED3E422"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2066F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补充资料</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1A2FD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AB75D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上期金额</w:t>
            </w:r>
          </w:p>
        </w:tc>
      </w:tr>
      <w:tr w:rsidR="006C011D" w:rsidRPr="005A284F" w14:paraId="30BB564B"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E3ED4D"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．将净利润调节为经营活动现金流量：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13940A" w14:textId="77777777" w:rsidR="006C011D" w:rsidRPr="005A284F" w:rsidRDefault="006C011D">
            <w:pPr>
              <w:rPr>
                <w:rFonts w:ascii="Times New Roman" w:eastAsia="宋体"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232124" w14:textId="77777777" w:rsidR="006C011D" w:rsidRPr="005A284F" w:rsidRDefault="006C011D">
            <w:pPr>
              <w:rPr>
                <w:rFonts w:ascii="Times New Roman" w:eastAsia="宋体" w:hAnsi="Times New Roman" w:cs="Times New Roman"/>
              </w:rPr>
            </w:pPr>
          </w:p>
        </w:tc>
      </w:tr>
      <w:tr w:rsidR="006C011D" w:rsidRPr="005A284F" w14:paraId="59A038A4"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EA4A99"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净利润</w:t>
            </w:r>
          </w:p>
        </w:tc>
        <w:tc>
          <w:tcPr>
            <w:tcW w:w="3213" w:type="dxa"/>
            <w:tcBorders>
              <w:top w:val="single" w:sz="2" w:space="0" w:color="auto"/>
              <w:left w:val="single" w:sz="2" w:space="0" w:color="auto"/>
              <w:bottom w:val="single" w:sz="2" w:space="0" w:color="auto"/>
              <w:right w:val="single" w:sz="2" w:space="0" w:color="auto"/>
            </w:tcBorders>
            <w:vAlign w:val="center"/>
          </w:tcPr>
          <w:p w14:paraId="403C90C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30,736,228.98</w:t>
            </w:r>
          </w:p>
        </w:tc>
        <w:tc>
          <w:tcPr>
            <w:tcW w:w="3213" w:type="dxa"/>
            <w:tcBorders>
              <w:top w:val="single" w:sz="2" w:space="0" w:color="auto"/>
              <w:left w:val="single" w:sz="2" w:space="0" w:color="auto"/>
              <w:bottom w:val="single" w:sz="2" w:space="0" w:color="auto"/>
              <w:right w:val="single" w:sz="2" w:space="0" w:color="auto"/>
            </w:tcBorders>
            <w:vAlign w:val="center"/>
          </w:tcPr>
          <w:p w14:paraId="6E8AB07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63,560,554.60</w:t>
            </w:r>
          </w:p>
        </w:tc>
      </w:tr>
      <w:tr w:rsidR="006C011D" w:rsidRPr="005A284F" w14:paraId="22DE20CB"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A9D7FF"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加：资产减值准备</w:t>
            </w:r>
          </w:p>
        </w:tc>
        <w:tc>
          <w:tcPr>
            <w:tcW w:w="3213" w:type="dxa"/>
            <w:tcBorders>
              <w:top w:val="single" w:sz="2" w:space="0" w:color="auto"/>
              <w:left w:val="single" w:sz="2" w:space="0" w:color="auto"/>
              <w:bottom w:val="single" w:sz="2" w:space="0" w:color="auto"/>
              <w:right w:val="single" w:sz="2" w:space="0" w:color="auto"/>
            </w:tcBorders>
            <w:vAlign w:val="center"/>
          </w:tcPr>
          <w:p w14:paraId="78D04B7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-46,113,437.79</w:t>
            </w:r>
          </w:p>
        </w:tc>
        <w:tc>
          <w:tcPr>
            <w:tcW w:w="3213" w:type="dxa"/>
            <w:tcBorders>
              <w:top w:val="single" w:sz="2" w:space="0" w:color="auto"/>
              <w:left w:val="single" w:sz="2" w:space="0" w:color="auto"/>
              <w:bottom w:val="single" w:sz="2" w:space="0" w:color="auto"/>
              <w:right w:val="single" w:sz="2" w:space="0" w:color="auto"/>
            </w:tcBorders>
            <w:vAlign w:val="center"/>
          </w:tcPr>
          <w:p w14:paraId="69EC21E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-162,895,882.59</w:t>
            </w:r>
          </w:p>
        </w:tc>
      </w:tr>
      <w:tr w:rsidR="006C011D" w:rsidRPr="005A284F" w14:paraId="4CE6464B"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9CDF37" w14:textId="77777777" w:rsidR="006C011D" w:rsidRPr="005A284F" w:rsidRDefault="00000000">
            <w:pPr>
              <w:spacing w:before="40" w:after="4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固定资产折旧、油气资产折耗、生产性生物资产折旧</w:t>
            </w:r>
          </w:p>
        </w:tc>
        <w:tc>
          <w:tcPr>
            <w:tcW w:w="3213" w:type="dxa"/>
            <w:tcBorders>
              <w:top w:val="single" w:sz="2" w:space="0" w:color="auto"/>
              <w:left w:val="single" w:sz="2" w:space="0" w:color="auto"/>
              <w:bottom w:val="single" w:sz="2" w:space="0" w:color="auto"/>
              <w:right w:val="single" w:sz="2" w:space="0" w:color="auto"/>
            </w:tcBorders>
            <w:vAlign w:val="center"/>
          </w:tcPr>
          <w:p w14:paraId="232C2829" w14:textId="69D07D52" w:rsidR="006C011D" w:rsidRPr="005A284F" w:rsidRDefault="00916763">
            <w:pPr>
              <w:spacing w:after="0"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9</w:t>
            </w:r>
            <w:r w:rsidRPr="005A284F">
              <w:rPr>
                <w:rFonts w:ascii="Times New Roman" w:eastAsia="宋体" w:hAnsi="Times New Roman" w:cs="Times New Roman"/>
                <w:sz w:val="18"/>
                <w:szCs w:val="18"/>
              </w:rPr>
              <w:t>2,921,499.18</w:t>
            </w:r>
          </w:p>
        </w:tc>
        <w:tc>
          <w:tcPr>
            <w:tcW w:w="3213" w:type="dxa"/>
            <w:tcBorders>
              <w:top w:val="single" w:sz="2" w:space="0" w:color="auto"/>
              <w:left w:val="single" w:sz="2" w:space="0" w:color="auto"/>
              <w:bottom w:val="single" w:sz="2" w:space="0" w:color="auto"/>
              <w:right w:val="single" w:sz="2" w:space="0" w:color="auto"/>
            </w:tcBorders>
            <w:vAlign w:val="center"/>
          </w:tcPr>
          <w:p w14:paraId="700D64F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80,318,698.69</w:t>
            </w:r>
          </w:p>
        </w:tc>
      </w:tr>
      <w:tr w:rsidR="006C011D" w:rsidRPr="005A284F" w14:paraId="4FC03273"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2395DF" w14:textId="77777777" w:rsidR="006C011D" w:rsidRPr="005A284F" w:rsidRDefault="00000000">
            <w:pPr>
              <w:spacing w:before="40" w:after="4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使用权资产折旧</w:t>
            </w:r>
          </w:p>
        </w:tc>
        <w:tc>
          <w:tcPr>
            <w:tcW w:w="3213" w:type="dxa"/>
            <w:tcBorders>
              <w:top w:val="single" w:sz="2" w:space="0" w:color="auto"/>
              <w:left w:val="single" w:sz="2" w:space="0" w:color="auto"/>
              <w:bottom w:val="single" w:sz="2" w:space="0" w:color="auto"/>
              <w:right w:val="single" w:sz="2" w:space="0" w:color="auto"/>
            </w:tcBorders>
            <w:vAlign w:val="center"/>
          </w:tcPr>
          <w:p w14:paraId="253951B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3,852,066.57</w:t>
            </w:r>
          </w:p>
        </w:tc>
        <w:tc>
          <w:tcPr>
            <w:tcW w:w="3213" w:type="dxa"/>
            <w:tcBorders>
              <w:top w:val="single" w:sz="2" w:space="0" w:color="auto"/>
              <w:left w:val="single" w:sz="2" w:space="0" w:color="auto"/>
              <w:bottom w:val="single" w:sz="2" w:space="0" w:color="auto"/>
              <w:right w:val="single" w:sz="2" w:space="0" w:color="auto"/>
            </w:tcBorders>
            <w:vAlign w:val="center"/>
          </w:tcPr>
          <w:p w14:paraId="22FFF0A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3,474,936.00</w:t>
            </w:r>
          </w:p>
        </w:tc>
      </w:tr>
      <w:tr w:rsidR="006C011D" w:rsidRPr="005A284F" w14:paraId="3EA330FC"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5C4251" w14:textId="77777777" w:rsidR="006C011D" w:rsidRPr="005A284F" w:rsidRDefault="00000000">
            <w:pPr>
              <w:spacing w:before="40" w:after="4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无形资产摊销</w:t>
            </w:r>
          </w:p>
        </w:tc>
        <w:tc>
          <w:tcPr>
            <w:tcW w:w="3213" w:type="dxa"/>
            <w:tcBorders>
              <w:top w:val="single" w:sz="2" w:space="0" w:color="auto"/>
              <w:left w:val="single" w:sz="2" w:space="0" w:color="auto"/>
              <w:bottom w:val="single" w:sz="2" w:space="0" w:color="auto"/>
              <w:right w:val="single" w:sz="2" w:space="0" w:color="auto"/>
            </w:tcBorders>
            <w:vAlign w:val="center"/>
          </w:tcPr>
          <w:p w14:paraId="3D68DD6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2,450,605.05</w:t>
            </w:r>
          </w:p>
        </w:tc>
        <w:tc>
          <w:tcPr>
            <w:tcW w:w="3213" w:type="dxa"/>
            <w:tcBorders>
              <w:top w:val="single" w:sz="2" w:space="0" w:color="auto"/>
              <w:left w:val="single" w:sz="2" w:space="0" w:color="auto"/>
              <w:bottom w:val="single" w:sz="2" w:space="0" w:color="auto"/>
              <w:right w:val="single" w:sz="2" w:space="0" w:color="auto"/>
            </w:tcBorders>
            <w:vAlign w:val="center"/>
          </w:tcPr>
          <w:p w14:paraId="7B0309F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2,717,987.53</w:t>
            </w:r>
          </w:p>
        </w:tc>
      </w:tr>
      <w:tr w:rsidR="006C011D" w:rsidRPr="005A284F" w14:paraId="3B5778AD"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9B19FA" w14:textId="77777777" w:rsidR="006C011D" w:rsidRPr="005A284F" w:rsidRDefault="00000000">
            <w:pPr>
              <w:spacing w:before="40" w:after="4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长期待摊费用摊销</w:t>
            </w:r>
          </w:p>
        </w:tc>
        <w:tc>
          <w:tcPr>
            <w:tcW w:w="3213" w:type="dxa"/>
            <w:tcBorders>
              <w:top w:val="single" w:sz="2" w:space="0" w:color="auto"/>
              <w:left w:val="single" w:sz="2" w:space="0" w:color="auto"/>
              <w:bottom w:val="single" w:sz="2" w:space="0" w:color="auto"/>
              <w:right w:val="single" w:sz="2" w:space="0" w:color="auto"/>
            </w:tcBorders>
            <w:vAlign w:val="center"/>
          </w:tcPr>
          <w:p w14:paraId="7A404AE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1,289,913.30</w:t>
            </w:r>
          </w:p>
        </w:tc>
        <w:tc>
          <w:tcPr>
            <w:tcW w:w="3213" w:type="dxa"/>
            <w:tcBorders>
              <w:top w:val="single" w:sz="2" w:space="0" w:color="auto"/>
              <w:left w:val="single" w:sz="2" w:space="0" w:color="auto"/>
              <w:bottom w:val="single" w:sz="2" w:space="0" w:color="auto"/>
              <w:right w:val="single" w:sz="2" w:space="0" w:color="auto"/>
            </w:tcBorders>
            <w:vAlign w:val="center"/>
          </w:tcPr>
          <w:p w14:paraId="0F86A43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1,885,622.74</w:t>
            </w:r>
          </w:p>
        </w:tc>
      </w:tr>
      <w:tr w:rsidR="006C011D" w:rsidRPr="005A284F" w14:paraId="4E3425FA"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BD4763" w14:textId="77777777" w:rsidR="006C011D" w:rsidRPr="005A284F" w:rsidRDefault="00000000">
            <w:pPr>
              <w:spacing w:before="40" w:after="4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处置固定资产、无形资产和其他长期资产的损失（收益以</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69685FD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1,660,619.06</w:t>
            </w:r>
          </w:p>
        </w:tc>
        <w:tc>
          <w:tcPr>
            <w:tcW w:w="3213" w:type="dxa"/>
            <w:tcBorders>
              <w:top w:val="single" w:sz="2" w:space="0" w:color="auto"/>
              <w:left w:val="single" w:sz="2" w:space="0" w:color="auto"/>
              <w:bottom w:val="single" w:sz="2" w:space="0" w:color="auto"/>
              <w:right w:val="single" w:sz="2" w:space="0" w:color="auto"/>
            </w:tcBorders>
            <w:vAlign w:val="center"/>
          </w:tcPr>
          <w:p w14:paraId="6431311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577,407.87</w:t>
            </w:r>
          </w:p>
        </w:tc>
      </w:tr>
      <w:tr w:rsidR="006C011D" w:rsidRPr="005A284F" w14:paraId="3AA62EE9"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A1C8A1" w14:textId="77777777" w:rsidR="006C011D" w:rsidRPr="005A284F" w:rsidRDefault="00000000">
            <w:pPr>
              <w:spacing w:before="40" w:after="4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固定资产报废损失（收益以</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769A960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407,956.39</w:t>
            </w:r>
          </w:p>
        </w:tc>
        <w:tc>
          <w:tcPr>
            <w:tcW w:w="3213" w:type="dxa"/>
            <w:tcBorders>
              <w:top w:val="single" w:sz="2" w:space="0" w:color="auto"/>
              <w:left w:val="single" w:sz="2" w:space="0" w:color="auto"/>
              <w:bottom w:val="single" w:sz="2" w:space="0" w:color="auto"/>
              <w:right w:val="single" w:sz="2" w:space="0" w:color="auto"/>
            </w:tcBorders>
            <w:vAlign w:val="center"/>
          </w:tcPr>
          <w:p w14:paraId="237AD76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62,989.07</w:t>
            </w:r>
          </w:p>
        </w:tc>
      </w:tr>
      <w:tr w:rsidR="006C011D" w:rsidRPr="005A284F" w14:paraId="5E6BB7DB"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6265BB" w14:textId="77777777" w:rsidR="006C011D" w:rsidRPr="005A284F" w:rsidRDefault="00000000">
            <w:pPr>
              <w:spacing w:before="40" w:after="4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公允价值变动损失（收益以</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1DE57C8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7E7B086"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4BDA61E1"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7928B8" w14:textId="77777777" w:rsidR="006C011D" w:rsidRPr="005A284F" w:rsidRDefault="00000000">
            <w:pPr>
              <w:spacing w:before="40" w:after="4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财务费用（收益以</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741C04B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67,209,757.96</w:t>
            </w:r>
          </w:p>
        </w:tc>
        <w:tc>
          <w:tcPr>
            <w:tcW w:w="3213" w:type="dxa"/>
            <w:tcBorders>
              <w:top w:val="single" w:sz="2" w:space="0" w:color="auto"/>
              <w:left w:val="single" w:sz="2" w:space="0" w:color="auto"/>
              <w:bottom w:val="single" w:sz="2" w:space="0" w:color="auto"/>
              <w:right w:val="single" w:sz="2" w:space="0" w:color="auto"/>
            </w:tcBorders>
            <w:vAlign w:val="center"/>
          </w:tcPr>
          <w:p w14:paraId="71EDD39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54,880,293.96</w:t>
            </w:r>
          </w:p>
        </w:tc>
      </w:tr>
      <w:tr w:rsidR="006C011D" w:rsidRPr="005A284F" w14:paraId="32EC0E98"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E9C67D" w14:textId="77777777" w:rsidR="006C011D" w:rsidRPr="005A284F" w:rsidRDefault="00000000">
            <w:pPr>
              <w:spacing w:before="40" w:after="4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投资损失（收益以</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0A70636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-690,346.28</w:t>
            </w:r>
          </w:p>
        </w:tc>
        <w:tc>
          <w:tcPr>
            <w:tcW w:w="3213" w:type="dxa"/>
            <w:tcBorders>
              <w:top w:val="single" w:sz="2" w:space="0" w:color="auto"/>
              <w:left w:val="single" w:sz="2" w:space="0" w:color="auto"/>
              <w:bottom w:val="single" w:sz="2" w:space="0" w:color="auto"/>
              <w:right w:val="single" w:sz="2" w:space="0" w:color="auto"/>
            </w:tcBorders>
            <w:vAlign w:val="center"/>
          </w:tcPr>
          <w:p w14:paraId="14A256E3"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7640D7EC"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F8A5AD" w14:textId="77777777" w:rsidR="006C011D" w:rsidRPr="005A284F" w:rsidRDefault="00000000">
            <w:pPr>
              <w:spacing w:before="40" w:after="4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递延所得税资产减少（增加以</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71F8AA1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1,152,020.31</w:t>
            </w:r>
          </w:p>
        </w:tc>
        <w:tc>
          <w:tcPr>
            <w:tcW w:w="3213" w:type="dxa"/>
            <w:tcBorders>
              <w:top w:val="single" w:sz="2" w:space="0" w:color="auto"/>
              <w:left w:val="single" w:sz="2" w:space="0" w:color="auto"/>
              <w:bottom w:val="single" w:sz="2" w:space="0" w:color="auto"/>
              <w:right w:val="single" w:sz="2" w:space="0" w:color="auto"/>
            </w:tcBorders>
            <w:vAlign w:val="center"/>
          </w:tcPr>
          <w:p w14:paraId="6BA3640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-6,157,563.92</w:t>
            </w:r>
          </w:p>
        </w:tc>
      </w:tr>
      <w:tr w:rsidR="006C011D" w:rsidRPr="005A284F" w14:paraId="0353ADF1"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A87D49" w14:textId="77777777" w:rsidR="006C011D" w:rsidRPr="005A284F" w:rsidRDefault="00000000">
            <w:pPr>
              <w:spacing w:before="40" w:after="4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递延所得税负债增加（减少以</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4ADB196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-5,755.90</w:t>
            </w:r>
          </w:p>
        </w:tc>
        <w:tc>
          <w:tcPr>
            <w:tcW w:w="3213" w:type="dxa"/>
            <w:tcBorders>
              <w:top w:val="single" w:sz="2" w:space="0" w:color="auto"/>
              <w:left w:val="single" w:sz="2" w:space="0" w:color="auto"/>
              <w:bottom w:val="single" w:sz="2" w:space="0" w:color="auto"/>
              <w:right w:val="single" w:sz="2" w:space="0" w:color="auto"/>
            </w:tcBorders>
            <w:vAlign w:val="center"/>
          </w:tcPr>
          <w:p w14:paraId="526B8ED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9,314.73</w:t>
            </w:r>
          </w:p>
        </w:tc>
      </w:tr>
      <w:tr w:rsidR="006C011D" w:rsidRPr="005A284F" w14:paraId="3D288F16"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44B63E" w14:textId="77777777" w:rsidR="006C011D" w:rsidRPr="005A284F" w:rsidRDefault="00000000">
            <w:pPr>
              <w:spacing w:before="40" w:after="4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存货的减少（增加以</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33102B2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134,582,419.72</w:t>
            </w:r>
          </w:p>
        </w:tc>
        <w:tc>
          <w:tcPr>
            <w:tcW w:w="3213" w:type="dxa"/>
            <w:tcBorders>
              <w:top w:val="single" w:sz="2" w:space="0" w:color="auto"/>
              <w:left w:val="single" w:sz="2" w:space="0" w:color="auto"/>
              <w:bottom w:val="single" w:sz="2" w:space="0" w:color="auto"/>
              <w:right w:val="single" w:sz="2" w:space="0" w:color="auto"/>
            </w:tcBorders>
            <w:vAlign w:val="center"/>
          </w:tcPr>
          <w:p w14:paraId="0E53BA8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38,995,008.81</w:t>
            </w:r>
          </w:p>
        </w:tc>
      </w:tr>
      <w:tr w:rsidR="006C011D" w:rsidRPr="005A284F" w14:paraId="3C279FCC"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060CFE" w14:textId="77777777" w:rsidR="006C011D" w:rsidRPr="005A284F" w:rsidRDefault="00000000">
            <w:pPr>
              <w:spacing w:before="40" w:after="4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经营性应收项目的减少（增加以</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7B2D497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57,808,855.12</w:t>
            </w:r>
          </w:p>
        </w:tc>
        <w:tc>
          <w:tcPr>
            <w:tcW w:w="3213" w:type="dxa"/>
            <w:tcBorders>
              <w:top w:val="single" w:sz="2" w:space="0" w:color="auto"/>
              <w:left w:val="single" w:sz="2" w:space="0" w:color="auto"/>
              <w:bottom w:val="single" w:sz="2" w:space="0" w:color="auto"/>
              <w:right w:val="single" w:sz="2" w:space="0" w:color="auto"/>
            </w:tcBorders>
            <w:vAlign w:val="center"/>
          </w:tcPr>
          <w:p w14:paraId="1368F26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117,052,015.59</w:t>
            </w:r>
          </w:p>
        </w:tc>
      </w:tr>
      <w:tr w:rsidR="006C011D" w:rsidRPr="005A284F" w14:paraId="2E8E0F66"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2A3B29" w14:textId="77777777" w:rsidR="006C011D" w:rsidRPr="005A284F" w:rsidRDefault="00000000">
            <w:pPr>
              <w:spacing w:before="40" w:after="4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经营性应付项目的增加（减少以</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0A2C7CDF" w14:textId="17AD14C9"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000F52DB">
              <w:rPr>
                <w:rFonts w:ascii="Times New Roman" w:eastAsia="宋体" w:hAnsi="Times New Roman" w:cs="Times New Roman" w:hint="eastAsia"/>
                <w:sz w:val="18"/>
                <w:szCs w:val="18"/>
              </w:rPr>
              <w:t>3</w:t>
            </w:r>
            <w:r w:rsidRPr="005A284F">
              <w:rPr>
                <w:rFonts w:ascii="Times New Roman" w:eastAsia="宋体" w:hAnsi="Times New Roman" w:cs="Times New Roman"/>
                <w:sz w:val="18"/>
                <w:szCs w:val="18"/>
              </w:rPr>
              <w:t>3,874,420.86</w:t>
            </w:r>
          </w:p>
        </w:tc>
        <w:tc>
          <w:tcPr>
            <w:tcW w:w="3213" w:type="dxa"/>
            <w:tcBorders>
              <w:top w:val="single" w:sz="2" w:space="0" w:color="auto"/>
              <w:left w:val="single" w:sz="2" w:space="0" w:color="auto"/>
              <w:bottom w:val="single" w:sz="2" w:space="0" w:color="auto"/>
              <w:right w:val="single" w:sz="2" w:space="0" w:color="auto"/>
            </w:tcBorders>
            <w:vAlign w:val="center"/>
          </w:tcPr>
          <w:p w14:paraId="67BF3CD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27,043,849.97</w:t>
            </w:r>
          </w:p>
        </w:tc>
      </w:tr>
      <w:tr w:rsidR="006C011D" w:rsidRPr="005A284F" w14:paraId="345E1ECE"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F1893C" w14:textId="77777777" w:rsidR="006C011D" w:rsidRPr="005A284F" w:rsidRDefault="00000000">
            <w:pPr>
              <w:spacing w:before="40" w:after="4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3F2A79B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B8C6727"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2F29FC30"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D0A44C" w14:textId="77777777" w:rsidR="006C011D" w:rsidRPr="005A284F" w:rsidRDefault="00000000">
            <w:pPr>
              <w:spacing w:before="40" w:after="4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743BBAD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113,387,980.81</w:t>
            </w:r>
          </w:p>
        </w:tc>
        <w:tc>
          <w:tcPr>
            <w:tcW w:w="3213" w:type="dxa"/>
            <w:tcBorders>
              <w:top w:val="single" w:sz="2" w:space="0" w:color="auto"/>
              <w:left w:val="single" w:sz="2" w:space="0" w:color="auto"/>
              <w:bottom w:val="single" w:sz="2" w:space="0" w:color="auto"/>
              <w:right w:val="single" w:sz="2" w:space="0" w:color="auto"/>
            </w:tcBorders>
            <w:vAlign w:val="center"/>
          </w:tcPr>
          <w:p w14:paraId="327AE18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221,525,233.05</w:t>
            </w:r>
          </w:p>
        </w:tc>
      </w:tr>
      <w:tr w:rsidR="006C011D" w:rsidRPr="005A284F" w14:paraId="621F1DC6"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BC8D9C"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．不涉及现金收支的重大投资和筹资活动：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918125" w14:textId="77777777" w:rsidR="006C011D" w:rsidRPr="005A284F" w:rsidRDefault="006C011D">
            <w:pPr>
              <w:rPr>
                <w:rFonts w:ascii="Times New Roman" w:eastAsia="宋体"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1462CE" w14:textId="77777777" w:rsidR="006C011D" w:rsidRPr="005A284F" w:rsidRDefault="006C011D">
            <w:pPr>
              <w:rPr>
                <w:rFonts w:ascii="Times New Roman" w:eastAsia="宋体" w:hAnsi="Times New Roman" w:cs="Times New Roman"/>
              </w:rPr>
            </w:pPr>
          </w:p>
        </w:tc>
      </w:tr>
      <w:tr w:rsidR="006C011D" w:rsidRPr="005A284F" w14:paraId="72B87692"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C623D2"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债务转为资本</w:t>
            </w:r>
          </w:p>
        </w:tc>
        <w:tc>
          <w:tcPr>
            <w:tcW w:w="3213" w:type="dxa"/>
            <w:tcBorders>
              <w:top w:val="single" w:sz="2" w:space="0" w:color="auto"/>
              <w:left w:val="single" w:sz="2" w:space="0" w:color="auto"/>
              <w:bottom w:val="single" w:sz="2" w:space="0" w:color="auto"/>
              <w:right w:val="single" w:sz="2" w:space="0" w:color="auto"/>
            </w:tcBorders>
            <w:vAlign w:val="center"/>
          </w:tcPr>
          <w:p w14:paraId="725928E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182D1D3"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7C4180A0"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A9C6F6"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一年内到期的可转换公司债券</w:t>
            </w:r>
          </w:p>
        </w:tc>
        <w:tc>
          <w:tcPr>
            <w:tcW w:w="3213" w:type="dxa"/>
            <w:tcBorders>
              <w:top w:val="single" w:sz="2" w:space="0" w:color="auto"/>
              <w:left w:val="single" w:sz="2" w:space="0" w:color="auto"/>
              <w:bottom w:val="single" w:sz="2" w:space="0" w:color="auto"/>
              <w:right w:val="single" w:sz="2" w:space="0" w:color="auto"/>
            </w:tcBorders>
            <w:vAlign w:val="center"/>
          </w:tcPr>
          <w:p w14:paraId="7142920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1E8D509"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472A7545"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F06977"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融资租入固定资产</w:t>
            </w:r>
          </w:p>
        </w:tc>
        <w:tc>
          <w:tcPr>
            <w:tcW w:w="3213" w:type="dxa"/>
            <w:tcBorders>
              <w:top w:val="single" w:sz="2" w:space="0" w:color="auto"/>
              <w:left w:val="single" w:sz="2" w:space="0" w:color="auto"/>
              <w:bottom w:val="single" w:sz="2" w:space="0" w:color="auto"/>
              <w:right w:val="single" w:sz="2" w:space="0" w:color="auto"/>
            </w:tcBorders>
            <w:vAlign w:val="center"/>
          </w:tcPr>
          <w:p w14:paraId="5D0AF76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8C34B3F"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4A32E9D0"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E1B98C"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3</w:t>
            </w:r>
            <w:r w:rsidRPr="005A284F">
              <w:rPr>
                <w:rFonts w:ascii="Times New Roman" w:eastAsia="宋体" w:hAnsi="Times New Roman" w:cs="Times New Roman"/>
                <w:sz w:val="18"/>
                <w:szCs w:val="18"/>
              </w:rPr>
              <w:t>．现金及现金等价物净变动情况：</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9815C2" w14:textId="77777777" w:rsidR="006C011D" w:rsidRPr="005A284F" w:rsidRDefault="006C011D">
            <w:pPr>
              <w:rPr>
                <w:rFonts w:ascii="Times New Roman" w:eastAsia="宋体"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87B4E1" w14:textId="77777777" w:rsidR="006C011D" w:rsidRPr="005A284F" w:rsidRDefault="006C011D">
            <w:pPr>
              <w:rPr>
                <w:rFonts w:ascii="Times New Roman" w:eastAsia="宋体" w:hAnsi="Times New Roman" w:cs="Times New Roman"/>
              </w:rPr>
            </w:pPr>
          </w:p>
        </w:tc>
      </w:tr>
      <w:tr w:rsidR="006C011D" w:rsidRPr="005A284F" w14:paraId="00994399"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40B4BE"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现金的期末余额</w:t>
            </w:r>
          </w:p>
        </w:tc>
        <w:tc>
          <w:tcPr>
            <w:tcW w:w="3213" w:type="dxa"/>
            <w:tcBorders>
              <w:top w:val="single" w:sz="2" w:space="0" w:color="auto"/>
              <w:left w:val="single" w:sz="2" w:space="0" w:color="auto"/>
              <w:bottom w:val="single" w:sz="2" w:space="0" w:color="auto"/>
              <w:right w:val="single" w:sz="2" w:space="0" w:color="auto"/>
            </w:tcBorders>
            <w:vAlign w:val="center"/>
          </w:tcPr>
          <w:p w14:paraId="3362B13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650,506,503.57</w:t>
            </w:r>
          </w:p>
        </w:tc>
        <w:tc>
          <w:tcPr>
            <w:tcW w:w="3213" w:type="dxa"/>
            <w:tcBorders>
              <w:top w:val="single" w:sz="2" w:space="0" w:color="auto"/>
              <w:left w:val="single" w:sz="2" w:space="0" w:color="auto"/>
              <w:bottom w:val="single" w:sz="2" w:space="0" w:color="auto"/>
              <w:right w:val="single" w:sz="2" w:space="0" w:color="auto"/>
            </w:tcBorders>
            <w:vAlign w:val="center"/>
          </w:tcPr>
          <w:p w14:paraId="6C3677A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657,941,797.22</w:t>
            </w:r>
          </w:p>
        </w:tc>
      </w:tr>
      <w:tr w:rsidR="006C011D" w:rsidRPr="005A284F" w14:paraId="7B1904D5"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C2F6DD"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减：现金的期初余额</w:t>
            </w:r>
          </w:p>
        </w:tc>
        <w:tc>
          <w:tcPr>
            <w:tcW w:w="3213" w:type="dxa"/>
            <w:tcBorders>
              <w:top w:val="single" w:sz="2" w:space="0" w:color="auto"/>
              <w:left w:val="single" w:sz="2" w:space="0" w:color="auto"/>
              <w:bottom w:val="single" w:sz="2" w:space="0" w:color="auto"/>
              <w:right w:val="single" w:sz="2" w:space="0" w:color="auto"/>
            </w:tcBorders>
            <w:vAlign w:val="center"/>
          </w:tcPr>
          <w:p w14:paraId="5C852B3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618,065,015.97</w:t>
            </w:r>
          </w:p>
        </w:tc>
        <w:tc>
          <w:tcPr>
            <w:tcW w:w="3213" w:type="dxa"/>
            <w:tcBorders>
              <w:top w:val="single" w:sz="2" w:space="0" w:color="auto"/>
              <w:left w:val="single" w:sz="2" w:space="0" w:color="auto"/>
              <w:bottom w:val="single" w:sz="2" w:space="0" w:color="auto"/>
              <w:right w:val="single" w:sz="2" w:space="0" w:color="auto"/>
            </w:tcBorders>
            <w:vAlign w:val="center"/>
          </w:tcPr>
          <w:p w14:paraId="7BD6D0E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903,314,576.39</w:t>
            </w:r>
          </w:p>
        </w:tc>
      </w:tr>
      <w:tr w:rsidR="006C011D" w:rsidRPr="005A284F" w14:paraId="26E84C95"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DB5432"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加：现金等价物的期末余额</w:t>
            </w:r>
          </w:p>
        </w:tc>
        <w:tc>
          <w:tcPr>
            <w:tcW w:w="3213" w:type="dxa"/>
            <w:tcBorders>
              <w:top w:val="single" w:sz="2" w:space="0" w:color="auto"/>
              <w:left w:val="single" w:sz="2" w:space="0" w:color="auto"/>
              <w:bottom w:val="single" w:sz="2" w:space="0" w:color="auto"/>
              <w:right w:val="single" w:sz="2" w:space="0" w:color="auto"/>
            </w:tcBorders>
            <w:vAlign w:val="center"/>
          </w:tcPr>
          <w:p w14:paraId="3E39BC8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8029A5A"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6CB4139E"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CEBA75"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减：现金等价物的期初余额</w:t>
            </w:r>
          </w:p>
        </w:tc>
        <w:tc>
          <w:tcPr>
            <w:tcW w:w="3213" w:type="dxa"/>
            <w:tcBorders>
              <w:top w:val="single" w:sz="2" w:space="0" w:color="auto"/>
              <w:left w:val="single" w:sz="2" w:space="0" w:color="auto"/>
              <w:bottom w:val="single" w:sz="2" w:space="0" w:color="auto"/>
              <w:right w:val="single" w:sz="2" w:space="0" w:color="auto"/>
            </w:tcBorders>
            <w:vAlign w:val="center"/>
          </w:tcPr>
          <w:p w14:paraId="6DD3FB8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8659939"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5461DC7F"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61949A"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618EA9B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32,441,487.60</w:t>
            </w:r>
          </w:p>
        </w:tc>
        <w:tc>
          <w:tcPr>
            <w:tcW w:w="3213" w:type="dxa"/>
            <w:tcBorders>
              <w:top w:val="single" w:sz="2" w:space="0" w:color="auto"/>
              <w:left w:val="single" w:sz="2" w:space="0" w:color="auto"/>
              <w:bottom w:val="single" w:sz="2" w:space="0" w:color="auto"/>
              <w:right w:val="single" w:sz="2" w:space="0" w:color="auto"/>
            </w:tcBorders>
            <w:vAlign w:val="center"/>
          </w:tcPr>
          <w:p w14:paraId="3910CBA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-245,372,779.17</w:t>
            </w:r>
          </w:p>
        </w:tc>
      </w:tr>
    </w:tbl>
    <w:p w14:paraId="4954E6A0" w14:textId="77777777"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345" w:name="_Toc989277"/>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2</w:t>
      </w:r>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 xml:space="preserve"> </w:t>
      </w:r>
      <w:r w:rsidRPr="005A284F">
        <w:rPr>
          <w:rFonts w:ascii="Times New Roman" w:eastAsia="宋体" w:hAnsi="Times New Roman" w:cs="Times New Roman"/>
          <w:b/>
          <w:bCs/>
          <w:sz w:val="21"/>
          <w:szCs w:val="21"/>
        </w:rPr>
        <w:t>本期支付的取得子公司的现金净额</w:t>
      </w:r>
      <w:bookmarkEnd w:id="345"/>
    </w:p>
    <w:p w14:paraId="7EEC71E8" w14:textId="77777777" w:rsidR="000309B5" w:rsidRPr="005A284F" w:rsidRDefault="00000000">
      <w:pPr>
        <w:pStyle w:val="a3"/>
        <w:divId w:val="508645161"/>
        <w:rPr>
          <w:rFonts w:ascii="Times New Roman" w:hAnsi="Times New Roman" w:cs="Times New Roman"/>
          <w:sz w:val="18"/>
          <w:szCs w:val="18"/>
        </w:rPr>
      </w:pPr>
      <w:r w:rsidRPr="005A284F">
        <w:rPr>
          <w:rFonts w:ascii="Times New Roman" w:hAnsi="Times New Roman" w:cs="Times New Roman"/>
          <w:sz w:val="18"/>
          <w:szCs w:val="18"/>
        </w:rPr>
        <w:t>无</w:t>
      </w:r>
    </w:p>
    <w:p w14:paraId="4FDABD54" w14:textId="551C7A8F"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346" w:name="_Toc989278"/>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3</w:t>
      </w:r>
      <w:r w:rsidRPr="005A284F">
        <w:rPr>
          <w:rFonts w:ascii="Times New Roman" w:eastAsia="宋体" w:hAnsi="Times New Roman" w:cs="Times New Roman"/>
          <w:b/>
          <w:bCs/>
          <w:sz w:val="21"/>
          <w:szCs w:val="21"/>
        </w:rPr>
        <w:t>）本期收到的处置子公司的现金净额</w:t>
      </w:r>
      <w:bookmarkEnd w:id="346"/>
    </w:p>
    <w:p w14:paraId="661F8008" w14:textId="77777777" w:rsidR="000309B5" w:rsidRPr="005A284F" w:rsidRDefault="00000000">
      <w:pPr>
        <w:pStyle w:val="a3"/>
        <w:divId w:val="2112623547"/>
        <w:rPr>
          <w:rFonts w:ascii="Times New Roman" w:hAnsi="Times New Roman" w:cs="Times New Roman"/>
          <w:sz w:val="18"/>
          <w:szCs w:val="18"/>
        </w:rPr>
      </w:pPr>
      <w:r w:rsidRPr="005A284F">
        <w:rPr>
          <w:rFonts w:ascii="Times New Roman" w:hAnsi="Times New Roman" w:cs="Times New Roman"/>
          <w:sz w:val="18"/>
          <w:szCs w:val="18"/>
        </w:rPr>
        <w:t>无</w:t>
      </w:r>
    </w:p>
    <w:p w14:paraId="617F8F24" w14:textId="7EA8F0EA"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347" w:name="_Toc989279"/>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4</w:t>
      </w:r>
      <w:r w:rsidRPr="005A284F">
        <w:rPr>
          <w:rFonts w:ascii="Times New Roman" w:eastAsia="宋体" w:hAnsi="Times New Roman" w:cs="Times New Roman"/>
          <w:b/>
          <w:bCs/>
          <w:sz w:val="21"/>
          <w:szCs w:val="21"/>
        </w:rPr>
        <w:t>）现金和现金等价物的构成</w:t>
      </w:r>
      <w:bookmarkEnd w:id="347"/>
    </w:p>
    <w:p w14:paraId="75A348EB"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6FAE4CB9"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314E5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9739E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94DB4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r>
      <w:tr w:rsidR="006C011D" w:rsidRPr="005A284F" w14:paraId="7A879915"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C24C0C"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一、现金</w:t>
            </w:r>
          </w:p>
        </w:tc>
        <w:tc>
          <w:tcPr>
            <w:tcW w:w="3213" w:type="dxa"/>
            <w:tcBorders>
              <w:top w:val="single" w:sz="2" w:space="0" w:color="auto"/>
              <w:left w:val="single" w:sz="2" w:space="0" w:color="auto"/>
              <w:bottom w:val="single" w:sz="2" w:space="0" w:color="auto"/>
              <w:right w:val="single" w:sz="2" w:space="0" w:color="auto"/>
            </w:tcBorders>
            <w:vAlign w:val="center"/>
          </w:tcPr>
          <w:p w14:paraId="14EC1F2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650,506,503.57</w:t>
            </w:r>
          </w:p>
        </w:tc>
        <w:tc>
          <w:tcPr>
            <w:tcW w:w="3213" w:type="dxa"/>
            <w:tcBorders>
              <w:top w:val="single" w:sz="2" w:space="0" w:color="auto"/>
              <w:left w:val="single" w:sz="2" w:space="0" w:color="auto"/>
              <w:bottom w:val="single" w:sz="2" w:space="0" w:color="auto"/>
              <w:right w:val="single" w:sz="2" w:space="0" w:color="auto"/>
            </w:tcBorders>
            <w:vAlign w:val="center"/>
          </w:tcPr>
          <w:p w14:paraId="41732CB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618,065,015.97</w:t>
            </w:r>
          </w:p>
        </w:tc>
      </w:tr>
      <w:tr w:rsidR="006C011D" w:rsidRPr="005A284F" w14:paraId="333EA6F1"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08BFB4"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其中：库存现金</w:t>
            </w:r>
          </w:p>
        </w:tc>
        <w:tc>
          <w:tcPr>
            <w:tcW w:w="3213" w:type="dxa"/>
            <w:tcBorders>
              <w:top w:val="single" w:sz="2" w:space="0" w:color="auto"/>
              <w:left w:val="single" w:sz="2" w:space="0" w:color="auto"/>
              <w:bottom w:val="single" w:sz="2" w:space="0" w:color="auto"/>
              <w:right w:val="single" w:sz="2" w:space="0" w:color="auto"/>
            </w:tcBorders>
            <w:vAlign w:val="center"/>
          </w:tcPr>
          <w:p w14:paraId="4DAF26A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6,936.07</w:t>
            </w:r>
          </w:p>
        </w:tc>
        <w:tc>
          <w:tcPr>
            <w:tcW w:w="3213" w:type="dxa"/>
            <w:tcBorders>
              <w:top w:val="single" w:sz="2" w:space="0" w:color="auto"/>
              <w:left w:val="single" w:sz="2" w:space="0" w:color="auto"/>
              <w:bottom w:val="single" w:sz="2" w:space="0" w:color="auto"/>
              <w:right w:val="single" w:sz="2" w:space="0" w:color="auto"/>
            </w:tcBorders>
            <w:vAlign w:val="center"/>
          </w:tcPr>
          <w:p w14:paraId="536A620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5,599.86</w:t>
            </w:r>
          </w:p>
        </w:tc>
      </w:tr>
      <w:tr w:rsidR="006C011D" w:rsidRPr="005A284F" w14:paraId="4DCA23E1"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973895" w14:textId="77777777" w:rsidR="006C011D" w:rsidRPr="005A284F" w:rsidRDefault="00000000">
            <w:pPr>
              <w:spacing w:before="40" w:after="4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可随时用于支付的银行存款</w:t>
            </w:r>
          </w:p>
        </w:tc>
        <w:tc>
          <w:tcPr>
            <w:tcW w:w="3213" w:type="dxa"/>
            <w:tcBorders>
              <w:top w:val="single" w:sz="2" w:space="0" w:color="auto"/>
              <w:left w:val="single" w:sz="2" w:space="0" w:color="auto"/>
              <w:bottom w:val="single" w:sz="2" w:space="0" w:color="auto"/>
              <w:right w:val="single" w:sz="2" w:space="0" w:color="auto"/>
            </w:tcBorders>
            <w:vAlign w:val="center"/>
          </w:tcPr>
          <w:p w14:paraId="1562551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650,474,118.26</w:t>
            </w:r>
          </w:p>
        </w:tc>
        <w:tc>
          <w:tcPr>
            <w:tcW w:w="3213" w:type="dxa"/>
            <w:tcBorders>
              <w:top w:val="single" w:sz="2" w:space="0" w:color="auto"/>
              <w:left w:val="single" w:sz="2" w:space="0" w:color="auto"/>
              <w:bottom w:val="single" w:sz="2" w:space="0" w:color="auto"/>
              <w:right w:val="single" w:sz="2" w:space="0" w:color="auto"/>
            </w:tcBorders>
            <w:vAlign w:val="center"/>
          </w:tcPr>
          <w:p w14:paraId="7868211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618,033,342.87</w:t>
            </w:r>
          </w:p>
        </w:tc>
      </w:tr>
      <w:tr w:rsidR="006C011D" w:rsidRPr="005A284F" w14:paraId="139688F7"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CF5550" w14:textId="77777777" w:rsidR="006C011D" w:rsidRPr="005A284F" w:rsidRDefault="00000000">
            <w:pPr>
              <w:spacing w:before="40" w:after="4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可随时用于支付的其他货币资金</w:t>
            </w:r>
          </w:p>
        </w:tc>
        <w:tc>
          <w:tcPr>
            <w:tcW w:w="3213" w:type="dxa"/>
            <w:tcBorders>
              <w:top w:val="single" w:sz="2" w:space="0" w:color="auto"/>
              <w:left w:val="single" w:sz="2" w:space="0" w:color="auto"/>
              <w:bottom w:val="single" w:sz="2" w:space="0" w:color="auto"/>
              <w:right w:val="single" w:sz="2" w:space="0" w:color="auto"/>
            </w:tcBorders>
            <w:vAlign w:val="center"/>
          </w:tcPr>
          <w:p w14:paraId="5308D17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25,449.24</w:t>
            </w:r>
          </w:p>
        </w:tc>
        <w:tc>
          <w:tcPr>
            <w:tcW w:w="3213" w:type="dxa"/>
            <w:tcBorders>
              <w:top w:val="single" w:sz="2" w:space="0" w:color="auto"/>
              <w:left w:val="single" w:sz="2" w:space="0" w:color="auto"/>
              <w:bottom w:val="single" w:sz="2" w:space="0" w:color="auto"/>
              <w:right w:val="single" w:sz="2" w:space="0" w:color="auto"/>
            </w:tcBorders>
            <w:vAlign w:val="center"/>
          </w:tcPr>
          <w:p w14:paraId="14581E7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26,073.24</w:t>
            </w:r>
          </w:p>
        </w:tc>
      </w:tr>
      <w:tr w:rsidR="006C011D" w:rsidRPr="005A284F" w14:paraId="6EBFA279" w14:textId="77777777" w:rsidTr="00A27B2B">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112042"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三、期末现金及现金等价物余额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14:paraId="590F441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650,506,503.57</w:t>
            </w:r>
          </w:p>
        </w:tc>
        <w:tc>
          <w:tcPr>
            <w:tcW w:w="3213" w:type="dxa"/>
            <w:tcBorders>
              <w:top w:val="single" w:sz="2" w:space="0" w:color="auto"/>
              <w:left w:val="single" w:sz="2" w:space="0" w:color="auto"/>
              <w:bottom w:val="single" w:sz="2" w:space="0" w:color="auto"/>
              <w:right w:val="single" w:sz="2" w:space="0" w:color="auto"/>
            </w:tcBorders>
            <w:vAlign w:val="center"/>
          </w:tcPr>
          <w:p w14:paraId="39B4F8F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618,065,015.97</w:t>
            </w:r>
          </w:p>
        </w:tc>
      </w:tr>
    </w:tbl>
    <w:p w14:paraId="48C8E322" w14:textId="5BDE6A82"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348" w:name="_Toc989280"/>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5</w:t>
      </w:r>
      <w:r w:rsidRPr="005A284F">
        <w:rPr>
          <w:rFonts w:ascii="Times New Roman" w:eastAsia="宋体" w:hAnsi="Times New Roman" w:cs="Times New Roman"/>
          <w:b/>
          <w:bCs/>
          <w:sz w:val="21"/>
          <w:szCs w:val="21"/>
        </w:rPr>
        <w:t>）使用范围受限但仍属于现金及现金等价物列示的情况</w:t>
      </w:r>
      <w:bookmarkEnd w:id="348"/>
    </w:p>
    <w:p w14:paraId="3F689A96" w14:textId="77777777" w:rsidR="001C2948" w:rsidRPr="005A284F" w:rsidRDefault="001C2948" w:rsidP="001C2948">
      <w:pPr>
        <w:pStyle w:val="a3"/>
        <w:rPr>
          <w:rFonts w:ascii="Times New Roman" w:hAnsi="Times New Roman" w:cs="Times New Roman"/>
          <w:sz w:val="18"/>
          <w:szCs w:val="18"/>
        </w:rPr>
      </w:pPr>
      <w:bookmarkStart w:id="349" w:name="_Toc989281"/>
      <w:r w:rsidRPr="005A284F">
        <w:rPr>
          <w:rFonts w:ascii="Times New Roman" w:hAnsi="Times New Roman" w:cs="Times New Roman"/>
          <w:sz w:val="18"/>
          <w:szCs w:val="18"/>
        </w:rPr>
        <w:t>无</w:t>
      </w:r>
    </w:p>
    <w:p w14:paraId="0DAAF7D0" w14:textId="2AFF558B" w:rsidR="006C011D" w:rsidRPr="005A284F" w:rsidRDefault="001C2948">
      <w:pPr>
        <w:keepNext/>
        <w:keepLines/>
        <w:spacing w:before="300" w:after="300" w:line="280" w:lineRule="exact"/>
        <w:outlineLvl w:val="3"/>
        <w:rPr>
          <w:rFonts w:ascii="Times New Roman" w:eastAsia="宋体" w:hAnsi="Times New Roman" w:cs="Times New Roman"/>
          <w:b/>
          <w:bCs/>
          <w:sz w:val="21"/>
          <w:szCs w:val="21"/>
        </w:rPr>
      </w:pPr>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6</w:t>
      </w:r>
      <w:r w:rsidRPr="005A284F">
        <w:rPr>
          <w:rFonts w:ascii="Times New Roman" w:eastAsia="宋体" w:hAnsi="Times New Roman" w:cs="Times New Roman"/>
          <w:b/>
          <w:bCs/>
          <w:sz w:val="21"/>
          <w:szCs w:val="21"/>
        </w:rPr>
        <w:t>）不属于现金及现金等价物的货币资金</w:t>
      </w:r>
      <w:bookmarkEnd w:id="349"/>
    </w:p>
    <w:p w14:paraId="72F1A606"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6C011D" w:rsidRPr="005A284F" w14:paraId="377B1971" w14:textId="77777777" w:rsidTr="00A27B2B">
        <w:trPr>
          <w:trHeight w:val="240"/>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B7B2E9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FB80F6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本期金额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332EDF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上期金额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3E085D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不属于现金及现金等价物的理由</w:t>
            </w:r>
          </w:p>
        </w:tc>
      </w:tr>
      <w:tr w:rsidR="006C011D" w:rsidRPr="005A284F" w14:paraId="19E0C3B3" w14:textId="77777777" w:rsidTr="00A27B2B">
        <w:trPr>
          <w:trHeight w:val="240"/>
          <w:jc w:val="center"/>
        </w:trPr>
        <w:tc>
          <w:tcPr>
            <w:tcW w:w="2410" w:type="dxa"/>
            <w:tcBorders>
              <w:top w:val="single" w:sz="2" w:space="0" w:color="auto"/>
              <w:left w:val="single" w:sz="2" w:space="0" w:color="auto"/>
              <w:bottom w:val="single" w:sz="2" w:space="0" w:color="auto"/>
              <w:right w:val="single" w:sz="2" w:space="0" w:color="auto"/>
            </w:tcBorders>
            <w:vAlign w:val="center"/>
          </w:tcPr>
          <w:p w14:paraId="088BCE7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信用证、承兑汇票保证金及利息</w:t>
            </w:r>
          </w:p>
        </w:tc>
        <w:tc>
          <w:tcPr>
            <w:tcW w:w="2410" w:type="dxa"/>
            <w:tcBorders>
              <w:top w:val="single" w:sz="2" w:space="0" w:color="auto"/>
              <w:left w:val="single" w:sz="2" w:space="0" w:color="auto"/>
              <w:bottom w:val="single" w:sz="2" w:space="0" w:color="auto"/>
              <w:right w:val="single" w:sz="2" w:space="0" w:color="auto"/>
            </w:tcBorders>
            <w:vAlign w:val="center"/>
          </w:tcPr>
          <w:p w14:paraId="767C202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312,476,267.90</w:t>
            </w:r>
          </w:p>
        </w:tc>
        <w:tc>
          <w:tcPr>
            <w:tcW w:w="2410" w:type="dxa"/>
            <w:tcBorders>
              <w:top w:val="single" w:sz="2" w:space="0" w:color="auto"/>
              <w:left w:val="single" w:sz="2" w:space="0" w:color="auto"/>
              <w:bottom w:val="single" w:sz="2" w:space="0" w:color="auto"/>
              <w:right w:val="single" w:sz="2" w:space="0" w:color="auto"/>
            </w:tcBorders>
            <w:vAlign w:val="center"/>
          </w:tcPr>
          <w:p w14:paraId="12E9E36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354,838,123.67</w:t>
            </w:r>
          </w:p>
        </w:tc>
        <w:tc>
          <w:tcPr>
            <w:tcW w:w="2410" w:type="dxa"/>
            <w:tcBorders>
              <w:top w:val="single" w:sz="2" w:space="0" w:color="auto"/>
              <w:left w:val="single" w:sz="2" w:space="0" w:color="auto"/>
              <w:bottom w:val="single" w:sz="2" w:space="0" w:color="auto"/>
              <w:right w:val="single" w:sz="2" w:space="0" w:color="auto"/>
            </w:tcBorders>
            <w:vAlign w:val="center"/>
          </w:tcPr>
          <w:p w14:paraId="31C6275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受限</w:t>
            </w:r>
          </w:p>
        </w:tc>
      </w:tr>
      <w:tr w:rsidR="006C011D" w:rsidRPr="005A284F" w14:paraId="3E2B4339" w14:textId="77777777" w:rsidTr="00A27B2B">
        <w:trPr>
          <w:trHeight w:val="240"/>
          <w:jc w:val="center"/>
        </w:trPr>
        <w:tc>
          <w:tcPr>
            <w:tcW w:w="2410" w:type="dxa"/>
            <w:tcBorders>
              <w:top w:val="single" w:sz="2" w:space="0" w:color="auto"/>
              <w:left w:val="single" w:sz="2" w:space="0" w:color="auto"/>
              <w:bottom w:val="single" w:sz="2" w:space="0" w:color="auto"/>
              <w:right w:val="single" w:sz="2" w:space="0" w:color="auto"/>
            </w:tcBorders>
            <w:vAlign w:val="center"/>
          </w:tcPr>
          <w:p w14:paraId="5EC0643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单用途预付卡保证金</w:t>
            </w:r>
          </w:p>
        </w:tc>
        <w:tc>
          <w:tcPr>
            <w:tcW w:w="2410" w:type="dxa"/>
            <w:tcBorders>
              <w:top w:val="single" w:sz="2" w:space="0" w:color="auto"/>
              <w:left w:val="single" w:sz="2" w:space="0" w:color="auto"/>
              <w:bottom w:val="single" w:sz="2" w:space="0" w:color="auto"/>
              <w:right w:val="single" w:sz="2" w:space="0" w:color="auto"/>
            </w:tcBorders>
            <w:vAlign w:val="center"/>
          </w:tcPr>
          <w:p w14:paraId="15D2A3E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1,466,055.33</w:t>
            </w:r>
          </w:p>
        </w:tc>
        <w:tc>
          <w:tcPr>
            <w:tcW w:w="2410" w:type="dxa"/>
            <w:tcBorders>
              <w:top w:val="single" w:sz="2" w:space="0" w:color="auto"/>
              <w:left w:val="single" w:sz="2" w:space="0" w:color="auto"/>
              <w:bottom w:val="single" w:sz="2" w:space="0" w:color="auto"/>
              <w:right w:val="single" w:sz="2" w:space="0" w:color="auto"/>
            </w:tcBorders>
            <w:vAlign w:val="center"/>
          </w:tcPr>
          <w:p w14:paraId="4CE66E5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1,464,323.83</w:t>
            </w:r>
          </w:p>
        </w:tc>
        <w:tc>
          <w:tcPr>
            <w:tcW w:w="2410" w:type="dxa"/>
            <w:tcBorders>
              <w:top w:val="single" w:sz="2" w:space="0" w:color="auto"/>
              <w:left w:val="single" w:sz="2" w:space="0" w:color="auto"/>
              <w:bottom w:val="single" w:sz="2" w:space="0" w:color="auto"/>
              <w:right w:val="single" w:sz="2" w:space="0" w:color="auto"/>
            </w:tcBorders>
            <w:vAlign w:val="center"/>
          </w:tcPr>
          <w:p w14:paraId="3F23095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受限</w:t>
            </w:r>
          </w:p>
        </w:tc>
      </w:tr>
      <w:tr w:rsidR="006C011D" w:rsidRPr="005A284F" w14:paraId="23217774" w14:textId="77777777" w:rsidTr="00A27B2B">
        <w:trPr>
          <w:trHeight w:val="240"/>
          <w:jc w:val="center"/>
        </w:trPr>
        <w:tc>
          <w:tcPr>
            <w:tcW w:w="2410" w:type="dxa"/>
            <w:tcBorders>
              <w:top w:val="single" w:sz="2" w:space="0" w:color="auto"/>
              <w:left w:val="single" w:sz="2" w:space="0" w:color="auto"/>
              <w:bottom w:val="single" w:sz="2" w:space="0" w:color="auto"/>
              <w:right w:val="single" w:sz="2" w:space="0" w:color="auto"/>
            </w:tcBorders>
            <w:vAlign w:val="center"/>
          </w:tcPr>
          <w:p w14:paraId="1CBEC70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存出投资款</w:t>
            </w:r>
          </w:p>
        </w:tc>
        <w:tc>
          <w:tcPr>
            <w:tcW w:w="2410" w:type="dxa"/>
            <w:tcBorders>
              <w:top w:val="single" w:sz="2" w:space="0" w:color="auto"/>
              <w:left w:val="single" w:sz="2" w:space="0" w:color="auto"/>
              <w:bottom w:val="single" w:sz="2" w:space="0" w:color="auto"/>
              <w:right w:val="single" w:sz="2" w:space="0" w:color="auto"/>
            </w:tcBorders>
            <w:vAlign w:val="center"/>
          </w:tcPr>
          <w:p w14:paraId="5DE587B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11,905.71</w:t>
            </w:r>
          </w:p>
        </w:tc>
        <w:tc>
          <w:tcPr>
            <w:tcW w:w="2410" w:type="dxa"/>
            <w:tcBorders>
              <w:top w:val="single" w:sz="2" w:space="0" w:color="auto"/>
              <w:left w:val="single" w:sz="2" w:space="0" w:color="auto"/>
              <w:bottom w:val="single" w:sz="2" w:space="0" w:color="auto"/>
              <w:right w:val="single" w:sz="2" w:space="0" w:color="auto"/>
            </w:tcBorders>
            <w:vAlign w:val="center"/>
          </w:tcPr>
          <w:p w14:paraId="4995731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11,891.48</w:t>
            </w:r>
          </w:p>
        </w:tc>
        <w:tc>
          <w:tcPr>
            <w:tcW w:w="2410" w:type="dxa"/>
            <w:tcBorders>
              <w:top w:val="single" w:sz="2" w:space="0" w:color="auto"/>
              <w:left w:val="single" w:sz="2" w:space="0" w:color="auto"/>
              <w:bottom w:val="single" w:sz="2" w:space="0" w:color="auto"/>
              <w:right w:val="single" w:sz="2" w:space="0" w:color="auto"/>
            </w:tcBorders>
            <w:vAlign w:val="center"/>
          </w:tcPr>
          <w:p w14:paraId="056C345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受限</w:t>
            </w:r>
          </w:p>
        </w:tc>
      </w:tr>
      <w:tr w:rsidR="006C011D" w:rsidRPr="005A284F" w14:paraId="48FC53C7" w14:textId="77777777" w:rsidTr="00A27B2B">
        <w:trPr>
          <w:trHeight w:val="240"/>
          <w:jc w:val="center"/>
        </w:trPr>
        <w:tc>
          <w:tcPr>
            <w:tcW w:w="2410" w:type="dxa"/>
            <w:tcBorders>
              <w:top w:val="single" w:sz="2" w:space="0" w:color="auto"/>
              <w:left w:val="single" w:sz="2" w:space="0" w:color="auto"/>
              <w:bottom w:val="single" w:sz="2" w:space="0" w:color="auto"/>
              <w:right w:val="single" w:sz="2" w:space="0" w:color="auto"/>
            </w:tcBorders>
            <w:vAlign w:val="center"/>
          </w:tcPr>
          <w:p w14:paraId="55F0624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未决诉讼冻结资金</w:t>
            </w:r>
          </w:p>
        </w:tc>
        <w:tc>
          <w:tcPr>
            <w:tcW w:w="2410" w:type="dxa"/>
            <w:tcBorders>
              <w:top w:val="single" w:sz="2" w:space="0" w:color="auto"/>
              <w:left w:val="single" w:sz="2" w:space="0" w:color="auto"/>
              <w:bottom w:val="single" w:sz="2" w:space="0" w:color="auto"/>
              <w:right w:val="single" w:sz="2" w:space="0" w:color="auto"/>
            </w:tcBorders>
            <w:vAlign w:val="center"/>
          </w:tcPr>
          <w:p w14:paraId="01F7F08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8,098,801.49</w:t>
            </w:r>
          </w:p>
        </w:tc>
        <w:tc>
          <w:tcPr>
            <w:tcW w:w="2410" w:type="dxa"/>
            <w:tcBorders>
              <w:top w:val="single" w:sz="2" w:space="0" w:color="auto"/>
              <w:left w:val="single" w:sz="2" w:space="0" w:color="auto"/>
              <w:bottom w:val="single" w:sz="2" w:space="0" w:color="auto"/>
              <w:right w:val="single" w:sz="2" w:space="0" w:color="auto"/>
            </w:tcBorders>
            <w:vAlign w:val="center"/>
          </w:tcPr>
          <w:p w14:paraId="1FD41D2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276E2E8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受限</w:t>
            </w:r>
          </w:p>
        </w:tc>
      </w:tr>
      <w:tr w:rsidR="006C011D" w:rsidRPr="005A284F" w14:paraId="50E03E4C" w14:textId="77777777" w:rsidTr="00A27B2B">
        <w:trPr>
          <w:trHeight w:val="240"/>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326C580"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5173688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322,053,030.43</w:t>
            </w:r>
          </w:p>
        </w:tc>
        <w:tc>
          <w:tcPr>
            <w:tcW w:w="2410" w:type="dxa"/>
            <w:tcBorders>
              <w:top w:val="single" w:sz="2" w:space="0" w:color="auto"/>
              <w:left w:val="single" w:sz="2" w:space="0" w:color="auto"/>
              <w:bottom w:val="single" w:sz="2" w:space="0" w:color="auto"/>
              <w:right w:val="single" w:sz="2" w:space="0" w:color="auto"/>
            </w:tcBorders>
            <w:vAlign w:val="center"/>
          </w:tcPr>
          <w:p w14:paraId="537F247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356,314,338.98</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FA6E65C" w14:textId="77777777" w:rsidR="006C011D" w:rsidRPr="005A284F" w:rsidRDefault="006C011D">
            <w:pPr>
              <w:rPr>
                <w:rFonts w:ascii="Times New Roman" w:eastAsia="宋体" w:hAnsi="Times New Roman" w:cs="Times New Roman"/>
              </w:rPr>
            </w:pPr>
          </w:p>
        </w:tc>
      </w:tr>
    </w:tbl>
    <w:p w14:paraId="45C2D282"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w:t>
      </w:r>
    </w:p>
    <w:p w14:paraId="5E12AA74" w14:textId="77777777" w:rsidR="000309B5" w:rsidRPr="005A284F" w:rsidRDefault="00000000">
      <w:pPr>
        <w:pStyle w:val="a3"/>
        <w:divId w:val="1314262495"/>
        <w:rPr>
          <w:rFonts w:ascii="Times New Roman" w:hAnsi="Times New Roman" w:cs="Times New Roman"/>
          <w:sz w:val="18"/>
          <w:szCs w:val="18"/>
        </w:rPr>
      </w:pPr>
      <w:r w:rsidRPr="005A284F">
        <w:rPr>
          <w:rFonts w:ascii="Times New Roman" w:hAnsi="Times New Roman" w:cs="Times New Roman"/>
          <w:sz w:val="18"/>
          <w:szCs w:val="18"/>
        </w:rPr>
        <w:t>无</w:t>
      </w:r>
    </w:p>
    <w:p w14:paraId="0D220D32" w14:textId="2081824D"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350" w:name="_Toc989282"/>
      <w:r w:rsidRPr="005A284F">
        <w:rPr>
          <w:rFonts w:ascii="Times New Roman" w:eastAsia="宋体" w:hAnsi="Times New Roman" w:cs="Times New Roman"/>
          <w:b/>
          <w:bCs/>
          <w:sz w:val="21"/>
          <w:szCs w:val="21"/>
        </w:rPr>
        <w:lastRenderedPageBreak/>
        <w:t>（</w:t>
      </w:r>
      <w:r w:rsidRPr="005A284F">
        <w:rPr>
          <w:rFonts w:ascii="Times New Roman" w:eastAsia="宋体" w:hAnsi="Times New Roman" w:cs="Times New Roman"/>
          <w:b/>
          <w:bCs/>
          <w:sz w:val="21"/>
          <w:szCs w:val="21"/>
        </w:rPr>
        <w:t>7</w:t>
      </w:r>
      <w:r w:rsidRPr="005A284F">
        <w:rPr>
          <w:rFonts w:ascii="Times New Roman" w:eastAsia="宋体" w:hAnsi="Times New Roman" w:cs="Times New Roman"/>
          <w:b/>
          <w:bCs/>
          <w:sz w:val="21"/>
          <w:szCs w:val="21"/>
        </w:rPr>
        <w:t>）其他重大活动说明</w:t>
      </w:r>
      <w:bookmarkEnd w:id="350"/>
    </w:p>
    <w:p w14:paraId="6E60DD9A" w14:textId="77777777" w:rsidR="000309B5" w:rsidRPr="005A284F" w:rsidRDefault="00000000">
      <w:pPr>
        <w:pStyle w:val="a3"/>
        <w:divId w:val="1085999595"/>
        <w:rPr>
          <w:rFonts w:ascii="Times New Roman" w:hAnsi="Times New Roman" w:cs="Times New Roman"/>
          <w:sz w:val="18"/>
          <w:szCs w:val="18"/>
        </w:rPr>
      </w:pPr>
      <w:r w:rsidRPr="005A284F">
        <w:rPr>
          <w:rFonts w:ascii="Times New Roman" w:hAnsi="Times New Roman" w:cs="Times New Roman"/>
          <w:sz w:val="18"/>
          <w:szCs w:val="18"/>
        </w:rPr>
        <w:t>无</w:t>
      </w:r>
    </w:p>
    <w:p w14:paraId="15223DC1" w14:textId="77777777" w:rsidR="006C011D" w:rsidRPr="005A284F" w:rsidRDefault="00000000">
      <w:pPr>
        <w:pStyle w:val="3"/>
        <w:spacing w:line="280" w:lineRule="exact"/>
        <w:jc w:val="left"/>
        <w:rPr>
          <w:rFonts w:ascii="Times New Roman" w:hAnsi="Times New Roman" w:cs="Times New Roman"/>
          <w:b/>
          <w:bCs/>
        </w:rPr>
      </w:pPr>
      <w:bookmarkStart w:id="351" w:name="_Toc989283"/>
      <w:r w:rsidRPr="005A284F">
        <w:rPr>
          <w:rFonts w:ascii="Times New Roman" w:hAnsi="Times New Roman" w:cs="Times New Roman"/>
          <w:b/>
          <w:bCs/>
        </w:rPr>
        <w:t>80</w:t>
      </w:r>
      <w:r w:rsidRPr="005A284F">
        <w:rPr>
          <w:rFonts w:ascii="Times New Roman" w:hAnsi="Times New Roman" w:cs="Times New Roman"/>
          <w:b/>
          <w:bCs/>
        </w:rPr>
        <w:t>、所有者权益变动表项目注释</w:t>
      </w:r>
      <w:bookmarkEnd w:id="351"/>
    </w:p>
    <w:p w14:paraId="5DA7E2AA"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说明对上年年末余额进行调整的</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其他</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项目名称及调整金额等事项：</w:t>
      </w:r>
    </w:p>
    <w:p w14:paraId="0CAF6D86" w14:textId="77777777" w:rsidR="000309B5" w:rsidRPr="005A284F" w:rsidRDefault="00000000">
      <w:pPr>
        <w:pStyle w:val="a3"/>
        <w:divId w:val="1558928711"/>
        <w:rPr>
          <w:rFonts w:ascii="Times New Roman" w:hAnsi="Times New Roman" w:cs="Times New Roman"/>
          <w:sz w:val="18"/>
          <w:szCs w:val="18"/>
        </w:rPr>
      </w:pPr>
      <w:r w:rsidRPr="005A284F">
        <w:rPr>
          <w:rFonts w:ascii="Times New Roman" w:hAnsi="Times New Roman" w:cs="Times New Roman"/>
          <w:sz w:val="18"/>
          <w:szCs w:val="18"/>
        </w:rPr>
        <w:t>无</w:t>
      </w:r>
    </w:p>
    <w:p w14:paraId="41097862" w14:textId="77777777" w:rsidR="006C011D" w:rsidRPr="005A284F" w:rsidRDefault="00000000">
      <w:pPr>
        <w:pStyle w:val="3"/>
        <w:spacing w:line="280" w:lineRule="exact"/>
        <w:jc w:val="left"/>
        <w:rPr>
          <w:rFonts w:ascii="Times New Roman" w:hAnsi="Times New Roman" w:cs="Times New Roman"/>
          <w:b/>
          <w:bCs/>
        </w:rPr>
      </w:pPr>
      <w:bookmarkStart w:id="352" w:name="_Toc989284"/>
      <w:r w:rsidRPr="005A284F">
        <w:rPr>
          <w:rFonts w:ascii="Times New Roman" w:hAnsi="Times New Roman" w:cs="Times New Roman"/>
          <w:b/>
          <w:bCs/>
        </w:rPr>
        <w:t>81</w:t>
      </w:r>
      <w:r w:rsidRPr="005A284F">
        <w:rPr>
          <w:rFonts w:ascii="Times New Roman" w:hAnsi="Times New Roman" w:cs="Times New Roman"/>
          <w:b/>
          <w:bCs/>
        </w:rPr>
        <w:t>、外币货币性项目</w:t>
      </w:r>
      <w:bookmarkEnd w:id="352"/>
    </w:p>
    <w:p w14:paraId="235C251D" w14:textId="23707E6B"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353" w:name="_Toc989285"/>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1</w:t>
      </w:r>
      <w:r w:rsidRPr="005A284F">
        <w:rPr>
          <w:rFonts w:ascii="Times New Roman" w:eastAsia="宋体" w:hAnsi="Times New Roman" w:cs="Times New Roman"/>
          <w:b/>
          <w:bCs/>
          <w:sz w:val="21"/>
          <w:szCs w:val="21"/>
        </w:rPr>
        <w:t>）外币货币性项目</w:t>
      </w:r>
      <w:bookmarkEnd w:id="353"/>
    </w:p>
    <w:p w14:paraId="21089763"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6C011D" w:rsidRPr="005A284F" w14:paraId="75ABE3D9" w14:textId="77777777" w:rsidTr="00A27B2B">
        <w:trPr>
          <w:trHeight w:val="240"/>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1A4803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ED884B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期末外币余额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3694C0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折算汇率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996B50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期末折算人民币余额</w:t>
            </w:r>
          </w:p>
        </w:tc>
      </w:tr>
      <w:tr w:rsidR="006C011D" w:rsidRPr="005A284F" w14:paraId="40771C6F" w14:textId="77777777" w:rsidTr="00A27B2B">
        <w:trPr>
          <w:trHeight w:val="240"/>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E50E3E8"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货币资金</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04420A8" w14:textId="77777777" w:rsidR="006C011D" w:rsidRPr="005A284F" w:rsidRDefault="006C011D">
            <w:pPr>
              <w:rPr>
                <w:rFonts w:ascii="Times New Roman" w:eastAsia="宋体" w:hAnsi="Times New Roman" w:cs="Times New Roman"/>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0A5C405" w14:textId="77777777" w:rsidR="006C011D" w:rsidRPr="005A284F" w:rsidRDefault="006C011D">
            <w:pPr>
              <w:rPr>
                <w:rFonts w:ascii="Times New Roman" w:eastAsia="宋体" w:hAnsi="Times New Roman" w:cs="Times New Roman"/>
              </w:rPr>
            </w:pPr>
          </w:p>
        </w:tc>
        <w:tc>
          <w:tcPr>
            <w:tcW w:w="2410" w:type="dxa"/>
            <w:tcBorders>
              <w:top w:val="single" w:sz="2" w:space="0" w:color="auto"/>
              <w:left w:val="single" w:sz="2" w:space="0" w:color="auto"/>
              <w:bottom w:val="single" w:sz="2" w:space="0" w:color="auto"/>
              <w:right w:val="single" w:sz="2" w:space="0" w:color="auto"/>
            </w:tcBorders>
            <w:vAlign w:val="center"/>
          </w:tcPr>
          <w:p w14:paraId="625DB86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241,712.36</w:t>
            </w:r>
          </w:p>
        </w:tc>
      </w:tr>
      <w:tr w:rsidR="006C011D" w:rsidRPr="005A284F" w14:paraId="2B5771CA" w14:textId="77777777" w:rsidTr="00A27B2B">
        <w:trPr>
          <w:trHeight w:val="240"/>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48A94D5"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14:paraId="437C864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33,765.30</w:t>
            </w:r>
          </w:p>
        </w:tc>
        <w:tc>
          <w:tcPr>
            <w:tcW w:w="2410" w:type="dxa"/>
            <w:tcBorders>
              <w:top w:val="single" w:sz="2" w:space="0" w:color="auto"/>
              <w:left w:val="single" w:sz="2" w:space="0" w:color="auto"/>
              <w:bottom w:val="single" w:sz="2" w:space="0" w:color="auto"/>
              <w:right w:val="single" w:sz="2" w:space="0" w:color="auto"/>
            </w:tcBorders>
            <w:vAlign w:val="center"/>
          </w:tcPr>
          <w:p w14:paraId="1B38E010" w14:textId="2DAE9C6C" w:rsidR="006C011D" w:rsidRPr="005A284F" w:rsidRDefault="00000000" w:rsidP="001C2948">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7.1586</w:t>
            </w:r>
          </w:p>
        </w:tc>
        <w:tc>
          <w:tcPr>
            <w:tcW w:w="2410" w:type="dxa"/>
            <w:tcBorders>
              <w:top w:val="single" w:sz="2" w:space="0" w:color="auto"/>
              <w:left w:val="single" w:sz="2" w:space="0" w:color="auto"/>
              <w:bottom w:val="single" w:sz="2" w:space="0" w:color="auto"/>
              <w:right w:val="single" w:sz="2" w:space="0" w:color="auto"/>
            </w:tcBorders>
            <w:vAlign w:val="center"/>
          </w:tcPr>
          <w:p w14:paraId="6FF8801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241,712.28</w:t>
            </w:r>
          </w:p>
        </w:tc>
      </w:tr>
      <w:tr w:rsidR="006C011D" w:rsidRPr="005A284F" w14:paraId="401625E6" w14:textId="77777777" w:rsidTr="00A27B2B">
        <w:trPr>
          <w:trHeight w:val="240"/>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4B50E1A" w14:textId="77777777" w:rsidR="006C011D" w:rsidRPr="005A284F" w:rsidRDefault="00000000">
            <w:pPr>
              <w:spacing w:before="40" w:after="4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14:paraId="40EACC5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0.01</w:t>
            </w:r>
          </w:p>
        </w:tc>
        <w:tc>
          <w:tcPr>
            <w:tcW w:w="2410" w:type="dxa"/>
            <w:tcBorders>
              <w:top w:val="single" w:sz="2" w:space="0" w:color="auto"/>
              <w:left w:val="single" w:sz="2" w:space="0" w:color="auto"/>
              <w:bottom w:val="single" w:sz="2" w:space="0" w:color="auto"/>
              <w:right w:val="single" w:sz="2" w:space="0" w:color="auto"/>
            </w:tcBorders>
            <w:vAlign w:val="center"/>
          </w:tcPr>
          <w:p w14:paraId="0AAF1296" w14:textId="1EB3B500" w:rsidR="006C011D" w:rsidRPr="005A284F" w:rsidRDefault="00000000" w:rsidP="001C2948">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8.4024</w:t>
            </w:r>
          </w:p>
        </w:tc>
        <w:tc>
          <w:tcPr>
            <w:tcW w:w="2410" w:type="dxa"/>
            <w:tcBorders>
              <w:top w:val="single" w:sz="2" w:space="0" w:color="auto"/>
              <w:left w:val="single" w:sz="2" w:space="0" w:color="auto"/>
              <w:bottom w:val="single" w:sz="2" w:space="0" w:color="auto"/>
              <w:right w:val="single" w:sz="2" w:space="0" w:color="auto"/>
            </w:tcBorders>
            <w:vAlign w:val="center"/>
          </w:tcPr>
          <w:p w14:paraId="7968AF3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0.08</w:t>
            </w:r>
          </w:p>
        </w:tc>
      </w:tr>
      <w:tr w:rsidR="006C011D" w:rsidRPr="005A284F" w14:paraId="168384C4" w14:textId="77777777" w:rsidTr="00A27B2B">
        <w:trPr>
          <w:trHeight w:val="240"/>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CB8B176" w14:textId="77777777" w:rsidR="006C011D" w:rsidRPr="005A284F" w:rsidRDefault="00000000">
            <w:pPr>
              <w:spacing w:before="40" w:after="4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14:paraId="447CCB9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29B43E4" w14:textId="77777777" w:rsidR="006C011D" w:rsidRPr="005A284F" w:rsidRDefault="006C011D">
            <w:pPr>
              <w:spacing w:after="0" w:line="240" w:lineRule="exac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198821C0"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25B2DAB4" w14:textId="77777777" w:rsidTr="00A27B2B">
        <w:trPr>
          <w:trHeight w:val="240"/>
          <w:jc w:val="center"/>
        </w:trPr>
        <w:tc>
          <w:tcPr>
            <w:tcW w:w="2410" w:type="dxa"/>
            <w:tcBorders>
              <w:top w:val="single" w:sz="2" w:space="0" w:color="auto"/>
              <w:left w:val="single" w:sz="2" w:space="0" w:color="auto"/>
              <w:bottom w:val="single" w:sz="2" w:space="0" w:color="auto"/>
              <w:right w:val="single" w:sz="2" w:space="0" w:color="auto"/>
            </w:tcBorders>
            <w:vAlign w:val="center"/>
          </w:tcPr>
          <w:p w14:paraId="4E891EA8" w14:textId="77777777" w:rsidR="006C011D" w:rsidRPr="005A284F" w:rsidRDefault="006C011D">
            <w:pPr>
              <w:spacing w:after="0" w:line="240" w:lineRule="exac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7D69E97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32F9E80" w14:textId="77777777" w:rsidR="006C011D" w:rsidRPr="005A284F" w:rsidRDefault="006C011D">
            <w:pPr>
              <w:spacing w:after="0" w:line="240" w:lineRule="exac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34E08DF6"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3ACC3FEC" w14:textId="77777777" w:rsidTr="00A27B2B">
        <w:trPr>
          <w:trHeight w:val="240"/>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97CF80B"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应收账款</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A4490DE" w14:textId="77777777" w:rsidR="006C011D" w:rsidRPr="005A284F" w:rsidRDefault="006C011D">
            <w:pPr>
              <w:rPr>
                <w:rFonts w:ascii="Times New Roman" w:eastAsia="宋体" w:hAnsi="Times New Roman" w:cs="Times New Roman"/>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3766A72" w14:textId="77777777" w:rsidR="006C011D" w:rsidRPr="005A284F" w:rsidRDefault="006C011D">
            <w:pPr>
              <w:rPr>
                <w:rFonts w:ascii="Times New Roman" w:eastAsia="宋体" w:hAnsi="Times New Roman" w:cs="Times New Roman"/>
              </w:rPr>
            </w:pPr>
          </w:p>
        </w:tc>
        <w:tc>
          <w:tcPr>
            <w:tcW w:w="2410" w:type="dxa"/>
            <w:tcBorders>
              <w:top w:val="single" w:sz="2" w:space="0" w:color="auto"/>
              <w:left w:val="single" w:sz="2" w:space="0" w:color="auto"/>
              <w:bottom w:val="single" w:sz="2" w:space="0" w:color="auto"/>
              <w:right w:val="single" w:sz="2" w:space="0" w:color="auto"/>
            </w:tcBorders>
            <w:vAlign w:val="center"/>
          </w:tcPr>
          <w:p w14:paraId="10DE4A12"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3CF156D0" w14:textId="77777777" w:rsidTr="00A27B2B">
        <w:trPr>
          <w:trHeight w:val="240"/>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8BD2118"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14:paraId="1AAB5FD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3B87EDC8" w14:textId="77777777" w:rsidR="006C011D" w:rsidRPr="005A284F" w:rsidRDefault="006C011D">
            <w:pPr>
              <w:spacing w:after="0" w:line="240" w:lineRule="exac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8B9DA1C"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777F13D0" w14:textId="77777777" w:rsidTr="00A27B2B">
        <w:trPr>
          <w:trHeight w:val="240"/>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19C3FF5" w14:textId="77777777" w:rsidR="006C011D" w:rsidRPr="005A284F" w:rsidRDefault="00000000">
            <w:pPr>
              <w:spacing w:before="40" w:after="4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14:paraId="324E5E0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37A7CC7" w14:textId="77777777" w:rsidR="006C011D" w:rsidRPr="005A284F" w:rsidRDefault="006C011D">
            <w:pPr>
              <w:spacing w:after="0" w:line="240" w:lineRule="exac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D119B4A"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7F9EA819" w14:textId="77777777" w:rsidTr="00A27B2B">
        <w:trPr>
          <w:trHeight w:val="240"/>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127F9AA" w14:textId="77777777" w:rsidR="006C011D" w:rsidRPr="005A284F" w:rsidRDefault="00000000">
            <w:pPr>
              <w:spacing w:before="40" w:after="4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14:paraId="55A1C63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3A3D6B65" w14:textId="77777777" w:rsidR="006C011D" w:rsidRPr="005A284F" w:rsidRDefault="006C011D">
            <w:pPr>
              <w:spacing w:after="0" w:line="240" w:lineRule="exac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14DC580"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5EB9B53" w14:textId="77777777" w:rsidTr="00A27B2B">
        <w:trPr>
          <w:trHeight w:val="240"/>
          <w:jc w:val="center"/>
        </w:trPr>
        <w:tc>
          <w:tcPr>
            <w:tcW w:w="2410" w:type="dxa"/>
            <w:tcBorders>
              <w:top w:val="single" w:sz="2" w:space="0" w:color="auto"/>
              <w:left w:val="single" w:sz="2" w:space="0" w:color="auto"/>
              <w:bottom w:val="single" w:sz="2" w:space="0" w:color="auto"/>
              <w:right w:val="single" w:sz="2" w:space="0" w:color="auto"/>
            </w:tcBorders>
            <w:vAlign w:val="center"/>
          </w:tcPr>
          <w:p w14:paraId="04A3B6CE" w14:textId="77777777" w:rsidR="006C011D" w:rsidRPr="005A284F" w:rsidRDefault="006C011D">
            <w:pPr>
              <w:spacing w:after="0" w:line="240" w:lineRule="exac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17A8A9B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3C83CA1E" w14:textId="77777777" w:rsidR="006C011D" w:rsidRPr="005A284F" w:rsidRDefault="006C011D">
            <w:pPr>
              <w:spacing w:after="0" w:line="240" w:lineRule="exac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26EDA54F"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3FC62887" w14:textId="77777777" w:rsidTr="00A27B2B">
        <w:trPr>
          <w:trHeight w:val="240"/>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AB2678A"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长期借款</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93AEF4C" w14:textId="77777777" w:rsidR="006C011D" w:rsidRPr="005A284F" w:rsidRDefault="006C011D">
            <w:pPr>
              <w:rPr>
                <w:rFonts w:ascii="Times New Roman" w:eastAsia="宋体" w:hAnsi="Times New Roman" w:cs="Times New Roman"/>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4FB3278" w14:textId="77777777" w:rsidR="006C011D" w:rsidRPr="005A284F" w:rsidRDefault="006C011D">
            <w:pPr>
              <w:rPr>
                <w:rFonts w:ascii="Times New Roman" w:eastAsia="宋体" w:hAnsi="Times New Roman" w:cs="Times New Roman"/>
              </w:rPr>
            </w:pPr>
          </w:p>
        </w:tc>
        <w:tc>
          <w:tcPr>
            <w:tcW w:w="2410" w:type="dxa"/>
            <w:tcBorders>
              <w:top w:val="single" w:sz="2" w:space="0" w:color="auto"/>
              <w:left w:val="single" w:sz="2" w:space="0" w:color="auto"/>
              <w:bottom w:val="single" w:sz="2" w:space="0" w:color="auto"/>
              <w:right w:val="single" w:sz="2" w:space="0" w:color="auto"/>
            </w:tcBorders>
            <w:vAlign w:val="center"/>
          </w:tcPr>
          <w:p w14:paraId="03CBE2BD"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4EE8AF01" w14:textId="77777777" w:rsidTr="00A27B2B">
        <w:trPr>
          <w:trHeight w:val="240"/>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00DA1E7"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14:paraId="1608F31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70634AFE" w14:textId="77777777" w:rsidR="006C011D" w:rsidRPr="005A284F" w:rsidRDefault="006C011D">
            <w:pPr>
              <w:spacing w:after="0" w:line="240" w:lineRule="exac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2C40D99A"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1E0CE5CA" w14:textId="77777777" w:rsidTr="00A27B2B">
        <w:trPr>
          <w:trHeight w:val="240"/>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F8E8CD5" w14:textId="77777777" w:rsidR="006C011D" w:rsidRPr="005A284F" w:rsidRDefault="00000000">
            <w:pPr>
              <w:spacing w:before="40" w:after="4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14:paraId="2ABDAE8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9DE5BFF" w14:textId="77777777" w:rsidR="006C011D" w:rsidRPr="005A284F" w:rsidRDefault="006C011D">
            <w:pPr>
              <w:spacing w:after="0" w:line="240" w:lineRule="exac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727C1A61"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7E32B32C" w14:textId="77777777" w:rsidTr="00A27B2B">
        <w:trPr>
          <w:trHeight w:val="240"/>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FD8353F" w14:textId="77777777" w:rsidR="006C011D" w:rsidRPr="005A284F" w:rsidRDefault="00000000">
            <w:pPr>
              <w:spacing w:before="40" w:after="40" w:line="240" w:lineRule="exact"/>
              <w:ind w:firstLineChars="300" w:firstLine="540"/>
              <w:rPr>
                <w:rFonts w:ascii="Times New Roman" w:eastAsia="宋体" w:hAnsi="Times New Roman" w:cs="Times New Roman"/>
                <w:sz w:val="18"/>
                <w:szCs w:val="18"/>
              </w:rPr>
            </w:pPr>
            <w:r w:rsidRPr="005A284F">
              <w:rPr>
                <w:rFonts w:ascii="Times New Roman" w:eastAsia="宋体" w:hAnsi="Times New Roman" w:cs="Times New Roman"/>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14:paraId="547F9AE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3E67B624" w14:textId="77777777" w:rsidR="006C011D" w:rsidRPr="005A284F" w:rsidRDefault="006C011D">
            <w:pPr>
              <w:spacing w:after="0" w:line="240" w:lineRule="exac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2BC34B76"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1FE370F8" w14:textId="77777777" w:rsidTr="00A27B2B">
        <w:trPr>
          <w:trHeight w:val="240"/>
          <w:jc w:val="center"/>
        </w:trPr>
        <w:tc>
          <w:tcPr>
            <w:tcW w:w="2410" w:type="dxa"/>
            <w:tcBorders>
              <w:top w:val="single" w:sz="2" w:space="0" w:color="auto"/>
              <w:left w:val="single" w:sz="2" w:space="0" w:color="auto"/>
              <w:bottom w:val="single" w:sz="2" w:space="0" w:color="auto"/>
              <w:right w:val="single" w:sz="2" w:space="0" w:color="auto"/>
            </w:tcBorders>
            <w:vAlign w:val="center"/>
          </w:tcPr>
          <w:p w14:paraId="7A109FD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应付账款</w:t>
            </w:r>
          </w:p>
        </w:tc>
        <w:tc>
          <w:tcPr>
            <w:tcW w:w="2410" w:type="dxa"/>
            <w:tcBorders>
              <w:top w:val="single" w:sz="2" w:space="0" w:color="auto"/>
              <w:left w:val="single" w:sz="2" w:space="0" w:color="auto"/>
              <w:bottom w:val="single" w:sz="2" w:space="0" w:color="auto"/>
              <w:right w:val="single" w:sz="2" w:space="0" w:color="auto"/>
            </w:tcBorders>
            <w:vAlign w:val="center"/>
          </w:tcPr>
          <w:p w14:paraId="6AD1A4F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7B1B2A8" w14:textId="77777777" w:rsidR="006C011D" w:rsidRPr="005A284F" w:rsidRDefault="006C011D">
            <w:pPr>
              <w:spacing w:after="0" w:line="240" w:lineRule="exac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71F894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180,043.60</w:t>
            </w:r>
          </w:p>
        </w:tc>
      </w:tr>
      <w:tr w:rsidR="006C011D" w:rsidRPr="005A284F" w14:paraId="1AAF2C79" w14:textId="77777777" w:rsidTr="00A27B2B">
        <w:trPr>
          <w:trHeight w:val="240"/>
          <w:jc w:val="center"/>
        </w:trPr>
        <w:tc>
          <w:tcPr>
            <w:tcW w:w="2410" w:type="dxa"/>
            <w:tcBorders>
              <w:top w:val="single" w:sz="2" w:space="0" w:color="auto"/>
              <w:left w:val="single" w:sz="2" w:space="0" w:color="auto"/>
              <w:bottom w:val="single" w:sz="2" w:space="0" w:color="auto"/>
              <w:right w:val="single" w:sz="2" w:space="0" w:color="auto"/>
            </w:tcBorders>
            <w:vAlign w:val="center"/>
          </w:tcPr>
          <w:p w14:paraId="7371A8B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14:paraId="6A617CE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12,541.91</w:t>
            </w:r>
          </w:p>
        </w:tc>
        <w:tc>
          <w:tcPr>
            <w:tcW w:w="2410" w:type="dxa"/>
            <w:tcBorders>
              <w:top w:val="single" w:sz="2" w:space="0" w:color="auto"/>
              <w:left w:val="single" w:sz="2" w:space="0" w:color="auto"/>
              <w:bottom w:val="single" w:sz="2" w:space="0" w:color="auto"/>
              <w:right w:val="single" w:sz="2" w:space="0" w:color="auto"/>
            </w:tcBorders>
            <w:vAlign w:val="center"/>
          </w:tcPr>
          <w:p w14:paraId="39013AED" w14:textId="77777777" w:rsidR="006C011D" w:rsidRPr="005A284F" w:rsidRDefault="00000000" w:rsidP="001C2948">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7.1586</w:t>
            </w:r>
          </w:p>
        </w:tc>
        <w:tc>
          <w:tcPr>
            <w:tcW w:w="2410" w:type="dxa"/>
            <w:tcBorders>
              <w:top w:val="single" w:sz="2" w:space="0" w:color="auto"/>
              <w:left w:val="single" w:sz="2" w:space="0" w:color="auto"/>
              <w:bottom w:val="single" w:sz="2" w:space="0" w:color="auto"/>
              <w:right w:val="single" w:sz="2" w:space="0" w:color="auto"/>
            </w:tcBorders>
            <w:vAlign w:val="center"/>
          </w:tcPr>
          <w:p w14:paraId="7F3E78D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89,782.52</w:t>
            </w:r>
          </w:p>
        </w:tc>
      </w:tr>
      <w:tr w:rsidR="006C011D" w:rsidRPr="005A284F" w14:paraId="78D5206E" w14:textId="77777777" w:rsidTr="00A27B2B">
        <w:trPr>
          <w:trHeight w:val="240"/>
          <w:jc w:val="center"/>
        </w:trPr>
        <w:tc>
          <w:tcPr>
            <w:tcW w:w="2410" w:type="dxa"/>
            <w:tcBorders>
              <w:top w:val="single" w:sz="2" w:space="0" w:color="auto"/>
              <w:left w:val="single" w:sz="2" w:space="0" w:color="auto"/>
              <w:bottom w:val="single" w:sz="2" w:space="0" w:color="auto"/>
              <w:right w:val="single" w:sz="2" w:space="0" w:color="auto"/>
            </w:tcBorders>
            <w:vAlign w:val="center"/>
          </w:tcPr>
          <w:p w14:paraId="4D49D96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 xml:space="preserve">      </w:t>
            </w:r>
            <w:r w:rsidRPr="005A284F">
              <w:rPr>
                <w:rFonts w:ascii="Times New Roman" w:eastAsia="宋体" w:hAnsi="Times New Roman" w:cs="Times New Roman"/>
                <w:sz w:val="18"/>
                <w:szCs w:val="18"/>
              </w:rPr>
              <w:t>日元</w:t>
            </w:r>
          </w:p>
        </w:tc>
        <w:tc>
          <w:tcPr>
            <w:tcW w:w="2410" w:type="dxa"/>
            <w:tcBorders>
              <w:top w:val="single" w:sz="2" w:space="0" w:color="auto"/>
              <w:left w:val="single" w:sz="2" w:space="0" w:color="auto"/>
              <w:bottom w:val="single" w:sz="2" w:space="0" w:color="auto"/>
              <w:right w:val="single" w:sz="2" w:space="0" w:color="auto"/>
            </w:tcBorders>
            <w:vAlign w:val="center"/>
          </w:tcPr>
          <w:p w14:paraId="2525134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1,820,000.00</w:t>
            </w:r>
          </w:p>
        </w:tc>
        <w:tc>
          <w:tcPr>
            <w:tcW w:w="2410" w:type="dxa"/>
            <w:tcBorders>
              <w:top w:val="single" w:sz="2" w:space="0" w:color="auto"/>
              <w:left w:val="single" w:sz="2" w:space="0" w:color="auto"/>
              <w:bottom w:val="single" w:sz="2" w:space="0" w:color="auto"/>
              <w:right w:val="single" w:sz="2" w:space="0" w:color="auto"/>
            </w:tcBorders>
            <w:vAlign w:val="center"/>
          </w:tcPr>
          <w:p w14:paraId="1A61C870" w14:textId="77777777" w:rsidR="006C011D" w:rsidRPr="005A284F" w:rsidRDefault="00000000" w:rsidP="001C2948">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0.049594</w:t>
            </w:r>
          </w:p>
        </w:tc>
        <w:tc>
          <w:tcPr>
            <w:tcW w:w="2410" w:type="dxa"/>
            <w:tcBorders>
              <w:top w:val="single" w:sz="2" w:space="0" w:color="auto"/>
              <w:left w:val="single" w:sz="2" w:space="0" w:color="auto"/>
              <w:bottom w:val="single" w:sz="2" w:space="0" w:color="auto"/>
              <w:right w:val="single" w:sz="2" w:space="0" w:color="auto"/>
            </w:tcBorders>
            <w:vAlign w:val="center"/>
          </w:tcPr>
          <w:p w14:paraId="3453404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90,261.08</w:t>
            </w:r>
          </w:p>
        </w:tc>
      </w:tr>
    </w:tbl>
    <w:p w14:paraId="234A10DA"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w:t>
      </w:r>
    </w:p>
    <w:p w14:paraId="6B753C75" w14:textId="77777777" w:rsidR="000309B5" w:rsidRPr="005A284F" w:rsidRDefault="00000000">
      <w:pPr>
        <w:pStyle w:val="a3"/>
        <w:divId w:val="413481601"/>
        <w:rPr>
          <w:rFonts w:ascii="Times New Roman" w:hAnsi="Times New Roman" w:cs="Times New Roman"/>
          <w:sz w:val="18"/>
          <w:szCs w:val="18"/>
        </w:rPr>
      </w:pPr>
      <w:r w:rsidRPr="005A284F">
        <w:rPr>
          <w:rFonts w:ascii="Times New Roman" w:hAnsi="Times New Roman" w:cs="Times New Roman"/>
          <w:sz w:val="18"/>
          <w:szCs w:val="18"/>
        </w:rPr>
        <w:t>无</w:t>
      </w:r>
    </w:p>
    <w:p w14:paraId="0B9D365D" w14:textId="6F338BB3"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354" w:name="_Toc989286"/>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2</w:t>
      </w:r>
      <w:r w:rsidRPr="005A284F">
        <w:rPr>
          <w:rFonts w:ascii="Times New Roman" w:eastAsia="宋体" w:hAnsi="Times New Roman" w:cs="Times New Roman"/>
          <w:b/>
          <w:bCs/>
          <w:sz w:val="21"/>
          <w:szCs w:val="21"/>
        </w:rPr>
        <w:t>）境外经营实体说明，包括对于重要的境外经营实体，应披露其境外主要经营地、记账本位币及选择依据，记账本位币发生变化的还应披露原因。</w:t>
      </w:r>
      <w:bookmarkEnd w:id="354"/>
    </w:p>
    <w:p w14:paraId="293B49F4" w14:textId="77777777" w:rsidR="006C011D" w:rsidRPr="002D4CF5" w:rsidRDefault="00000000">
      <w:pPr>
        <w:spacing w:before="40" w:after="40" w:line="240" w:lineRule="exact"/>
        <w:rPr>
          <w:rFonts w:ascii="宋体" w:eastAsia="宋体" w:hAnsi="宋体" w:cs="Times New Roman" w:hint="eastAsia"/>
          <w:sz w:val="18"/>
          <w:szCs w:val="18"/>
        </w:rPr>
      </w:pPr>
      <w:r w:rsidRPr="002D4CF5">
        <w:rPr>
          <w:rFonts w:ascii="宋体" w:eastAsia="宋体" w:hAnsi="宋体" w:cs="Times New Roman"/>
          <w:sz w:val="18"/>
          <w:szCs w:val="18"/>
        </w:rPr>
        <w:t xml:space="preserve">□适用 </w:t>
      </w:r>
      <w:r w:rsidRPr="002D4CF5">
        <w:rPr>
          <w:rFonts w:ascii="宋体" w:eastAsia="宋体" w:hAnsi="宋体" w:cs="Times New Roman"/>
          <w:sz w:val="18"/>
          <w:szCs w:val="18"/>
        </w:rPr>
        <w:sym w:font="Wingdings 2" w:char="F052"/>
      </w:r>
      <w:r w:rsidRPr="002D4CF5">
        <w:rPr>
          <w:rFonts w:ascii="宋体" w:eastAsia="宋体" w:hAnsi="宋体" w:cs="Times New Roman"/>
          <w:sz w:val="18"/>
          <w:szCs w:val="18"/>
        </w:rPr>
        <w:t>不适用</w:t>
      </w:r>
    </w:p>
    <w:p w14:paraId="6290EA02" w14:textId="77777777" w:rsidR="006C011D" w:rsidRPr="005A284F" w:rsidRDefault="00000000">
      <w:pPr>
        <w:pStyle w:val="3"/>
        <w:spacing w:line="280" w:lineRule="exact"/>
        <w:jc w:val="left"/>
        <w:rPr>
          <w:rFonts w:ascii="Times New Roman" w:hAnsi="Times New Roman" w:cs="Times New Roman"/>
          <w:b/>
          <w:bCs/>
        </w:rPr>
      </w:pPr>
      <w:bookmarkStart w:id="355" w:name="_Toc989287"/>
      <w:r w:rsidRPr="005A284F">
        <w:rPr>
          <w:rFonts w:ascii="Times New Roman" w:hAnsi="Times New Roman" w:cs="Times New Roman"/>
          <w:b/>
          <w:bCs/>
        </w:rPr>
        <w:lastRenderedPageBreak/>
        <w:t>82</w:t>
      </w:r>
      <w:r w:rsidRPr="005A284F">
        <w:rPr>
          <w:rFonts w:ascii="Times New Roman" w:hAnsi="Times New Roman" w:cs="Times New Roman"/>
          <w:b/>
          <w:bCs/>
        </w:rPr>
        <w:t>、租赁</w:t>
      </w:r>
      <w:bookmarkEnd w:id="355"/>
    </w:p>
    <w:p w14:paraId="6C6E3CCB" w14:textId="77777777"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356" w:name="_Toc989288"/>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1</w:t>
      </w:r>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 xml:space="preserve"> </w:t>
      </w:r>
      <w:r w:rsidRPr="005A284F">
        <w:rPr>
          <w:rFonts w:ascii="Times New Roman" w:eastAsia="宋体" w:hAnsi="Times New Roman" w:cs="Times New Roman"/>
          <w:b/>
          <w:bCs/>
          <w:sz w:val="21"/>
          <w:szCs w:val="21"/>
        </w:rPr>
        <w:t>本公司作为承租方</w:t>
      </w:r>
      <w:bookmarkEnd w:id="356"/>
    </w:p>
    <w:p w14:paraId="5C1F316E" w14:textId="77777777" w:rsidR="006C011D" w:rsidRPr="001C2948" w:rsidRDefault="00000000">
      <w:pPr>
        <w:spacing w:before="100" w:after="100" w:line="240" w:lineRule="exact"/>
        <w:rPr>
          <w:rFonts w:ascii="宋体" w:eastAsia="宋体" w:hAnsi="宋体" w:cs="Times New Roman" w:hint="eastAsia"/>
          <w:sz w:val="18"/>
          <w:szCs w:val="18"/>
        </w:rPr>
      </w:pPr>
      <w:r w:rsidRPr="001C2948">
        <w:rPr>
          <w:rFonts w:ascii="宋体" w:eastAsia="宋体" w:hAnsi="宋体" w:cs="Times New Roman"/>
          <w:sz w:val="18"/>
          <w:szCs w:val="18"/>
        </w:rPr>
        <w:sym w:font="Wingdings 2" w:char="F052"/>
      </w:r>
      <w:r w:rsidRPr="001C2948">
        <w:rPr>
          <w:rFonts w:ascii="宋体" w:eastAsia="宋体" w:hAnsi="宋体" w:cs="Times New Roman"/>
          <w:sz w:val="18"/>
          <w:szCs w:val="18"/>
        </w:rPr>
        <w:t>适用 □不适用</w:t>
      </w:r>
    </w:p>
    <w:p w14:paraId="33B82234"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未纳入租赁负债计量的可变租赁付款额</w:t>
      </w:r>
    </w:p>
    <w:p w14:paraId="3A04E52E" w14:textId="77777777" w:rsidR="006C011D" w:rsidRPr="001C2948" w:rsidRDefault="00000000">
      <w:pPr>
        <w:spacing w:before="100" w:after="100" w:line="240" w:lineRule="exact"/>
        <w:rPr>
          <w:rFonts w:ascii="宋体" w:eastAsia="宋体" w:hAnsi="宋体" w:cs="Times New Roman" w:hint="eastAsia"/>
          <w:sz w:val="18"/>
          <w:szCs w:val="18"/>
        </w:rPr>
      </w:pPr>
      <w:r w:rsidRPr="001C2948">
        <w:rPr>
          <w:rFonts w:ascii="宋体" w:eastAsia="宋体" w:hAnsi="宋体" w:cs="Times New Roman"/>
          <w:sz w:val="18"/>
          <w:szCs w:val="18"/>
        </w:rPr>
        <w:t xml:space="preserve">□适用 </w:t>
      </w:r>
      <w:r w:rsidRPr="001C2948">
        <w:rPr>
          <w:rFonts w:ascii="宋体" w:eastAsia="宋体" w:hAnsi="宋体" w:cs="Times New Roman"/>
          <w:sz w:val="18"/>
          <w:szCs w:val="18"/>
        </w:rPr>
        <w:sym w:font="Wingdings 2" w:char="F052"/>
      </w:r>
      <w:r w:rsidRPr="001C2948">
        <w:rPr>
          <w:rFonts w:ascii="宋体" w:eastAsia="宋体" w:hAnsi="宋体" w:cs="Times New Roman"/>
          <w:sz w:val="18"/>
          <w:szCs w:val="18"/>
        </w:rPr>
        <w:t>不适用</w:t>
      </w:r>
    </w:p>
    <w:p w14:paraId="68D8E9B4"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简化处理的短期租赁或低价值资产的租赁费用</w:t>
      </w:r>
    </w:p>
    <w:p w14:paraId="648A8FFB" w14:textId="77777777" w:rsidR="006C011D" w:rsidRPr="001C2948" w:rsidRDefault="00000000">
      <w:pPr>
        <w:spacing w:before="100" w:after="100" w:line="240" w:lineRule="exact"/>
        <w:rPr>
          <w:rFonts w:ascii="宋体" w:eastAsia="宋体" w:hAnsi="宋体" w:cs="Times New Roman" w:hint="eastAsia"/>
          <w:sz w:val="18"/>
          <w:szCs w:val="18"/>
        </w:rPr>
      </w:pPr>
      <w:r w:rsidRPr="001C2948">
        <w:rPr>
          <w:rFonts w:ascii="宋体" w:eastAsia="宋体" w:hAnsi="宋体" w:cs="Times New Roman"/>
          <w:sz w:val="18"/>
          <w:szCs w:val="18"/>
        </w:rPr>
        <w:t xml:space="preserve">□适用 </w:t>
      </w:r>
      <w:r w:rsidRPr="001C2948">
        <w:rPr>
          <w:rFonts w:ascii="宋体" w:eastAsia="宋体" w:hAnsi="宋体" w:cs="Times New Roman"/>
          <w:sz w:val="18"/>
          <w:szCs w:val="18"/>
        </w:rPr>
        <w:sym w:font="Wingdings 2" w:char="F052"/>
      </w:r>
      <w:r w:rsidRPr="001C2948">
        <w:rPr>
          <w:rFonts w:ascii="宋体" w:eastAsia="宋体" w:hAnsi="宋体" w:cs="Times New Roman"/>
          <w:sz w:val="18"/>
          <w:szCs w:val="18"/>
        </w:rPr>
        <w:t>不适用</w:t>
      </w:r>
    </w:p>
    <w:p w14:paraId="32C2781C"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涉及售后租回交易的情况</w:t>
      </w:r>
    </w:p>
    <w:p w14:paraId="6986A189" w14:textId="77777777" w:rsidR="000309B5" w:rsidRPr="005A284F" w:rsidRDefault="00000000">
      <w:pPr>
        <w:pStyle w:val="a3"/>
        <w:divId w:val="544214675"/>
        <w:rPr>
          <w:rFonts w:ascii="Times New Roman" w:hAnsi="Times New Roman" w:cs="Times New Roman"/>
          <w:sz w:val="18"/>
          <w:szCs w:val="18"/>
        </w:rPr>
      </w:pPr>
      <w:r w:rsidRPr="005A284F">
        <w:rPr>
          <w:rFonts w:ascii="Times New Roman" w:hAnsi="Times New Roman" w:cs="Times New Roman"/>
          <w:sz w:val="18"/>
          <w:szCs w:val="18"/>
        </w:rPr>
        <w:t>无</w:t>
      </w:r>
    </w:p>
    <w:p w14:paraId="6CEFFD07" w14:textId="2042005A"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357" w:name="_Toc989289"/>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2</w:t>
      </w:r>
      <w:r w:rsidRPr="005A284F">
        <w:rPr>
          <w:rFonts w:ascii="Times New Roman" w:eastAsia="宋体" w:hAnsi="Times New Roman" w:cs="Times New Roman"/>
          <w:b/>
          <w:bCs/>
          <w:sz w:val="21"/>
          <w:szCs w:val="21"/>
        </w:rPr>
        <w:t>）本公司作为出租方</w:t>
      </w:r>
      <w:bookmarkEnd w:id="357"/>
    </w:p>
    <w:p w14:paraId="4DCAE3D6"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作为出租人的经营租赁</w:t>
      </w:r>
    </w:p>
    <w:p w14:paraId="7B9370F7" w14:textId="77777777" w:rsidR="006C011D" w:rsidRPr="001C2948" w:rsidRDefault="00000000">
      <w:pPr>
        <w:spacing w:before="100" w:after="100" w:line="240" w:lineRule="exact"/>
        <w:rPr>
          <w:rFonts w:ascii="宋体" w:eastAsia="宋体" w:hAnsi="宋体" w:cs="Times New Roman" w:hint="eastAsia"/>
          <w:sz w:val="18"/>
          <w:szCs w:val="18"/>
        </w:rPr>
      </w:pPr>
      <w:r w:rsidRPr="001C2948">
        <w:rPr>
          <w:rFonts w:ascii="宋体" w:eastAsia="宋体" w:hAnsi="宋体" w:cs="Times New Roman"/>
          <w:sz w:val="18"/>
          <w:szCs w:val="18"/>
        </w:rPr>
        <w:t xml:space="preserve">□适用 </w:t>
      </w:r>
      <w:r w:rsidRPr="001C2948">
        <w:rPr>
          <w:rFonts w:ascii="宋体" w:eastAsia="宋体" w:hAnsi="宋体" w:cs="Times New Roman"/>
          <w:sz w:val="18"/>
          <w:szCs w:val="18"/>
        </w:rPr>
        <w:sym w:font="Wingdings 2" w:char="F052"/>
      </w:r>
      <w:r w:rsidRPr="001C2948">
        <w:rPr>
          <w:rFonts w:ascii="宋体" w:eastAsia="宋体" w:hAnsi="宋体" w:cs="Times New Roman"/>
          <w:sz w:val="18"/>
          <w:szCs w:val="18"/>
        </w:rPr>
        <w:t>不适用</w:t>
      </w:r>
    </w:p>
    <w:p w14:paraId="6261A6F8"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作为出租人的融资租赁</w:t>
      </w:r>
    </w:p>
    <w:p w14:paraId="574F6005" w14:textId="77777777" w:rsidR="006C011D" w:rsidRPr="001C2948" w:rsidRDefault="00000000">
      <w:pPr>
        <w:spacing w:before="100" w:after="100" w:line="240" w:lineRule="exact"/>
        <w:rPr>
          <w:rFonts w:ascii="宋体" w:eastAsia="宋体" w:hAnsi="宋体" w:cs="Times New Roman" w:hint="eastAsia"/>
          <w:sz w:val="18"/>
          <w:szCs w:val="18"/>
        </w:rPr>
      </w:pPr>
      <w:r w:rsidRPr="001C2948">
        <w:rPr>
          <w:rFonts w:ascii="宋体" w:eastAsia="宋体" w:hAnsi="宋体" w:cs="Times New Roman"/>
          <w:sz w:val="18"/>
          <w:szCs w:val="18"/>
        </w:rPr>
        <w:t xml:space="preserve">□适用 </w:t>
      </w:r>
      <w:r w:rsidRPr="001C2948">
        <w:rPr>
          <w:rFonts w:ascii="宋体" w:eastAsia="宋体" w:hAnsi="宋体" w:cs="Times New Roman"/>
          <w:sz w:val="18"/>
          <w:szCs w:val="18"/>
        </w:rPr>
        <w:sym w:font="Wingdings 2" w:char="F052"/>
      </w:r>
      <w:r w:rsidRPr="001C2948">
        <w:rPr>
          <w:rFonts w:ascii="宋体" w:eastAsia="宋体" w:hAnsi="宋体" w:cs="Times New Roman"/>
          <w:sz w:val="18"/>
          <w:szCs w:val="18"/>
        </w:rPr>
        <w:t>不适用</w:t>
      </w:r>
    </w:p>
    <w:p w14:paraId="1B23772F"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未来五年每年未折现租赁收款额</w:t>
      </w:r>
    </w:p>
    <w:p w14:paraId="3AA017F9" w14:textId="77777777" w:rsidR="006C011D" w:rsidRPr="001C2948" w:rsidRDefault="00000000">
      <w:pPr>
        <w:spacing w:before="100" w:after="100" w:line="240" w:lineRule="exact"/>
        <w:rPr>
          <w:rFonts w:ascii="宋体" w:eastAsia="宋体" w:hAnsi="宋体" w:cs="Times New Roman" w:hint="eastAsia"/>
          <w:sz w:val="18"/>
          <w:szCs w:val="18"/>
        </w:rPr>
      </w:pPr>
      <w:r w:rsidRPr="001C2948">
        <w:rPr>
          <w:rFonts w:ascii="宋体" w:eastAsia="宋体" w:hAnsi="宋体" w:cs="Times New Roman"/>
          <w:sz w:val="18"/>
          <w:szCs w:val="18"/>
        </w:rPr>
        <w:t xml:space="preserve">□适用 </w:t>
      </w:r>
      <w:r w:rsidRPr="001C2948">
        <w:rPr>
          <w:rFonts w:ascii="宋体" w:eastAsia="宋体" w:hAnsi="宋体" w:cs="Times New Roman"/>
          <w:sz w:val="18"/>
          <w:szCs w:val="18"/>
        </w:rPr>
        <w:sym w:font="Wingdings 2" w:char="F052"/>
      </w:r>
      <w:r w:rsidRPr="001C2948">
        <w:rPr>
          <w:rFonts w:ascii="宋体" w:eastAsia="宋体" w:hAnsi="宋体" w:cs="Times New Roman"/>
          <w:sz w:val="18"/>
          <w:szCs w:val="18"/>
        </w:rPr>
        <w:t>不适用</w:t>
      </w:r>
    </w:p>
    <w:p w14:paraId="2AC47364"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未折现租赁收款额与租赁投资净额的调节表</w:t>
      </w:r>
    </w:p>
    <w:p w14:paraId="4D8B8531" w14:textId="77777777" w:rsidR="000309B5" w:rsidRPr="005A284F" w:rsidRDefault="00000000">
      <w:pPr>
        <w:pStyle w:val="a3"/>
        <w:divId w:val="76825146"/>
        <w:rPr>
          <w:rFonts w:ascii="Times New Roman" w:hAnsi="Times New Roman" w:cs="Times New Roman"/>
          <w:sz w:val="18"/>
          <w:szCs w:val="18"/>
        </w:rPr>
      </w:pPr>
      <w:r w:rsidRPr="005A284F">
        <w:rPr>
          <w:rFonts w:ascii="Times New Roman" w:hAnsi="Times New Roman" w:cs="Times New Roman"/>
          <w:sz w:val="18"/>
          <w:szCs w:val="18"/>
        </w:rPr>
        <w:t>无</w:t>
      </w:r>
    </w:p>
    <w:p w14:paraId="7C8175AD" w14:textId="77777777"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358" w:name="_Toc989290"/>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3</w:t>
      </w:r>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 xml:space="preserve"> </w:t>
      </w:r>
      <w:r w:rsidRPr="005A284F">
        <w:rPr>
          <w:rFonts w:ascii="Times New Roman" w:eastAsia="宋体" w:hAnsi="Times New Roman" w:cs="Times New Roman"/>
          <w:b/>
          <w:bCs/>
          <w:sz w:val="21"/>
          <w:szCs w:val="21"/>
        </w:rPr>
        <w:t>作为生产商或经销商确认融资租赁销售损益</w:t>
      </w:r>
      <w:bookmarkEnd w:id="358"/>
    </w:p>
    <w:p w14:paraId="0D8C55A0" w14:textId="77777777" w:rsidR="006C011D" w:rsidRPr="001C2948" w:rsidRDefault="00000000">
      <w:pPr>
        <w:spacing w:before="100" w:after="100" w:line="240" w:lineRule="exact"/>
        <w:rPr>
          <w:rFonts w:ascii="宋体" w:eastAsia="宋体" w:hAnsi="宋体" w:cs="Times New Roman" w:hint="eastAsia"/>
          <w:sz w:val="18"/>
          <w:szCs w:val="18"/>
        </w:rPr>
      </w:pPr>
      <w:r w:rsidRPr="001C2948">
        <w:rPr>
          <w:rFonts w:ascii="宋体" w:eastAsia="宋体" w:hAnsi="宋体" w:cs="Times New Roman"/>
          <w:sz w:val="18"/>
          <w:szCs w:val="18"/>
        </w:rPr>
        <w:t xml:space="preserve">□适用 </w:t>
      </w:r>
      <w:r w:rsidRPr="001C2948">
        <w:rPr>
          <w:rFonts w:ascii="宋体" w:eastAsia="宋体" w:hAnsi="宋体" w:cs="Times New Roman"/>
          <w:sz w:val="18"/>
          <w:szCs w:val="18"/>
        </w:rPr>
        <w:sym w:font="Wingdings 2" w:char="F052"/>
      </w:r>
      <w:r w:rsidRPr="001C2948">
        <w:rPr>
          <w:rFonts w:ascii="宋体" w:eastAsia="宋体" w:hAnsi="宋体" w:cs="Times New Roman"/>
          <w:sz w:val="18"/>
          <w:szCs w:val="18"/>
        </w:rPr>
        <w:t>不适用</w:t>
      </w:r>
    </w:p>
    <w:p w14:paraId="5BBDA4A1" w14:textId="77777777" w:rsidR="006C011D" w:rsidRPr="005A284F" w:rsidRDefault="00000000">
      <w:pPr>
        <w:pStyle w:val="3"/>
        <w:spacing w:line="280" w:lineRule="exact"/>
        <w:jc w:val="left"/>
        <w:rPr>
          <w:rFonts w:ascii="Times New Roman" w:hAnsi="Times New Roman" w:cs="Times New Roman"/>
          <w:b/>
          <w:bCs/>
        </w:rPr>
      </w:pPr>
      <w:bookmarkStart w:id="359" w:name="_Toc989291"/>
      <w:r w:rsidRPr="005A284F">
        <w:rPr>
          <w:rFonts w:ascii="Times New Roman" w:hAnsi="Times New Roman" w:cs="Times New Roman"/>
          <w:b/>
          <w:bCs/>
        </w:rPr>
        <w:t>83</w:t>
      </w:r>
      <w:r w:rsidRPr="005A284F">
        <w:rPr>
          <w:rFonts w:ascii="Times New Roman" w:hAnsi="Times New Roman" w:cs="Times New Roman"/>
          <w:b/>
          <w:bCs/>
        </w:rPr>
        <w:t>、数据资源</w:t>
      </w:r>
      <w:bookmarkEnd w:id="359"/>
    </w:p>
    <w:p w14:paraId="15619599" w14:textId="2CB74B58" w:rsidR="006C011D" w:rsidRPr="001C2948" w:rsidRDefault="001C2948" w:rsidP="001C2948">
      <w:pPr>
        <w:pStyle w:val="a3"/>
        <w:rPr>
          <w:rFonts w:ascii="Times New Roman" w:hAnsi="Times New Roman" w:cs="Times New Roman"/>
          <w:sz w:val="18"/>
          <w:szCs w:val="18"/>
        </w:rPr>
      </w:pPr>
      <w:r w:rsidRPr="005A284F">
        <w:rPr>
          <w:rFonts w:ascii="Times New Roman" w:hAnsi="Times New Roman" w:cs="Times New Roman"/>
          <w:sz w:val="18"/>
          <w:szCs w:val="18"/>
        </w:rPr>
        <w:t>无</w:t>
      </w:r>
    </w:p>
    <w:p w14:paraId="5BB4D1A4" w14:textId="77777777" w:rsidR="006C011D" w:rsidRPr="005A284F" w:rsidRDefault="00000000">
      <w:pPr>
        <w:pStyle w:val="3"/>
        <w:spacing w:line="280" w:lineRule="exact"/>
        <w:jc w:val="left"/>
        <w:rPr>
          <w:rFonts w:ascii="Times New Roman" w:hAnsi="Times New Roman" w:cs="Times New Roman"/>
          <w:b/>
          <w:bCs/>
        </w:rPr>
      </w:pPr>
      <w:bookmarkStart w:id="360" w:name="_Toc989292"/>
      <w:r w:rsidRPr="005A284F">
        <w:rPr>
          <w:rFonts w:ascii="Times New Roman" w:hAnsi="Times New Roman" w:cs="Times New Roman"/>
          <w:b/>
          <w:bCs/>
        </w:rPr>
        <w:t>84</w:t>
      </w:r>
      <w:r w:rsidRPr="005A284F">
        <w:rPr>
          <w:rFonts w:ascii="Times New Roman" w:hAnsi="Times New Roman" w:cs="Times New Roman"/>
          <w:b/>
          <w:bCs/>
        </w:rPr>
        <w:t>、其他</w:t>
      </w:r>
      <w:bookmarkEnd w:id="360"/>
    </w:p>
    <w:p w14:paraId="42DB7039" w14:textId="77777777" w:rsidR="000309B5" w:rsidRPr="005A284F" w:rsidRDefault="00000000">
      <w:pPr>
        <w:pStyle w:val="a3"/>
        <w:divId w:val="2124030871"/>
        <w:rPr>
          <w:rFonts w:ascii="Times New Roman" w:hAnsi="Times New Roman" w:cs="Times New Roman"/>
          <w:sz w:val="18"/>
          <w:szCs w:val="18"/>
        </w:rPr>
      </w:pPr>
      <w:r w:rsidRPr="005A284F">
        <w:rPr>
          <w:rFonts w:ascii="Times New Roman" w:hAnsi="Times New Roman" w:cs="Times New Roman"/>
          <w:sz w:val="18"/>
          <w:szCs w:val="18"/>
        </w:rPr>
        <w:t>无</w:t>
      </w:r>
    </w:p>
    <w:p w14:paraId="776D06E8"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361" w:name="_Toc989293"/>
      <w:r w:rsidRPr="005A284F">
        <w:rPr>
          <w:rFonts w:ascii="Times New Roman" w:eastAsia="宋体" w:hAnsi="Times New Roman" w:cs="Times New Roman"/>
          <w:b/>
          <w:bCs/>
          <w:sz w:val="24"/>
          <w:szCs w:val="24"/>
        </w:rPr>
        <w:t>八、研发支出</w:t>
      </w:r>
      <w:bookmarkEnd w:id="361"/>
    </w:p>
    <w:p w14:paraId="416E8117" w14:textId="77777777" w:rsidR="001C2948" w:rsidRPr="005A284F" w:rsidRDefault="001C2948" w:rsidP="001C2948">
      <w:pPr>
        <w:pStyle w:val="a3"/>
        <w:rPr>
          <w:rFonts w:ascii="Times New Roman" w:hAnsi="Times New Roman" w:cs="Times New Roman"/>
          <w:sz w:val="18"/>
          <w:szCs w:val="18"/>
        </w:rPr>
      </w:pPr>
      <w:bookmarkStart w:id="362" w:name="_Toc989296"/>
      <w:r w:rsidRPr="005A284F">
        <w:rPr>
          <w:rFonts w:ascii="Times New Roman" w:hAnsi="Times New Roman" w:cs="Times New Roman"/>
          <w:sz w:val="18"/>
          <w:szCs w:val="18"/>
        </w:rPr>
        <w:t>无</w:t>
      </w:r>
    </w:p>
    <w:p w14:paraId="1D10E8F6"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r w:rsidRPr="005A284F">
        <w:rPr>
          <w:rFonts w:ascii="Times New Roman" w:eastAsia="宋体" w:hAnsi="Times New Roman" w:cs="Times New Roman"/>
          <w:b/>
          <w:bCs/>
          <w:sz w:val="24"/>
          <w:szCs w:val="24"/>
        </w:rPr>
        <w:t>九、合并范围的变更</w:t>
      </w:r>
      <w:bookmarkEnd w:id="362"/>
    </w:p>
    <w:p w14:paraId="2CC5F9BD" w14:textId="77777777" w:rsidR="006C011D" w:rsidRPr="005A284F" w:rsidRDefault="00000000">
      <w:pPr>
        <w:pStyle w:val="3"/>
        <w:spacing w:line="280" w:lineRule="exact"/>
        <w:jc w:val="left"/>
        <w:rPr>
          <w:rFonts w:ascii="Times New Roman" w:hAnsi="Times New Roman" w:cs="Times New Roman"/>
          <w:b/>
          <w:bCs/>
        </w:rPr>
      </w:pPr>
      <w:bookmarkStart w:id="363" w:name="_Toc989297"/>
      <w:r w:rsidRPr="005A284F">
        <w:rPr>
          <w:rFonts w:ascii="Times New Roman" w:hAnsi="Times New Roman" w:cs="Times New Roman"/>
          <w:b/>
          <w:bCs/>
        </w:rPr>
        <w:t>1</w:t>
      </w:r>
      <w:r w:rsidRPr="005A284F">
        <w:rPr>
          <w:rFonts w:ascii="Times New Roman" w:hAnsi="Times New Roman" w:cs="Times New Roman"/>
          <w:b/>
          <w:bCs/>
        </w:rPr>
        <w:t>、非同一控制下企业合并</w:t>
      </w:r>
      <w:bookmarkEnd w:id="363"/>
    </w:p>
    <w:p w14:paraId="4F7615B9" w14:textId="77777777" w:rsidR="000309B5" w:rsidRPr="005A284F" w:rsidRDefault="00000000">
      <w:pPr>
        <w:pStyle w:val="a3"/>
        <w:divId w:val="2084327083"/>
        <w:rPr>
          <w:rFonts w:ascii="Times New Roman" w:hAnsi="Times New Roman" w:cs="Times New Roman"/>
          <w:sz w:val="18"/>
          <w:szCs w:val="18"/>
        </w:rPr>
      </w:pPr>
      <w:r w:rsidRPr="005A284F">
        <w:rPr>
          <w:rFonts w:ascii="Times New Roman" w:hAnsi="Times New Roman" w:cs="Times New Roman"/>
          <w:sz w:val="18"/>
          <w:szCs w:val="18"/>
        </w:rPr>
        <w:t>无</w:t>
      </w:r>
    </w:p>
    <w:p w14:paraId="002C498E" w14:textId="77777777" w:rsidR="006C011D" w:rsidRPr="005A284F" w:rsidRDefault="00000000">
      <w:pPr>
        <w:pStyle w:val="3"/>
        <w:spacing w:line="280" w:lineRule="exact"/>
        <w:jc w:val="left"/>
        <w:rPr>
          <w:rFonts w:ascii="Times New Roman" w:hAnsi="Times New Roman" w:cs="Times New Roman"/>
          <w:b/>
          <w:bCs/>
        </w:rPr>
      </w:pPr>
      <w:bookmarkStart w:id="364" w:name="_Toc989304"/>
      <w:r w:rsidRPr="005A284F">
        <w:rPr>
          <w:rFonts w:ascii="Times New Roman" w:hAnsi="Times New Roman" w:cs="Times New Roman"/>
          <w:b/>
          <w:bCs/>
        </w:rPr>
        <w:lastRenderedPageBreak/>
        <w:t>2</w:t>
      </w:r>
      <w:r w:rsidRPr="005A284F">
        <w:rPr>
          <w:rFonts w:ascii="Times New Roman" w:hAnsi="Times New Roman" w:cs="Times New Roman"/>
          <w:b/>
          <w:bCs/>
        </w:rPr>
        <w:t>、同一控制下企业合并</w:t>
      </w:r>
      <w:bookmarkEnd w:id="364"/>
    </w:p>
    <w:p w14:paraId="20C7EBD8" w14:textId="77777777" w:rsidR="000309B5" w:rsidRPr="005A284F" w:rsidRDefault="00000000">
      <w:pPr>
        <w:pStyle w:val="a3"/>
        <w:divId w:val="1257203524"/>
        <w:rPr>
          <w:rFonts w:ascii="Times New Roman" w:hAnsi="Times New Roman" w:cs="Times New Roman"/>
          <w:sz w:val="18"/>
          <w:szCs w:val="18"/>
        </w:rPr>
      </w:pPr>
      <w:r w:rsidRPr="005A284F">
        <w:rPr>
          <w:rFonts w:ascii="Times New Roman" w:hAnsi="Times New Roman" w:cs="Times New Roman"/>
          <w:sz w:val="18"/>
          <w:szCs w:val="18"/>
        </w:rPr>
        <w:t>无</w:t>
      </w:r>
    </w:p>
    <w:p w14:paraId="30AF8D58" w14:textId="77777777" w:rsidR="006C011D" w:rsidRPr="005A284F" w:rsidRDefault="00000000">
      <w:pPr>
        <w:pStyle w:val="3"/>
        <w:spacing w:line="280" w:lineRule="exact"/>
        <w:jc w:val="left"/>
        <w:rPr>
          <w:rFonts w:ascii="Times New Roman" w:hAnsi="Times New Roman" w:cs="Times New Roman"/>
          <w:b/>
          <w:bCs/>
        </w:rPr>
      </w:pPr>
      <w:bookmarkStart w:id="365" w:name="_Toc989308"/>
      <w:r w:rsidRPr="005A284F">
        <w:rPr>
          <w:rFonts w:ascii="Times New Roman" w:hAnsi="Times New Roman" w:cs="Times New Roman"/>
          <w:b/>
          <w:bCs/>
        </w:rPr>
        <w:t>3</w:t>
      </w:r>
      <w:r w:rsidRPr="005A284F">
        <w:rPr>
          <w:rFonts w:ascii="Times New Roman" w:hAnsi="Times New Roman" w:cs="Times New Roman"/>
          <w:b/>
          <w:bCs/>
        </w:rPr>
        <w:t>、反向购买</w:t>
      </w:r>
      <w:bookmarkEnd w:id="365"/>
    </w:p>
    <w:p w14:paraId="56C3A971" w14:textId="77777777" w:rsidR="000309B5" w:rsidRPr="005A284F" w:rsidRDefault="00000000">
      <w:pPr>
        <w:pStyle w:val="a3"/>
        <w:divId w:val="111677081"/>
        <w:rPr>
          <w:rFonts w:ascii="Times New Roman" w:hAnsi="Times New Roman" w:cs="Times New Roman"/>
          <w:sz w:val="18"/>
          <w:szCs w:val="18"/>
        </w:rPr>
      </w:pPr>
      <w:r w:rsidRPr="005A284F">
        <w:rPr>
          <w:rFonts w:ascii="Times New Roman" w:hAnsi="Times New Roman" w:cs="Times New Roman"/>
          <w:sz w:val="18"/>
          <w:szCs w:val="18"/>
        </w:rPr>
        <w:t>无</w:t>
      </w:r>
    </w:p>
    <w:p w14:paraId="2B483D2D" w14:textId="77777777" w:rsidR="006C011D" w:rsidRPr="005A284F" w:rsidRDefault="00000000">
      <w:pPr>
        <w:pStyle w:val="3"/>
        <w:spacing w:line="280" w:lineRule="exact"/>
        <w:jc w:val="left"/>
        <w:rPr>
          <w:rFonts w:ascii="Times New Roman" w:hAnsi="Times New Roman" w:cs="Times New Roman"/>
          <w:b/>
          <w:bCs/>
        </w:rPr>
      </w:pPr>
      <w:bookmarkStart w:id="366" w:name="_Toc989309"/>
      <w:r w:rsidRPr="005A284F">
        <w:rPr>
          <w:rFonts w:ascii="Times New Roman" w:hAnsi="Times New Roman" w:cs="Times New Roman"/>
          <w:b/>
          <w:bCs/>
        </w:rPr>
        <w:t>4</w:t>
      </w:r>
      <w:r w:rsidRPr="005A284F">
        <w:rPr>
          <w:rFonts w:ascii="Times New Roman" w:hAnsi="Times New Roman" w:cs="Times New Roman"/>
          <w:b/>
          <w:bCs/>
        </w:rPr>
        <w:t>、处置子公司</w:t>
      </w:r>
      <w:bookmarkEnd w:id="366"/>
    </w:p>
    <w:p w14:paraId="0D5FBB1F"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本期是否存在丧失子公司控制权的交易或事项</w:t>
      </w:r>
    </w:p>
    <w:p w14:paraId="2C9A4A96" w14:textId="77777777" w:rsidR="006C011D" w:rsidRPr="001C2948" w:rsidRDefault="00000000">
      <w:pPr>
        <w:spacing w:before="100" w:after="100" w:line="240" w:lineRule="exact"/>
        <w:rPr>
          <w:rFonts w:ascii="宋体" w:eastAsia="宋体" w:hAnsi="宋体" w:cs="Times New Roman" w:hint="eastAsia"/>
          <w:sz w:val="18"/>
          <w:szCs w:val="18"/>
        </w:rPr>
      </w:pPr>
      <w:r w:rsidRPr="001C2948">
        <w:rPr>
          <w:rFonts w:ascii="宋体" w:eastAsia="宋体" w:hAnsi="宋体" w:cs="Times New Roman"/>
          <w:sz w:val="18"/>
          <w:szCs w:val="18"/>
        </w:rPr>
        <w:t xml:space="preserve">□是 </w:t>
      </w:r>
      <w:r w:rsidRPr="001C2948">
        <w:rPr>
          <w:rFonts w:ascii="宋体" w:eastAsia="宋体" w:hAnsi="宋体" w:cs="Times New Roman"/>
          <w:sz w:val="18"/>
          <w:szCs w:val="18"/>
        </w:rPr>
        <w:sym w:font="Wingdings 2" w:char="F052"/>
      </w:r>
      <w:r w:rsidRPr="001C2948">
        <w:rPr>
          <w:rFonts w:ascii="宋体" w:eastAsia="宋体" w:hAnsi="宋体" w:cs="Times New Roman"/>
          <w:sz w:val="18"/>
          <w:szCs w:val="18"/>
        </w:rPr>
        <w:t>否</w:t>
      </w:r>
    </w:p>
    <w:p w14:paraId="362C2A6B"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是否存在通过多次交易分步处置对子公司投资且在本期丧失控制权的情形</w:t>
      </w:r>
    </w:p>
    <w:p w14:paraId="5764211D" w14:textId="77777777" w:rsidR="006C011D" w:rsidRPr="001C2948" w:rsidRDefault="00000000">
      <w:pPr>
        <w:spacing w:before="100" w:after="100" w:line="240" w:lineRule="exact"/>
        <w:rPr>
          <w:rFonts w:ascii="宋体" w:eastAsia="宋体" w:hAnsi="宋体" w:cs="Times New Roman" w:hint="eastAsia"/>
          <w:sz w:val="18"/>
          <w:szCs w:val="18"/>
        </w:rPr>
      </w:pPr>
      <w:r w:rsidRPr="001C2948">
        <w:rPr>
          <w:rFonts w:ascii="宋体" w:eastAsia="宋体" w:hAnsi="宋体" w:cs="Times New Roman"/>
          <w:sz w:val="18"/>
          <w:szCs w:val="18"/>
        </w:rPr>
        <w:t xml:space="preserve">□是 </w:t>
      </w:r>
      <w:r w:rsidRPr="001C2948">
        <w:rPr>
          <w:rFonts w:ascii="宋体" w:eastAsia="宋体" w:hAnsi="宋体" w:cs="Times New Roman"/>
          <w:sz w:val="18"/>
          <w:szCs w:val="18"/>
        </w:rPr>
        <w:sym w:font="Wingdings 2" w:char="F052"/>
      </w:r>
      <w:r w:rsidRPr="001C2948">
        <w:rPr>
          <w:rFonts w:ascii="宋体" w:eastAsia="宋体" w:hAnsi="宋体" w:cs="Times New Roman"/>
          <w:sz w:val="18"/>
          <w:szCs w:val="18"/>
        </w:rPr>
        <w:t>否</w:t>
      </w:r>
    </w:p>
    <w:p w14:paraId="375731FF" w14:textId="77777777" w:rsidR="006C011D" w:rsidRPr="005A284F" w:rsidRDefault="00000000">
      <w:pPr>
        <w:pStyle w:val="3"/>
        <w:spacing w:line="280" w:lineRule="exact"/>
        <w:jc w:val="left"/>
        <w:rPr>
          <w:rFonts w:ascii="Times New Roman" w:hAnsi="Times New Roman" w:cs="Times New Roman"/>
          <w:b/>
          <w:bCs/>
        </w:rPr>
      </w:pPr>
      <w:bookmarkStart w:id="367" w:name="_Toc989310"/>
      <w:r w:rsidRPr="005A284F">
        <w:rPr>
          <w:rFonts w:ascii="Times New Roman" w:hAnsi="Times New Roman" w:cs="Times New Roman"/>
          <w:b/>
          <w:bCs/>
        </w:rPr>
        <w:t>5</w:t>
      </w:r>
      <w:r w:rsidRPr="005A284F">
        <w:rPr>
          <w:rFonts w:ascii="Times New Roman" w:hAnsi="Times New Roman" w:cs="Times New Roman"/>
          <w:b/>
          <w:bCs/>
        </w:rPr>
        <w:t>、其他原因的合并范围变动</w:t>
      </w:r>
      <w:bookmarkEnd w:id="367"/>
    </w:p>
    <w:p w14:paraId="2725E306"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说明其他原因导致的合并范围变动（如，新设子公司、清算子公司等）及其相关情况：</w:t>
      </w:r>
    </w:p>
    <w:p w14:paraId="7383196B" w14:textId="77777777" w:rsidR="000309B5" w:rsidRPr="005A284F" w:rsidRDefault="00000000">
      <w:pPr>
        <w:pStyle w:val="a3"/>
        <w:divId w:val="1455296144"/>
        <w:rPr>
          <w:rFonts w:ascii="Times New Roman" w:hAnsi="Times New Roman" w:cs="Times New Roman"/>
          <w:sz w:val="18"/>
          <w:szCs w:val="18"/>
        </w:rPr>
      </w:pPr>
      <w:r w:rsidRPr="005A284F">
        <w:rPr>
          <w:rFonts w:ascii="Times New Roman" w:hAnsi="Times New Roman" w:cs="Times New Roman"/>
          <w:sz w:val="18"/>
          <w:szCs w:val="18"/>
        </w:rPr>
        <w:t>1</w:t>
      </w:r>
      <w:r w:rsidRPr="005A284F">
        <w:rPr>
          <w:rFonts w:ascii="Times New Roman" w:hAnsi="Times New Roman" w:cs="Times New Roman"/>
          <w:sz w:val="18"/>
          <w:szCs w:val="18"/>
        </w:rPr>
        <w:t>、巴中龙大美食食品有限公司于</w:t>
      </w:r>
      <w:r w:rsidRPr="005A284F">
        <w:rPr>
          <w:rFonts w:ascii="Times New Roman" w:hAnsi="Times New Roman" w:cs="Times New Roman"/>
          <w:sz w:val="18"/>
          <w:szCs w:val="18"/>
        </w:rPr>
        <w:t>2025</w:t>
      </w:r>
      <w:r w:rsidRPr="005A284F">
        <w:rPr>
          <w:rFonts w:ascii="Times New Roman" w:hAnsi="Times New Roman" w:cs="Times New Roman"/>
          <w:sz w:val="18"/>
          <w:szCs w:val="18"/>
        </w:rPr>
        <w:t>年</w:t>
      </w:r>
      <w:r w:rsidRPr="005A284F">
        <w:rPr>
          <w:rFonts w:ascii="Times New Roman" w:hAnsi="Times New Roman" w:cs="Times New Roman"/>
          <w:sz w:val="18"/>
          <w:szCs w:val="18"/>
        </w:rPr>
        <w:t>2</w:t>
      </w:r>
      <w:r w:rsidRPr="005A284F">
        <w:rPr>
          <w:rFonts w:ascii="Times New Roman" w:hAnsi="Times New Roman" w:cs="Times New Roman"/>
          <w:sz w:val="18"/>
          <w:szCs w:val="18"/>
        </w:rPr>
        <w:t>月</w:t>
      </w:r>
      <w:r w:rsidRPr="005A284F">
        <w:rPr>
          <w:rFonts w:ascii="Times New Roman" w:hAnsi="Times New Roman" w:cs="Times New Roman"/>
          <w:sz w:val="18"/>
          <w:szCs w:val="18"/>
        </w:rPr>
        <w:t>21</w:t>
      </w:r>
      <w:r w:rsidRPr="005A284F">
        <w:rPr>
          <w:rFonts w:ascii="Times New Roman" w:hAnsi="Times New Roman" w:cs="Times New Roman"/>
          <w:sz w:val="18"/>
          <w:szCs w:val="18"/>
        </w:rPr>
        <w:t>日设立。</w:t>
      </w:r>
    </w:p>
    <w:p w14:paraId="07731F93" w14:textId="77777777" w:rsidR="000309B5" w:rsidRPr="005A284F" w:rsidRDefault="00000000">
      <w:pPr>
        <w:pStyle w:val="a3"/>
        <w:divId w:val="1455296144"/>
        <w:rPr>
          <w:rFonts w:ascii="Times New Roman" w:hAnsi="Times New Roman" w:cs="Times New Roman"/>
          <w:sz w:val="18"/>
          <w:szCs w:val="18"/>
        </w:rPr>
      </w:pPr>
      <w:r w:rsidRPr="005A284F">
        <w:rPr>
          <w:rFonts w:ascii="Times New Roman" w:hAnsi="Times New Roman" w:cs="Times New Roman"/>
          <w:sz w:val="18"/>
          <w:szCs w:val="18"/>
        </w:rPr>
        <w:t>2</w:t>
      </w:r>
      <w:r w:rsidRPr="005A284F">
        <w:rPr>
          <w:rFonts w:ascii="Times New Roman" w:hAnsi="Times New Roman" w:cs="Times New Roman"/>
          <w:sz w:val="18"/>
          <w:szCs w:val="18"/>
        </w:rPr>
        <w:t>、四川龙炸餐饮管理有限公司于</w:t>
      </w:r>
      <w:r w:rsidRPr="005A284F">
        <w:rPr>
          <w:rFonts w:ascii="Times New Roman" w:hAnsi="Times New Roman" w:cs="Times New Roman"/>
          <w:sz w:val="18"/>
          <w:szCs w:val="18"/>
        </w:rPr>
        <w:t>2025</w:t>
      </w:r>
      <w:r w:rsidRPr="005A284F">
        <w:rPr>
          <w:rFonts w:ascii="Times New Roman" w:hAnsi="Times New Roman" w:cs="Times New Roman"/>
          <w:sz w:val="18"/>
          <w:szCs w:val="18"/>
        </w:rPr>
        <w:t>年</w:t>
      </w:r>
      <w:r w:rsidRPr="005A284F">
        <w:rPr>
          <w:rFonts w:ascii="Times New Roman" w:hAnsi="Times New Roman" w:cs="Times New Roman"/>
          <w:sz w:val="18"/>
          <w:szCs w:val="18"/>
        </w:rPr>
        <w:t>5</w:t>
      </w:r>
      <w:r w:rsidRPr="005A284F">
        <w:rPr>
          <w:rFonts w:ascii="Times New Roman" w:hAnsi="Times New Roman" w:cs="Times New Roman"/>
          <w:sz w:val="18"/>
          <w:szCs w:val="18"/>
        </w:rPr>
        <w:t>月</w:t>
      </w:r>
      <w:r w:rsidRPr="005A284F">
        <w:rPr>
          <w:rFonts w:ascii="Times New Roman" w:hAnsi="Times New Roman" w:cs="Times New Roman"/>
          <w:sz w:val="18"/>
          <w:szCs w:val="18"/>
        </w:rPr>
        <w:t>23</w:t>
      </w:r>
      <w:r w:rsidRPr="005A284F">
        <w:rPr>
          <w:rFonts w:ascii="Times New Roman" w:hAnsi="Times New Roman" w:cs="Times New Roman"/>
          <w:sz w:val="18"/>
          <w:szCs w:val="18"/>
        </w:rPr>
        <w:t>日注销。</w:t>
      </w:r>
    </w:p>
    <w:p w14:paraId="668F0E10" w14:textId="77777777" w:rsidR="006C011D" w:rsidRPr="005A284F" w:rsidRDefault="00000000">
      <w:pPr>
        <w:pStyle w:val="3"/>
        <w:spacing w:line="280" w:lineRule="exact"/>
        <w:jc w:val="left"/>
        <w:rPr>
          <w:rFonts w:ascii="Times New Roman" w:hAnsi="Times New Roman" w:cs="Times New Roman"/>
          <w:b/>
          <w:bCs/>
        </w:rPr>
      </w:pPr>
      <w:bookmarkStart w:id="368" w:name="_Toc989311"/>
      <w:r w:rsidRPr="005A284F">
        <w:rPr>
          <w:rFonts w:ascii="Times New Roman" w:hAnsi="Times New Roman" w:cs="Times New Roman"/>
          <w:b/>
          <w:bCs/>
        </w:rPr>
        <w:t>6</w:t>
      </w:r>
      <w:r w:rsidRPr="005A284F">
        <w:rPr>
          <w:rFonts w:ascii="Times New Roman" w:hAnsi="Times New Roman" w:cs="Times New Roman"/>
          <w:b/>
          <w:bCs/>
        </w:rPr>
        <w:t>、其他</w:t>
      </w:r>
      <w:bookmarkEnd w:id="368"/>
    </w:p>
    <w:p w14:paraId="191B567A" w14:textId="77777777" w:rsidR="000309B5" w:rsidRPr="005A284F" w:rsidRDefault="00000000">
      <w:pPr>
        <w:pStyle w:val="a3"/>
        <w:divId w:val="497428430"/>
        <w:rPr>
          <w:rFonts w:ascii="Times New Roman" w:hAnsi="Times New Roman" w:cs="Times New Roman"/>
          <w:sz w:val="18"/>
          <w:szCs w:val="18"/>
        </w:rPr>
      </w:pPr>
      <w:r w:rsidRPr="005A284F">
        <w:rPr>
          <w:rFonts w:ascii="Times New Roman" w:hAnsi="Times New Roman" w:cs="Times New Roman"/>
          <w:sz w:val="18"/>
          <w:szCs w:val="18"/>
        </w:rPr>
        <w:t>无</w:t>
      </w:r>
    </w:p>
    <w:p w14:paraId="48D157EB"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369" w:name="_Toc989312"/>
      <w:r w:rsidRPr="005A284F">
        <w:rPr>
          <w:rFonts w:ascii="Times New Roman" w:eastAsia="宋体" w:hAnsi="Times New Roman" w:cs="Times New Roman"/>
          <w:b/>
          <w:bCs/>
          <w:sz w:val="24"/>
          <w:szCs w:val="24"/>
        </w:rPr>
        <w:t>十、在其他主体中的权益</w:t>
      </w:r>
      <w:bookmarkEnd w:id="369"/>
    </w:p>
    <w:p w14:paraId="2226A4CB" w14:textId="77777777" w:rsidR="006C011D" w:rsidRPr="005A284F" w:rsidRDefault="00000000">
      <w:pPr>
        <w:pStyle w:val="3"/>
        <w:spacing w:line="280" w:lineRule="exact"/>
        <w:jc w:val="left"/>
        <w:rPr>
          <w:rFonts w:ascii="Times New Roman" w:hAnsi="Times New Roman" w:cs="Times New Roman"/>
          <w:b/>
          <w:bCs/>
        </w:rPr>
      </w:pPr>
      <w:bookmarkStart w:id="370" w:name="_Toc989313"/>
      <w:r w:rsidRPr="005A284F">
        <w:rPr>
          <w:rFonts w:ascii="Times New Roman" w:hAnsi="Times New Roman" w:cs="Times New Roman"/>
          <w:b/>
          <w:bCs/>
        </w:rPr>
        <w:t>1</w:t>
      </w:r>
      <w:r w:rsidRPr="005A284F">
        <w:rPr>
          <w:rFonts w:ascii="Times New Roman" w:hAnsi="Times New Roman" w:cs="Times New Roman"/>
          <w:b/>
          <w:bCs/>
        </w:rPr>
        <w:t>、在子公司中的权益</w:t>
      </w:r>
      <w:bookmarkEnd w:id="370"/>
    </w:p>
    <w:p w14:paraId="3F8CD218" w14:textId="322F2C3B" w:rsidR="006C011D" w:rsidRPr="005A284F" w:rsidRDefault="00000000">
      <w:pPr>
        <w:keepNext/>
        <w:keepLines/>
        <w:spacing w:before="300" w:after="300" w:line="280" w:lineRule="exact"/>
        <w:outlineLvl w:val="3"/>
        <w:rPr>
          <w:rFonts w:ascii="Times New Roman" w:eastAsia="宋体" w:hAnsi="Times New Roman" w:cs="Times New Roman"/>
          <w:b/>
          <w:bCs/>
          <w:sz w:val="18"/>
          <w:szCs w:val="18"/>
        </w:rPr>
      </w:pPr>
      <w:bookmarkStart w:id="371" w:name="_Toc989314"/>
      <w:r w:rsidRPr="005A284F">
        <w:rPr>
          <w:rFonts w:ascii="Times New Roman" w:eastAsia="宋体" w:hAnsi="Times New Roman" w:cs="Times New Roman"/>
          <w:b/>
          <w:bCs/>
          <w:sz w:val="18"/>
          <w:szCs w:val="18"/>
        </w:rPr>
        <w:t>（</w:t>
      </w:r>
      <w:r w:rsidRPr="005A284F">
        <w:rPr>
          <w:rFonts w:ascii="Times New Roman" w:eastAsia="宋体" w:hAnsi="Times New Roman" w:cs="Times New Roman"/>
          <w:b/>
          <w:bCs/>
          <w:sz w:val="18"/>
          <w:szCs w:val="18"/>
        </w:rPr>
        <w:t>1</w:t>
      </w:r>
      <w:r w:rsidRPr="005A284F">
        <w:rPr>
          <w:rFonts w:ascii="Times New Roman" w:eastAsia="宋体" w:hAnsi="Times New Roman" w:cs="Times New Roman"/>
          <w:b/>
          <w:bCs/>
          <w:sz w:val="18"/>
          <w:szCs w:val="18"/>
        </w:rPr>
        <w:t>）企业集团的构成</w:t>
      </w:r>
      <w:bookmarkEnd w:id="371"/>
    </w:p>
    <w:p w14:paraId="1864AE19"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4A0" w:firstRow="1" w:lastRow="0" w:firstColumn="1" w:lastColumn="0" w:noHBand="0" w:noVBand="1"/>
      </w:tblPr>
      <w:tblGrid>
        <w:gridCol w:w="1083"/>
        <w:gridCol w:w="1326"/>
        <w:gridCol w:w="1205"/>
        <w:gridCol w:w="1205"/>
        <w:gridCol w:w="1205"/>
        <w:gridCol w:w="1205"/>
        <w:gridCol w:w="1205"/>
        <w:gridCol w:w="1205"/>
      </w:tblGrid>
      <w:tr w:rsidR="006C011D" w:rsidRPr="005A284F" w14:paraId="452BC361" w14:textId="77777777" w:rsidTr="00A27B2B">
        <w:trPr>
          <w:trHeight w:val="240"/>
          <w:jc w:val="center"/>
        </w:trPr>
        <w:tc>
          <w:tcPr>
            <w:tcW w:w="108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977C49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子公司名称</w:t>
            </w:r>
          </w:p>
        </w:tc>
        <w:tc>
          <w:tcPr>
            <w:tcW w:w="132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2BD574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注册资本</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4C92B4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主要经营地</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48D6A3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注册地</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031187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业务性质</w:t>
            </w:r>
          </w:p>
        </w:tc>
        <w:tc>
          <w:tcPr>
            <w:tcW w:w="241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683C46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持股比例</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81267F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取得方式</w:t>
            </w:r>
          </w:p>
        </w:tc>
      </w:tr>
      <w:tr w:rsidR="006C011D" w:rsidRPr="005A284F" w14:paraId="4CA3E35D" w14:textId="77777777" w:rsidTr="00A27B2B">
        <w:trPr>
          <w:trHeight w:val="240"/>
          <w:jc w:val="center"/>
        </w:trPr>
        <w:tc>
          <w:tcPr>
            <w:tcW w:w="108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AF326BF" w14:textId="77777777" w:rsidR="006C011D" w:rsidRPr="005A284F" w:rsidRDefault="006C011D">
            <w:pPr>
              <w:rPr>
                <w:rFonts w:ascii="Times New Roman" w:eastAsia="宋体" w:hAnsi="Times New Roman" w:cs="Times New Roman"/>
              </w:rPr>
            </w:pPr>
          </w:p>
        </w:tc>
        <w:tc>
          <w:tcPr>
            <w:tcW w:w="1326" w:type="dxa"/>
            <w:vMerge/>
            <w:tcBorders>
              <w:top w:val="single" w:sz="2" w:space="0" w:color="auto"/>
              <w:left w:val="single" w:sz="2" w:space="0" w:color="auto"/>
              <w:bottom w:val="single" w:sz="2" w:space="0" w:color="auto"/>
              <w:right w:val="single" w:sz="2" w:space="0" w:color="auto"/>
            </w:tcBorders>
            <w:vAlign w:val="center"/>
          </w:tcPr>
          <w:p w14:paraId="1D22444E" w14:textId="77777777" w:rsidR="006C011D" w:rsidRPr="005A284F" w:rsidRDefault="006C011D">
            <w:pPr>
              <w:rPr>
                <w:rFonts w:ascii="Times New Roman" w:eastAsia="宋体" w:hAnsi="Times New Roman" w:cs="Times New Roman"/>
              </w:rPr>
            </w:pP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6A332C9" w14:textId="77777777" w:rsidR="006C011D" w:rsidRPr="005A284F" w:rsidRDefault="006C011D">
            <w:pPr>
              <w:rPr>
                <w:rFonts w:ascii="Times New Roman" w:eastAsia="宋体" w:hAnsi="Times New Roman" w:cs="Times New Roman"/>
              </w:rPr>
            </w:pP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DE029AC" w14:textId="77777777" w:rsidR="006C011D" w:rsidRPr="005A284F" w:rsidRDefault="006C011D">
            <w:pPr>
              <w:rPr>
                <w:rFonts w:ascii="Times New Roman" w:eastAsia="宋体" w:hAnsi="Times New Roman" w:cs="Times New Roman"/>
              </w:rPr>
            </w:pP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BABB7D4" w14:textId="77777777" w:rsidR="006C011D" w:rsidRPr="005A284F" w:rsidRDefault="006C011D">
            <w:pPr>
              <w:rPr>
                <w:rFonts w:ascii="Times New Roman" w:eastAsia="宋体" w:hAnsi="Times New Roman" w:cs="Times New Roman"/>
              </w:rPr>
            </w:pP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25B7FBB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直接</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1E412C3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间接</w:t>
            </w: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54A40C7" w14:textId="77777777" w:rsidR="006C011D" w:rsidRPr="005A284F" w:rsidRDefault="006C011D">
            <w:pPr>
              <w:rPr>
                <w:rFonts w:ascii="Times New Roman" w:eastAsia="宋体" w:hAnsi="Times New Roman" w:cs="Times New Roman"/>
              </w:rPr>
            </w:pPr>
          </w:p>
        </w:tc>
      </w:tr>
      <w:tr w:rsidR="006C011D" w:rsidRPr="005A284F" w14:paraId="2444A0A3" w14:textId="77777777" w:rsidTr="00A27B2B">
        <w:trPr>
          <w:trHeight w:val="240"/>
          <w:jc w:val="center"/>
        </w:trPr>
        <w:tc>
          <w:tcPr>
            <w:tcW w:w="1083" w:type="dxa"/>
            <w:tcBorders>
              <w:top w:val="single" w:sz="2" w:space="0" w:color="auto"/>
              <w:left w:val="single" w:sz="2" w:space="0" w:color="auto"/>
              <w:bottom w:val="single" w:sz="2" w:space="0" w:color="auto"/>
              <w:right w:val="single" w:sz="2" w:space="0" w:color="auto"/>
            </w:tcBorders>
            <w:vAlign w:val="center"/>
          </w:tcPr>
          <w:p w14:paraId="4656552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烟台龙大养殖有限公司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790DA85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150,000,000.00</w:t>
            </w:r>
          </w:p>
        </w:tc>
        <w:tc>
          <w:tcPr>
            <w:tcW w:w="1205" w:type="dxa"/>
            <w:tcBorders>
              <w:top w:val="single" w:sz="2" w:space="0" w:color="auto"/>
              <w:left w:val="single" w:sz="2" w:space="0" w:color="auto"/>
              <w:bottom w:val="single" w:sz="2" w:space="0" w:color="auto"/>
              <w:right w:val="single" w:sz="2" w:space="0" w:color="auto"/>
            </w:tcBorders>
            <w:vAlign w:val="center"/>
          </w:tcPr>
          <w:p w14:paraId="1C00C08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山东省莱阳市</w:t>
            </w:r>
          </w:p>
        </w:tc>
        <w:tc>
          <w:tcPr>
            <w:tcW w:w="1205" w:type="dxa"/>
            <w:tcBorders>
              <w:top w:val="single" w:sz="2" w:space="0" w:color="auto"/>
              <w:left w:val="single" w:sz="2" w:space="0" w:color="auto"/>
              <w:bottom w:val="single" w:sz="2" w:space="0" w:color="auto"/>
              <w:right w:val="single" w:sz="2" w:space="0" w:color="auto"/>
            </w:tcBorders>
            <w:vAlign w:val="center"/>
          </w:tcPr>
          <w:p w14:paraId="63E7565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山东省莱阳市龙旺庄街道办事处乔家泊村</w:t>
            </w:r>
          </w:p>
        </w:tc>
        <w:tc>
          <w:tcPr>
            <w:tcW w:w="1205" w:type="dxa"/>
            <w:tcBorders>
              <w:top w:val="single" w:sz="2" w:space="0" w:color="auto"/>
              <w:left w:val="single" w:sz="2" w:space="0" w:color="auto"/>
              <w:bottom w:val="single" w:sz="2" w:space="0" w:color="auto"/>
              <w:right w:val="single" w:sz="2" w:space="0" w:color="auto"/>
            </w:tcBorders>
            <w:vAlign w:val="center"/>
          </w:tcPr>
          <w:p w14:paraId="3CE8D44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畜禽</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养殖</w:t>
            </w:r>
          </w:p>
        </w:tc>
        <w:tc>
          <w:tcPr>
            <w:tcW w:w="1205" w:type="dxa"/>
            <w:tcBorders>
              <w:top w:val="single" w:sz="2" w:space="0" w:color="auto"/>
              <w:left w:val="single" w:sz="2" w:space="0" w:color="auto"/>
              <w:bottom w:val="single" w:sz="2" w:space="0" w:color="auto"/>
              <w:right w:val="single" w:sz="2" w:space="0" w:color="auto"/>
            </w:tcBorders>
            <w:vAlign w:val="center"/>
          </w:tcPr>
          <w:p w14:paraId="4B254F6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7163526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A5CC6D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同一控制下企业合并</w:t>
            </w:r>
          </w:p>
        </w:tc>
      </w:tr>
      <w:tr w:rsidR="006C011D" w:rsidRPr="005A284F" w14:paraId="7484078D" w14:textId="77777777" w:rsidTr="00A27B2B">
        <w:trPr>
          <w:trHeight w:val="240"/>
          <w:jc w:val="center"/>
        </w:trPr>
        <w:tc>
          <w:tcPr>
            <w:tcW w:w="1083" w:type="dxa"/>
            <w:tcBorders>
              <w:top w:val="single" w:sz="2" w:space="0" w:color="auto"/>
              <w:left w:val="single" w:sz="2" w:space="0" w:color="auto"/>
              <w:bottom w:val="single" w:sz="2" w:space="0" w:color="auto"/>
              <w:right w:val="single" w:sz="2" w:space="0" w:color="auto"/>
            </w:tcBorders>
            <w:vAlign w:val="center"/>
          </w:tcPr>
          <w:p w14:paraId="77D35D1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烟台龙大饲料有限公司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02A706F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56,000,000.00</w:t>
            </w:r>
          </w:p>
        </w:tc>
        <w:tc>
          <w:tcPr>
            <w:tcW w:w="1205" w:type="dxa"/>
            <w:tcBorders>
              <w:top w:val="single" w:sz="2" w:space="0" w:color="auto"/>
              <w:left w:val="single" w:sz="2" w:space="0" w:color="auto"/>
              <w:bottom w:val="single" w:sz="2" w:space="0" w:color="auto"/>
              <w:right w:val="single" w:sz="2" w:space="0" w:color="auto"/>
            </w:tcBorders>
            <w:vAlign w:val="center"/>
          </w:tcPr>
          <w:p w14:paraId="5CC2C97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山东省莱阳市</w:t>
            </w:r>
          </w:p>
        </w:tc>
        <w:tc>
          <w:tcPr>
            <w:tcW w:w="1205" w:type="dxa"/>
            <w:tcBorders>
              <w:top w:val="single" w:sz="2" w:space="0" w:color="auto"/>
              <w:left w:val="single" w:sz="2" w:space="0" w:color="auto"/>
              <w:bottom w:val="single" w:sz="2" w:space="0" w:color="auto"/>
              <w:right w:val="single" w:sz="2" w:space="0" w:color="auto"/>
            </w:tcBorders>
            <w:vAlign w:val="center"/>
          </w:tcPr>
          <w:p w14:paraId="37B863C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山东省莱阳市龙旺庄街道办事处乔家泊村</w:t>
            </w:r>
          </w:p>
        </w:tc>
        <w:tc>
          <w:tcPr>
            <w:tcW w:w="1205" w:type="dxa"/>
            <w:tcBorders>
              <w:top w:val="single" w:sz="2" w:space="0" w:color="auto"/>
              <w:left w:val="single" w:sz="2" w:space="0" w:color="auto"/>
              <w:bottom w:val="single" w:sz="2" w:space="0" w:color="auto"/>
              <w:right w:val="single" w:sz="2" w:space="0" w:color="auto"/>
            </w:tcBorders>
            <w:vAlign w:val="center"/>
          </w:tcPr>
          <w:p w14:paraId="37D8AFF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饲料生产</w:t>
            </w:r>
          </w:p>
        </w:tc>
        <w:tc>
          <w:tcPr>
            <w:tcW w:w="1205" w:type="dxa"/>
            <w:tcBorders>
              <w:top w:val="single" w:sz="2" w:space="0" w:color="auto"/>
              <w:left w:val="single" w:sz="2" w:space="0" w:color="auto"/>
              <w:bottom w:val="single" w:sz="2" w:space="0" w:color="auto"/>
              <w:right w:val="single" w:sz="2" w:space="0" w:color="auto"/>
            </w:tcBorders>
            <w:vAlign w:val="center"/>
          </w:tcPr>
          <w:p w14:paraId="0EE2AAE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28C377E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DDA8DE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同一控制下企业合并</w:t>
            </w:r>
          </w:p>
        </w:tc>
      </w:tr>
      <w:tr w:rsidR="006C011D" w:rsidRPr="005A284F" w14:paraId="578C7EEC" w14:textId="77777777" w:rsidTr="00A27B2B">
        <w:trPr>
          <w:trHeight w:val="240"/>
          <w:jc w:val="center"/>
        </w:trPr>
        <w:tc>
          <w:tcPr>
            <w:tcW w:w="1083" w:type="dxa"/>
            <w:tcBorders>
              <w:top w:val="single" w:sz="2" w:space="0" w:color="auto"/>
              <w:left w:val="single" w:sz="2" w:space="0" w:color="auto"/>
              <w:bottom w:val="single" w:sz="2" w:space="0" w:color="auto"/>
              <w:right w:val="single" w:sz="2" w:space="0" w:color="auto"/>
            </w:tcBorders>
            <w:vAlign w:val="center"/>
          </w:tcPr>
          <w:p w14:paraId="0822A4A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河南龙大牧原肉食品有限公司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3412B0C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150,000,000.00</w:t>
            </w:r>
          </w:p>
        </w:tc>
        <w:tc>
          <w:tcPr>
            <w:tcW w:w="1205" w:type="dxa"/>
            <w:tcBorders>
              <w:top w:val="single" w:sz="2" w:space="0" w:color="auto"/>
              <w:left w:val="single" w:sz="2" w:space="0" w:color="auto"/>
              <w:bottom w:val="single" w:sz="2" w:space="0" w:color="auto"/>
              <w:right w:val="single" w:sz="2" w:space="0" w:color="auto"/>
            </w:tcBorders>
            <w:vAlign w:val="center"/>
          </w:tcPr>
          <w:p w14:paraId="4C1542B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河南省内乡县</w:t>
            </w:r>
          </w:p>
        </w:tc>
        <w:tc>
          <w:tcPr>
            <w:tcW w:w="1205" w:type="dxa"/>
            <w:tcBorders>
              <w:top w:val="single" w:sz="2" w:space="0" w:color="auto"/>
              <w:left w:val="single" w:sz="2" w:space="0" w:color="auto"/>
              <w:bottom w:val="single" w:sz="2" w:space="0" w:color="auto"/>
              <w:right w:val="single" w:sz="2" w:space="0" w:color="auto"/>
            </w:tcBorders>
            <w:vAlign w:val="center"/>
          </w:tcPr>
          <w:p w14:paraId="66AC968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内乡县灌涨镇前湾村</w:t>
            </w:r>
            <w:r w:rsidRPr="005A284F">
              <w:rPr>
                <w:rFonts w:ascii="Times New Roman" w:eastAsia="宋体" w:hAnsi="Times New Roman" w:cs="Times New Roman"/>
                <w:sz w:val="18"/>
                <w:szCs w:val="18"/>
              </w:rPr>
              <w:t>312</w:t>
            </w:r>
            <w:r w:rsidRPr="005A284F">
              <w:rPr>
                <w:rFonts w:ascii="Times New Roman" w:eastAsia="宋体" w:hAnsi="Times New Roman" w:cs="Times New Roman"/>
                <w:sz w:val="18"/>
                <w:szCs w:val="18"/>
              </w:rPr>
              <w:t>国道与默河交叉口西北角</w:t>
            </w:r>
          </w:p>
        </w:tc>
        <w:tc>
          <w:tcPr>
            <w:tcW w:w="1205" w:type="dxa"/>
            <w:tcBorders>
              <w:top w:val="single" w:sz="2" w:space="0" w:color="auto"/>
              <w:left w:val="single" w:sz="2" w:space="0" w:color="auto"/>
              <w:bottom w:val="single" w:sz="2" w:space="0" w:color="auto"/>
              <w:right w:val="single" w:sz="2" w:space="0" w:color="auto"/>
            </w:tcBorders>
            <w:vAlign w:val="center"/>
          </w:tcPr>
          <w:p w14:paraId="0617C08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生猪屠宰</w:t>
            </w:r>
          </w:p>
        </w:tc>
        <w:tc>
          <w:tcPr>
            <w:tcW w:w="1205" w:type="dxa"/>
            <w:tcBorders>
              <w:top w:val="single" w:sz="2" w:space="0" w:color="auto"/>
              <w:left w:val="single" w:sz="2" w:space="0" w:color="auto"/>
              <w:bottom w:val="single" w:sz="2" w:space="0" w:color="auto"/>
              <w:right w:val="single" w:sz="2" w:space="0" w:color="auto"/>
            </w:tcBorders>
            <w:vAlign w:val="center"/>
          </w:tcPr>
          <w:p w14:paraId="58414B0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60.00%</w:t>
            </w:r>
          </w:p>
        </w:tc>
        <w:tc>
          <w:tcPr>
            <w:tcW w:w="1205" w:type="dxa"/>
            <w:tcBorders>
              <w:top w:val="single" w:sz="2" w:space="0" w:color="auto"/>
              <w:left w:val="single" w:sz="2" w:space="0" w:color="auto"/>
              <w:bottom w:val="single" w:sz="2" w:space="0" w:color="auto"/>
              <w:right w:val="single" w:sz="2" w:space="0" w:color="auto"/>
            </w:tcBorders>
            <w:vAlign w:val="center"/>
          </w:tcPr>
          <w:p w14:paraId="5BE7A1B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034757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设立</w:t>
            </w:r>
          </w:p>
        </w:tc>
      </w:tr>
      <w:tr w:rsidR="006C011D" w:rsidRPr="005A284F" w14:paraId="2DEE0613" w14:textId="77777777" w:rsidTr="00A27B2B">
        <w:trPr>
          <w:trHeight w:val="240"/>
          <w:jc w:val="center"/>
        </w:trPr>
        <w:tc>
          <w:tcPr>
            <w:tcW w:w="1083" w:type="dxa"/>
            <w:tcBorders>
              <w:top w:val="single" w:sz="2" w:space="0" w:color="auto"/>
              <w:left w:val="single" w:sz="2" w:space="0" w:color="auto"/>
              <w:bottom w:val="single" w:sz="2" w:space="0" w:color="auto"/>
              <w:right w:val="single" w:sz="2" w:space="0" w:color="auto"/>
            </w:tcBorders>
            <w:vAlign w:val="center"/>
          </w:tcPr>
          <w:p w14:paraId="43EE124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聊城龙大肉食品有限公司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1F3F1E6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30,000,000.00</w:t>
            </w:r>
          </w:p>
        </w:tc>
        <w:tc>
          <w:tcPr>
            <w:tcW w:w="1205" w:type="dxa"/>
            <w:tcBorders>
              <w:top w:val="single" w:sz="2" w:space="0" w:color="auto"/>
              <w:left w:val="single" w:sz="2" w:space="0" w:color="auto"/>
              <w:bottom w:val="single" w:sz="2" w:space="0" w:color="auto"/>
              <w:right w:val="single" w:sz="2" w:space="0" w:color="auto"/>
            </w:tcBorders>
            <w:vAlign w:val="center"/>
          </w:tcPr>
          <w:p w14:paraId="537D561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山东省聊城市</w:t>
            </w:r>
          </w:p>
        </w:tc>
        <w:tc>
          <w:tcPr>
            <w:tcW w:w="1205" w:type="dxa"/>
            <w:tcBorders>
              <w:top w:val="single" w:sz="2" w:space="0" w:color="auto"/>
              <w:left w:val="single" w:sz="2" w:space="0" w:color="auto"/>
              <w:bottom w:val="single" w:sz="2" w:space="0" w:color="auto"/>
              <w:right w:val="single" w:sz="2" w:space="0" w:color="auto"/>
            </w:tcBorders>
            <w:vAlign w:val="center"/>
          </w:tcPr>
          <w:p w14:paraId="0A5D7F7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聊城市东昌府区嘉明工业园嘉明北路</w:t>
            </w:r>
          </w:p>
        </w:tc>
        <w:tc>
          <w:tcPr>
            <w:tcW w:w="1205" w:type="dxa"/>
            <w:tcBorders>
              <w:top w:val="single" w:sz="2" w:space="0" w:color="auto"/>
              <w:left w:val="single" w:sz="2" w:space="0" w:color="auto"/>
              <w:bottom w:val="single" w:sz="2" w:space="0" w:color="auto"/>
              <w:right w:val="single" w:sz="2" w:space="0" w:color="auto"/>
            </w:tcBorders>
            <w:vAlign w:val="center"/>
          </w:tcPr>
          <w:p w14:paraId="3FEEAA8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生猪屠宰</w:t>
            </w:r>
          </w:p>
        </w:tc>
        <w:tc>
          <w:tcPr>
            <w:tcW w:w="1205" w:type="dxa"/>
            <w:tcBorders>
              <w:top w:val="single" w:sz="2" w:space="0" w:color="auto"/>
              <w:left w:val="single" w:sz="2" w:space="0" w:color="auto"/>
              <w:bottom w:val="single" w:sz="2" w:space="0" w:color="auto"/>
              <w:right w:val="single" w:sz="2" w:space="0" w:color="auto"/>
            </w:tcBorders>
            <w:vAlign w:val="center"/>
          </w:tcPr>
          <w:p w14:paraId="4211CC4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3FD6663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F1CC63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设立</w:t>
            </w:r>
          </w:p>
        </w:tc>
      </w:tr>
      <w:tr w:rsidR="006C011D" w:rsidRPr="005A284F" w14:paraId="307AF003" w14:textId="77777777" w:rsidTr="00A27B2B">
        <w:trPr>
          <w:trHeight w:val="240"/>
          <w:jc w:val="center"/>
        </w:trPr>
        <w:tc>
          <w:tcPr>
            <w:tcW w:w="1083" w:type="dxa"/>
            <w:tcBorders>
              <w:top w:val="single" w:sz="2" w:space="0" w:color="auto"/>
              <w:left w:val="single" w:sz="2" w:space="0" w:color="auto"/>
              <w:bottom w:val="single" w:sz="2" w:space="0" w:color="auto"/>
              <w:right w:val="single" w:sz="2" w:space="0" w:color="auto"/>
            </w:tcBorders>
            <w:vAlign w:val="center"/>
          </w:tcPr>
          <w:p w14:paraId="1F6BE0A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烟台杰科检测服务有限公司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0896CAD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5,000,000.00</w:t>
            </w:r>
          </w:p>
        </w:tc>
        <w:tc>
          <w:tcPr>
            <w:tcW w:w="1205" w:type="dxa"/>
            <w:tcBorders>
              <w:top w:val="single" w:sz="2" w:space="0" w:color="auto"/>
              <w:left w:val="single" w:sz="2" w:space="0" w:color="auto"/>
              <w:bottom w:val="single" w:sz="2" w:space="0" w:color="auto"/>
              <w:right w:val="single" w:sz="2" w:space="0" w:color="auto"/>
            </w:tcBorders>
            <w:vAlign w:val="center"/>
          </w:tcPr>
          <w:p w14:paraId="1BEFDE2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山东省莱阳市</w:t>
            </w:r>
          </w:p>
        </w:tc>
        <w:tc>
          <w:tcPr>
            <w:tcW w:w="1205" w:type="dxa"/>
            <w:tcBorders>
              <w:top w:val="single" w:sz="2" w:space="0" w:color="auto"/>
              <w:left w:val="single" w:sz="2" w:space="0" w:color="auto"/>
              <w:bottom w:val="single" w:sz="2" w:space="0" w:color="auto"/>
              <w:right w:val="single" w:sz="2" w:space="0" w:color="auto"/>
            </w:tcBorders>
            <w:vAlign w:val="center"/>
          </w:tcPr>
          <w:p w14:paraId="5C2ABF1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山东省烟台市莱阳市龙门东路</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号</w:t>
            </w:r>
            <w:r w:rsidRPr="005A284F">
              <w:rPr>
                <w:rFonts w:ascii="Times New Roman" w:eastAsia="宋体" w:hAnsi="Times New Roman" w:cs="Times New Roman"/>
                <w:sz w:val="18"/>
                <w:szCs w:val="18"/>
              </w:rPr>
              <w:t>0027</w:t>
            </w:r>
          </w:p>
        </w:tc>
        <w:tc>
          <w:tcPr>
            <w:tcW w:w="1205" w:type="dxa"/>
            <w:tcBorders>
              <w:top w:val="single" w:sz="2" w:space="0" w:color="auto"/>
              <w:left w:val="single" w:sz="2" w:space="0" w:color="auto"/>
              <w:bottom w:val="single" w:sz="2" w:space="0" w:color="auto"/>
              <w:right w:val="single" w:sz="2" w:space="0" w:color="auto"/>
            </w:tcBorders>
            <w:vAlign w:val="center"/>
          </w:tcPr>
          <w:p w14:paraId="6EF2647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食品及添加剂检测</w:t>
            </w:r>
          </w:p>
        </w:tc>
        <w:tc>
          <w:tcPr>
            <w:tcW w:w="1205" w:type="dxa"/>
            <w:tcBorders>
              <w:top w:val="single" w:sz="2" w:space="0" w:color="auto"/>
              <w:left w:val="single" w:sz="2" w:space="0" w:color="auto"/>
              <w:bottom w:val="single" w:sz="2" w:space="0" w:color="auto"/>
              <w:right w:val="single" w:sz="2" w:space="0" w:color="auto"/>
            </w:tcBorders>
            <w:vAlign w:val="center"/>
          </w:tcPr>
          <w:p w14:paraId="640449F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13979AB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A1771F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同一控制下企业合并</w:t>
            </w:r>
          </w:p>
        </w:tc>
      </w:tr>
      <w:tr w:rsidR="006C011D" w:rsidRPr="005A284F" w14:paraId="622F2C20" w14:textId="77777777" w:rsidTr="00A27B2B">
        <w:trPr>
          <w:trHeight w:val="240"/>
          <w:jc w:val="center"/>
        </w:trPr>
        <w:tc>
          <w:tcPr>
            <w:tcW w:w="1083" w:type="dxa"/>
            <w:tcBorders>
              <w:top w:val="single" w:sz="2" w:space="0" w:color="auto"/>
              <w:left w:val="single" w:sz="2" w:space="0" w:color="auto"/>
              <w:bottom w:val="single" w:sz="2" w:space="0" w:color="auto"/>
              <w:right w:val="single" w:sz="2" w:space="0" w:color="auto"/>
            </w:tcBorders>
            <w:vAlign w:val="center"/>
          </w:tcPr>
          <w:p w14:paraId="7756652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蓬莱富龙肉食品有限公司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4874512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14,000,000.00</w:t>
            </w:r>
          </w:p>
        </w:tc>
        <w:tc>
          <w:tcPr>
            <w:tcW w:w="1205" w:type="dxa"/>
            <w:tcBorders>
              <w:top w:val="single" w:sz="2" w:space="0" w:color="auto"/>
              <w:left w:val="single" w:sz="2" w:space="0" w:color="auto"/>
              <w:bottom w:val="single" w:sz="2" w:space="0" w:color="auto"/>
              <w:right w:val="single" w:sz="2" w:space="0" w:color="auto"/>
            </w:tcBorders>
            <w:vAlign w:val="center"/>
          </w:tcPr>
          <w:p w14:paraId="31593A7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山东省蓬莱市</w:t>
            </w:r>
          </w:p>
        </w:tc>
        <w:tc>
          <w:tcPr>
            <w:tcW w:w="1205" w:type="dxa"/>
            <w:tcBorders>
              <w:top w:val="single" w:sz="2" w:space="0" w:color="auto"/>
              <w:left w:val="single" w:sz="2" w:space="0" w:color="auto"/>
              <w:bottom w:val="single" w:sz="2" w:space="0" w:color="auto"/>
              <w:right w:val="single" w:sz="2" w:space="0" w:color="auto"/>
            </w:tcBorders>
            <w:vAlign w:val="center"/>
          </w:tcPr>
          <w:p w14:paraId="47252BD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山东省蓬莱区小门家镇吕家洼村西</w:t>
            </w:r>
          </w:p>
        </w:tc>
        <w:tc>
          <w:tcPr>
            <w:tcW w:w="1205" w:type="dxa"/>
            <w:tcBorders>
              <w:top w:val="single" w:sz="2" w:space="0" w:color="auto"/>
              <w:left w:val="single" w:sz="2" w:space="0" w:color="auto"/>
              <w:bottom w:val="single" w:sz="2" w:space="0" w:color="auto"/>
              <w:right w:val="single" w:sz="2" w:space="0" w:color="auto"/>
            </w:tcBorders>
            <w:vAlign w:val="center"/>
          </w:tcPr>
          <w:p w14:paraId="780FC8E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生猪屠宰</w:t>
            </w:r>
          </w:p>
        </w:tc>
        <w:tc>
          <w:tcPr>
            <w:tcW w:w="1205" w:type="dxa"/>
            <w:tcBorders>
              <w:top w:val="single" w:sz="2" w:space="0" w:color="auto"/>
              <w:left w:val="single" w:sz="2" w:space="0" w:color="auto"/>
              <w:bottom w:val="single" w:sz="2" w:space="0" w:color="auto"/>
              <w:right w:val="single" w:sz="2" w:space="0" w:color="auto"/>
            </w:tcBorders>
            <w:vAlign w:val="center"/>
          </w:tcPr>
          <w:p w14:paraId="109BDC3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57.14%</w:t>
            </w:r>
          </w:p>
        </w:tc>
        <w:tc>
          <w:tcPr>
            <w:tcW w:w="1205" w:type="dxa"/>
            <w:tcBorders>
              <w:top w:val="single" w:sz="2" w:space="0" w:color="auto"/>
              <w:left w:val="single" w:sz="2" w:space="0" w:color="auto"/>
              <w:bottom w:val="single" w:sz="2" w:space="0" w:color="auto"/>
              <w:right w:val="single" w:sz="2" w:space="0" w:color="auto"/>
            </w:tcBorders>
            <w:vAlign w:val="center"/>
          </w:tcPr>
          <w:p w14:paraId="465B820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F98C0F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设立</w:t>
            </w:r>
          </w:p>
        </w:tc>
      </w:tr>
      <w:tr w:rsidR="006C011D" w:rsidRPr="005A284F" w14:paraId="47CBAD31" w14:textId="77777777" w:rsidTr="00A27B2B">
        <w:trPr>
          <w:trHeight w:val="240"/>
          <w:jc w:val="center"/>
        </w:trPr>
        <w:tc>
          <w:tcPr>
            <w:tcW w:w="1083" w:type="dxa"/>
            <w:tcBorders>
              <w:top w:val="single" w:sz="2" w:space="0" w:color="auto"/>
              <w:left w:val="single" w:sz="2" w:space="0" w:color="auto"/>
              <w:bottom w:val="single" w:sz="2" w:space="0" w:color="auto"/>
              <w:right w:val="single" w:sz="2" w:space="0" w:color="auto"/>
            </w:tcBorders>
            <w:vAlign w:val="center"/>
          </w:tcPr>
          <w:p w14:paraId="46BCBF8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北京快厨帮科技有限公司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520BD00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20,000,000.00</w:t>
            </w:r>
          </w:p>
        </w:tc>
        <w:tc>
          <w:tcPr>
            <w:tcW w:w="1205" w:type="dxa"/>
            <w:tcBorders>
              <w:top w:val="single" w:sz="2" w:space="0" w:color="auto"/>
              <w:left w:val="single" w:sz="2" w:space="0" w:color="auto"/>
              <w:bottom w:val="single" w:sz="2" w:space="0" w:color="auto"/>
              <w:right w:val="single" w:sz="2" w:space="0" w:color="auto"/>
            </w:tcBorders>
            <w:vAlign w:val="center"/>
          </w:tcPr>
          <w:p w14:paraId="2A390C7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北京市朝阳区</w:t>
            </w:r>
          </w:p>
        </w:tc>
        <w:tc>
          <w:tcPr>
            <w:tcW w:w="1205" w:type="dxa"/>
            <w:tcBorders>
              <w:top w:val="single" w:sz="2" w:space="0" w:color="auto"/>
              <w:left w:val="single" w:sz="2" w:space="0" w:color="auto"/>
              <w:bottom w:val="single" w:sz="2" w:space="0" w:color="auto"/>
              <w:right w:val="single" w:sz="2" w:space="0" w:color="auto"/>
            </w:tcBorders>
            <w:vAlign w:val="center"/>
          </w:tcPr>
          <w:p w14:paraId="699FFC3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北京市朝阳区八里庄北里</w:t>
            </w:r>
            <w:r w:rsidRPr="005A284F">
              <w:rPr>
                <w:rFonts w:ascii="Times New Roman" w:eastAsia="宋体" w:hAnsi="Times New Roman" w:cs="Times New Roman"/>
                <w:sz w:val="18"/>
                <w:szCs w:val="18"/>
              </w:rPr>
              <w:t>129</w:t>
            </w:r>
            <w:r w:rsidRPr="005A284F">
              <w:rPr>
                <w:rFonts w:ascii="Times New Roman" w:eastAsia="宋体" w:hAnsi="Times New Roman" w:cs="Times New Roman"/>
                <w:sz w:val="18"/>
                <w:szCs w:val="18"/>
              </w:rPr>
              <w:t>号院</w:t>
            </w:r>
            <w:r w:rsidRPr="005A284F">
              <w:rPr>
                <w:rFonts w:ascii="Times New Roman" w:eastAsia="宋体" w:hAnsi="Times New Roman" w:cs="Times New Roman"/>
                <w:sz w:val="18"/>
                <w:szCs w:val="18"/>
              </w:rPr>
              <w:t>9</w:t>
            </w:r>
            <w:r w:rsidRPr="005A284F">
              <w:rPr>
                <w:rFonts w:ascii="Times New Roman" w:eastAsia="宋体" w:hAnsi="Times New Roman" w:cs="Times New Roman"/>
                <w:sz w:val="18"/>
                <w:szCs w:val="18"/>
              </w:rPr>
              <w:t>号楼</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单元</w:t>
            </w:r>
            <w:r w:rsidRPr="005A284F">
              <w:rPr>
                <w:rFonts w:ascii="Times New Roman" w:eastAsia="宋体" w:hAnsi="Times New Roman" w:cs="Times New Roman"/>
                <w:sz w:val="18"/>
                <w:szCs w:val="18"/>
              </w:rPr>
              <w:t>1402</w:t>
            </w:r>
          </w:p>
        </w:tc>
        <w:tc>
          <w:tcPr>
            <w:tcW w:w="1205" w:type="dxa"/>
            <w:tcBorders>
              <w:top w:val="single" w:sz="2" w:space="0" w:color="auto"/>
              <w:left w:val="single" w:sz="2" w:space="0" w:color="auto"/>
              <w:bottom w:val="single" w:sz="2" w:space="0" w:color="auto"/>
              <w:right w:val="single" w:sz="2" w:space="0" w:color="auto"/>
            </w:tcBorders>
            <w:vAlign w:val="center"/>
          </w:tcPr>
          <w:p w14:paraId="399C5CD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销售食品</w:t>
            </w:r>
          </w:p>
        </w:tc>
        <w:tc>
          <w:tcPr>
            <w:tcW w:w="1205" w:type="dxa"/>
            <w:tcBorders>
              <w:top w:val="single" w:sz="2" w:space="0" w:color="auto"/>
              <w:left w:val="single" w:sz="2" w:space="0" w:color="auto"/>
              <w:bottom w:val="single" w:sz="2" w:space="0" w:color="auto"/>
              <w:right w:val="single" w:sz="2" w:space="0" w:color="auto"/>
            </w:tcBorders>
            <w:vAlign w:val="center"/>
          </w:tcPr>
          <w:p w14:paraId="3EA1A1A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65.00%</w:t>
            </w:r>
          </w:p>
        </w:tc>
        <w:tc>
          <w:tcPr>
            <w:tcW w:w="1205" w:type="dxa"/>
            <w:tcBorders>
              <w:top w:val="single" w:sz="2" w:space="0" w:color="auto"/>
              <w:left w:val="single" w:sz="2" w:space="0" w:color="auto"/>
              <w:bottom w:val="single" w:sz="2" w:space="0" w:color="auto"/>
              <w:right w:val="single" w:sz="2" w:space="0" w:color="auto"/>
            </w:tcBorders>
            <w:vAlign w:val="center"/>
          </w:tcPr>
          <w:p w14:paraId="59C37AC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B4B035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设立</w:t>
            </w:r>
          </w:p>
        </w:tc>
      </w:tr>
      <w:tr w:rsidR="006C011D" w:rsidRPr="005A284F" w14:paraId="5FC650A6" w14:textId="77777777" w:rsidTr="00A27B2B">
        <w:trPr>
          <w:trHeight w:val="240"/>
          <w:jc w:val="center"/>
        </w:trPr>
        <w:tc>
          <w:tcPr>
            <w:tcW w:w="1083" w:type="dxa"/>
            <w:tcBorders>
              <w:top w:val="single" w:sz="2" w:space="0" w:color="auto"/>
              <w:left w:val="single" w:sz="2" w:space="0" w:color="auto"/>
              <w:bottom w:val="single" w:sz="2" w:space="0" w:color="auto"/>
              <w:right w:val="single" w:sz="2" w:space="0" w:color="auto"/>
            </w:tcBorders>
            <w:vAlign w:val="center"/>
          </w:tcPr>
          <w:p w14:paraId="6BC01E6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山东龙大生猪产品工程技术研究有限公司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445BE51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15,000,000.00</w:t>
            </w:r>
          </w:p>
        </w:tc>
        <w:tc>
          <w:tcPr>
            <w:tcW w:w="1205" w:type="dxa"/>
            <w:tcBorders>
              <w:top w:val="single" w:sz="2" w:space="0" w:color="auto"/>
              <w:left w:val="single" w:sz="2" w:space="0" w:color="auto"/>
              <w:bottom w:val="single" w:sz="2" w:space="0" w:color="auto"/>
              <w:right w:val="single" w:sz="2" w:space="0" w:color="auto"/>
            </w:tcBorders>
            <w:vAlign w:val="center"/>
          </w:tcPr>
          <w:p w14:paraId="14712EE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山东省莱阳市</w:t>
            </w:r>
          </w:p>
        </w:tc>
        <w:tc>
          <w:tcPr>
            <w:tcW w:w="1205" w:type="dxa"/>
            <w:tcBorders>
              <w:top w:val="single" w:sz="2" w:space="0" w:color="auto"/>
              <w:left w:val="single" w:sz="2" w:space="0" w:color="auto"/>
              <w:bottom w:val="single" w:sz="2" w:space="0" w:color="auto"/>
              <w:right w:val="single" w:sz="2" w:space="0" w:color="auto"/>
            </w:tcBorders>
            <w:vAlign w:val="center"/>
          </w:tcPr>
          <w:p w14:paraId="5522061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山东省烟台市莱阳市食品工业园</w:t>
            </w:r>
          </w:p>
        </w:tc>
        <w:tc>
          <w:tcPr>
            <w:tcW w:w="1205" w:type="dxa"/>
            <w:tcBorders>
              <w:top w:val="single" w:sz="2" w:space="0" w:color="auto"/>
              <w:left w:val="single" w:sz="2" w:space="0" w:color="auto"/>
              <w:bottom w:val="single" w:sz="2" w:space="0" w:color="auto"/>
              <w:right w:val="single" w:sz="2" w:space="0" w:color="auto"/>
            </w:tcBorders>
            <w:vAlign w:val="center"/>
          </w:tcPr>
          <w:p w14:paraId="154FE7C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畜禽领域内的技术开发、技术转让、技术服务</w:t>
            </w:r>
          </w:p>
        </w:tc>
        <w:tc>
          <w:tcPr>
            <w:tcW w:w="1205" w:type="dxa"/>
            <w:tcBorders>
              <w:top w:val="single" w:sz="2" w:space="0" w:color="auto"/>
              <w:left w:val="single" w:sz="2" w:space="0" w:color="auto"/>
              <w:bottom w:val="single" w:sz="2" w:space="0" w:color="auto"/>
              <w:right w:val="single" w:sz="2" w:space="0" w:color="auto"/>
            </w:tcBorders>
            <w:vAlign w:val="center"/>
          </w:tcPr>
          <w:p w14:paraId="357BDE8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6C1529C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2F0826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设立</w:t>
            </w:r>
          </w:p>
        </w:tc>
      </w:tr>
      <w:tr w:rsidR="006C011D" w:rsidRPr="005A284F" w14:paraId="064571DD" w14:textId="77777777" w:rsidTr="00A27B2B">
        <w:trPr>
          <w:trHeight w:val="240"/>
          <w:jc w:val="center"/>
        </w:trPr>
        <w:tc>
          <w:tcPr>
            <w:tcW w:w="1083" w:type="dxa"/>
            <w:tcBorders>
              <w:top w:val="single" w:sz="2" w:space="0" w:color="auto"/>
              <w:left w:val="single" w:sz="2" w:space="0" w:color="auto"/>
              <w:bottom w:val="single" w:sz="2" w:space="0" w:color="auto"/>
              <w:right w:val="single" w:sz="2" w:space="0" w:color="auto"/>
            </w:tcBorders>
            <w:vAlign w:val="center"/>
          </w:tcPr>
          <w:p w14:paraId="5610DDD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莱阳龙瑞食品有限公司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601BD41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20,000,000.00</w:t>
            </w:r>
          </w:p>
        </w:tc>
        <w:tc>
          <w:tcPr>
            <w:tcW w:w="1205" w:type="dxa"/>
            <w:tcBorders>
              <w:top w:val="single" w:sz="2" w:space="0" w:color="auto"/>
              <w:left w:val="single" w:sz="2" w:space="0" w:color="auto"/>
              <w:bottom w:val="single" w:sz="2" w:space="0" w:color="auto"/>
              <w:right w:val="single" w:sz="2" w:space="0" w:color="auto"/>
            </w:tcBorders>
            <w:vAlign w:val="center"/>
          </w:tcPr>
          <w:p w14:paraId="26A4D67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山东省莱阳市</w:t>
            </w:r>
          </w:p>
        </w:tc>
        <w:tc>
          <w:tcPr>
            <w:tcW w:w="1205" w:type="dxa"/>
            <w:tcBorders>
              <w:top w:val="single" w:sz="2" w:space="0" w:color="auto"/>
              <w:left w:val="single" w:sz="2" w:space="0" w:color="auto"/>
              <w:bottom w:val="single" w:sz="2" w:space="0" w:color="auto"/>
              <w:right w:val="single" w:sz="2" w:space="0" w:color="auto"/>
            </w:tcBorders>
            <w:vAlign w:val="center"/>
          </w:tcPr>
          <w:p w14:paraId="1CC4781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山东省烟台市莱阳市龙门东路</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号</w:t>
            </w:r>
            <w:r w:rsidRPr="005A284F">
              <w:rPr>
                <w:rFonts w:ascii="Times New Roman" w:eastAsia="宋体" w:hAnsi="Times New Roman" w:cs="Times New Roman"/>
                <w:sz w:val="18"/>
                <w:szCs w:val="18"/>
              </w:rPr>
              <w:t>0027</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0028</w:t>
            </w:r>
          </w:p>
        </w:tc>
        <w:tc>
          <w:tcPr>
            <w:tcW w:w="1205" w:type="dxa"/>
            <w:tcBorders>
              <w:top w:val="single" w:sz="2" w:space="0" w:color="auto"/>
              <w:left w:val="single" w:sz="2" w:space="0" w:color="auto"/>
              <w:bottom w:val="single" w:sz="2" w:space="0" w:color="auto"/>
              <w:right w:val="single" w:sz="2" w:space="0" w:color="auto"/>
            </w:tcBorders>
            <w:vAlign w:val="center"/>
          </w:tcPr>
          <w:p w14:paraId="383FAA3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生产、加工各种肉制品、速冻食品</w:t>
            </w:r>
          </w:p>
        </w:tc>
        <w:tc>
          <w:tcPr>
            <w:tcW w:w="1205" w:type="dxa"/>
            <w:tcBorders>
              <w:top w:val="single" w:sz="2" w:space="0" w:color="auto"/>
              <w:left w:val="single" w:sz="2" w:space="0" w:color="auto"/>
              <w:bottom w:val="single" w:sz="2" w:space="0" w:color="auto"/>
              <w:right w:val="single" w:sz="2" w:space="0" w:color="auto"/>
            </w:tcBorders>
            <w:vAlign w:val="center"/>
          </w:tcPr>
          <w:p w14:paraId="7D7147E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7DE17AC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E2F43B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设立</w:t>
            </w:r>
          </w:p>
        </w:tc>
      </w:tr>
      <w:tr w:rsidR="006C011D" w:rsidRPr="005A284F" w14:paraId="578F91FA" w14:textId="77777777" w:rsidTr="00A27B2B">
        <w:trPr>
          <w:trHeight w:val="240"/>
          <w:jc w:val="center"/>
        </w:trPr>
        <w:tc>
          <w:tcPr>
            <w:tcW w:w="1083" w:type="dxa"/>
            <w:tcBorders>
              <w:top w:val="single" w:sz="2" w:space="0" w:color="auto"/>
              <w:left w:val="single" w:sz="2" w:space="0" w:color="auto"/>
              <w:bottom w:val="single" w:sz="2" w:space="0" w:color="auto"/>
              <w:right w:val="single" w:sz="2" w:space="0" w:color="auto"/>
            </w:tcBorders>
            <w:vAlign w:val="center"/>
          </w:tcPr>
          <w:p w14:paraId="312DEF7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泰麟食品（烟台）有限责任公司</w:t>
            </w:r>
          </w:p>
        </w:tc>
        <w:tc>
          <w:tcPr>
            <w:tcW w:w="1326" w:type="dxa"/>
            <w:tcBorders>
              <w:top w:val="single" w:sz="2" w:space="0" w:color="auto"/>
              <w:left w:val="single" w:sz="2" w:space="0" w:color="auto"/>
              <w:bottom w:val="single" w:sz="2" w:space="0" w:color="auto"/>
              <w:right w:val="single" w:sz="2" w:space="0" w:color="auto"/>
            </w:tcBorders>
            <w:vAlign w:val="center"/>
          </w:tcPr>
          <w:p w14:paraId="4A48B3A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6,000,000.00</w:t>
            </w:r>
          </w:p>
        </w:tc>
        <w:tc>
          <w:tcPr>
            <w:tcW w:w="1205" w:type="dxa"/>
            <w:tcBorders>
              <w:top w:val="single" w:sz="2" w:space="0" w:color="auto"/>
              <w:left w:val="single" w:sz="2" w:space="0" w:color="auto"/>
              <w:bottom w:val="single" w:sz="2" w:space="0" w:color="auto"/>
              <w:right w:val="single" w:sz="2" w:space="0" w:color="auto"/>
            </w:tcBorders>
            <w:vAlign w:val="center"/>
          </w:tcPr>
          <w:p w14:paraId="6221A89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山东省莱阳市</w:t>
            </w:r>
          </w:p>
        </w:tc>
        <w:tc>
          <w:tcPr>
            <w:tcW w:w="1205" w:type="dxa"/>
            <w:tcBorders>
              <w:top w:val="single" w:sz="2" w:space="0" w:color="auto"/>
              <w:left w:val="single" w:sz="2" w:space="0" w:color="auto"/>
              <w:bottom w:val="single" w:sz="2" w:space="0" w:color="auto"/>
              <w:right w:val="single" w:sz="2" w:space="0" w:color="auto"/>
            </w:tcBorders>
            <w:vAlign w:val="center"/>
          </w:tcPr>
          <w:p w14:paraId="404DCAA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山东省烟台市莱阳市龙门东路</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号</w:t>
            </w:r>
            <w:r w:rsidRPr="005A284F">
              <w:rPr>
                <w:rFonts w:ascii="Times New Roman" w:eastAsia="宋体" w:hAnsi="Times New Roman" w:cs="Times New Roman"/>
                <w:sz w:val="18"/>
                <w:szCs w:val="18"/>
              </w:rPr>
              <w:t>0027</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0028</w:t>
            </w:r>
          </w:p>
        </w:tc>
        <w:tc>
          <w:tcPr>
            <w:tcW w:w="1205" w:type="dxa"/>
            <w:tcBorders>
              <w:top w:val="single" w:sz="2" w:space="0" w:color="auto"/>
              <w:left w:val="single" w:sz="2" w:space="0" w:color="auto"/>
              <w:bottom w:val="single" w:sz="2" w:space="0" w:color="auto"/>
              <w:right w:val="single" w:sz="2" w:space="0" w:color="auto"/>
            </w:tcBorders>
            <w:vAlign w:val="center"/>
          </w:tcPr>
          <w:p w14:paraId="03633C3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食品生产销售</w:t>
            </w:r>
          </w:p>
        </w:tc>
        <w:tc>
          <w:tcPr>
            <w:tcW w:w="1205" w:type="dxa"/>
            <w:tcBorders>
              <w:top w:val="single" w:sz="2" w:space="0" w:color="auto"/>
              <w:left w:val="single" w:sz="2" w:space="0" w:color="auto"/>
              <w:bottom w:val="single" w:sz="2" w:space="0" w:color="auto"/>
              <w:right w:val="single" w:sz="2" w:space="0" w:color="auto"/>
            </w:tcBorders>
            <w:vAlign w:val="center"/>
          </w:tcPr>
          <w:p w14:paraId="1108ABA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4AE9BB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0999424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设立</w:t>
            </w:r>
          </w:p>
        </w:tc>
      </w:tr>
      <w:tr w:rsidR="006C011D" w:rsidRPr="005A284F" w14:paraId="5393D1A5" w14:textId="77777777" w:rsidTr="00A27B2B">
        <w:trPr>
          <w:trHeight w:val="240"/>
          <w:jc w:val="center"/>
        </w:trPr>
        <w:tc>
          <w:tcPr>
            <w:tcW w:w="1083" w:type="dxa"/>
            <w:tcBorders>
              <w:top w:val="single" w:sz="2" w:space="0" w:color="auto"/>
              <w:left w:val="single" w:sz="2" w:space="0" w:color="auto"/>
              <w:bottom w:val="single" w:sz="2" w:space="0" w:color="auto"/>
              <w:right w:val="single" w:sz="2" w:space="0" w:color="auto"/>
            </w:tcBorders>
            <w:vAlign w:val="center"/>
          </w:tcPr>
          <w:p w14:paraId="39DFFFE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青岛中和盛杰食品有限公司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61694A2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20,000,000.00</w:t>
            </w:r>
          </w:p>
        </w:tc>
        <w:tc>
          <w:tcPr>
            <w:tcW w:w="1205" w:type="dxa"/>
            <w:tcBorders>
              <w:top w:val="single" w:sz="2" w:space="0" w:color="auto"/>
              <w:left w:val="single" w:sz="2" w:space="0" w:color="auto"/>
              <w:bottom w:val="single" w:sz="2" w:space="0" w:color="auto"/>
              <w:right w:val="single" w:sz="2" w:space="0" w:color="auto"/>
            </w:tcBorders>
            <w:vAlign w:val="center"/>
          </w:tcPr>
          <w:p w14:paraId="1F4FE44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山东省青岛市</w:t>
            </w:r>
          </w:p>
        </w:tc>
        <w:tc>
          <w:tcPr>
            <w:tcW w:w="1205" w:type="dxa"/>
            <w:tcBorders>
              <w:top w:val="single" w:sz="2" w:space="0" w:color="auto"/>
              <w:left w:val="single" w:sz="2" w:space="0" w:color="auto"/>
              <w:bottom w:val="single" w:sz="2" w:space="0" w:color="auto"/>
              <w:right w:val="single" w:sz="2" w:space="0" w:color="auto"/>
            </w:tcBorders>
            <w:vAlign w:val="center"/>
          </w:tcPr>
          <w:p w14:paraId="56F59DF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山东省青岛市崂山区科苑纬一路</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号</w:t>
            </w:r>
            <w:r w:rsidRPr="005A284F">
              <w:rPr>
                <w:rFonts w:ascii="Times New Roman" w:eastAsia="宋体" w:hAnsi="Times New Roman" w:cs="Times New Roman"/>
                <w:sz w:val="18"/>
                <w:szCs w:val="18"/>
              </w:rPr>
              <w:t>B</w:t>
            </w:r>
            <w:r w:rsidRPr="005A284F">
              <w:rPr>
                <w:rFonts w:ascii="Times New Roman" w:eastAsia="宋体" w:hAnsi="Times New Roman" w:cs="Times New Roman"/>
                <w:sz w:val="18"/>
                <w:szCs w:val="18"/>
              </w:rPr>
              <w:t>座</w:t>
            </w:r>
            <w:r w:rsidRPr="005A284F">
              <w:rPr>
                <w:rFonts w:ascii="Times New Roman" w:eastAsia="宋体" w:hAnsi="Times New Roman" w:cs="Times New Roman"/>
                <w:sz w:val="18"/>
                <w:szCs w:val="18"/>
              </w:rPr>
              <w:t>21</w:t>
            </w:r>
            <w:r w:rsidRPr="005A284F">
              <w:rPr>
                <w:rFonts w:ascii="Times New Roman" w:eastAsia="宋体" w:hAnsi="Times New Roman" w:cs="Times New Roman"/>
                <w:sz w:val="18"/>
                <w:szCs w:val="18"/>
              </w:rPr>
              <w:t>层</w:t>
            </w:r>
            <w:r w:rsidRPr="005A284F">
              <w:rPr>
                <w:rFonts w:ascii="Times New Roman" w:eastAsia="宋体" w:hAnsi="Times New Roman" w:cs="Times New Roman"/>
                <w:sz w:val="18"/>
                <w:szCs w:val="18"/>
              </w:rPr>
              <w:t>2103</w:t>
            </w:r>
            <w:r w:rsidRPr="005A284F">
              <w:rPr>
                <w:rFonts w:ascii="Times New Roman" w:eastAsia="宋体" w:hAnsi="Times New Roman" w:cs="Times New Roman"/>
                <w:sz w:val="18"/>
                <w:szCs w:val="18"/>
              </w:rPr>
              <w:t>房间</w:t>
            </w:r>
          </w:p>
        </w:tc>
        <w:tc>
          <w:tcPr>
            <w:tcW w:w="1205" w:type="dxa"/>
            <w:tcBorders>
              <w:top w:val="single" w:sz="2" w:space="0" w:color="auto"/>
              <w:left w:val="single" w:sz="2" w:space="0" w:color="auto"/>
              <w:bottom w:val="single" w:sz="2" w:space="0" w:color="auto"/>
              <w:right w:val="single" w:sz="2" w:space="0" w:color="auto"/>
            </w:tcBorders>
            <w:vAlign w:val="center"/>
          </w:tcPr>
          <w:p w14:paraId="27BAA1B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销售食品</w:t>
            </w:r>
          </w:p>
        </w:tc>
        <w:tc>
          <w:tcPr>
            <w:tcW w:w="1205" w:type="dxa"/>
            <w:tcBorders>
              <w:top w:val="single" w:sz="2" w:space="0" w:color="auto"/>
              <w:left w:val="single" w:sz="2" w:space="0" w:color="auto"/>
              <w:bottom w:val="single" w:sz="2" w:space="0" w:color="auto"/>
              <w:right w:val="single" w:sz="2" w:space="0" w:color="auto"/>
            </w:tcBorders>
            <w:vAlign w:val="center"/>
          </w:tcPr>
          <w:p w14:paraId="3DDBBDA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51.00%</w:t>
            </w:r>
          </w:p>
        </w:tc>
        <w:tc>
          <w:tcPr>
            <w:tcW w:w="1205" w:type="dxa"/>
            <w:tcBorders>
              <w:top w:val="single" w:sz="2" w:space="0" w:color="auto"/>
              <w:left w:val="single" w:sz="2" w:space="0" w:color="auto"/>
              <w:bottom w:val="single" w:sz="2" w:space="0" w:color="auto"/>
              <w:right w:val="single" w:sz="2" w:space="0" w:color="auto"/>
            </w:tcBorders>
            <w:vAlign w:val="center"/>
          </w:tcPr>
          <w:p w14:paraId="3207A26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9ED66F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设立</w:t>
            </w:r>
          </w:p>
        </w:tc>
      </w:tr>
      <w:tr w:rsidR="006C011D" w:rsidRPr="005A284F" w14:paraId="28EAAE79" w14:textId="77777777" w:rsidTr="00A27B2B">
        <w:trPr>
          <w:trHeight w:val="240"/>
          <w:jc w:val="center"/>
        </w:trPr>
        <w:tc>
          <w:tcPr>
            <w:tcW w:w="1083" w:type="dxa"/>
            <w:tcBorders>
              <w:top w:val="single" w:sz="2" w:space="0" w:color="auto"/>
              <w:left w:val="single" w:sz="2" w:space="0" w:color="auto"/>
              <w:bottom w:val="single" w:sz="2" w:space="0" w:color="auto"/>
              <w:right w:val="single" w:sz="2" w:space="0" w:color="auto"/>
            </w:tcBorders>
            <w:vAlign w:val="center"/>
          </w:tcPr>
          <w:p w14:paraId="68DE7E7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青岛新胜锦食品商贸有限公司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3AA62E5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1,000,000.00</w:t>
            </w:r>
          </w:p>
        </w:tc>
        <w:tc>
          <w:tcPr>
            <w:tcW w:w="1205" w:type="dxa"/>
            <w:tcBorders>
              <w:top w:val="single" w:sz="2" w:space="0" w:color="auto"/>
              <w:left w:val="single" w:sz="2" w:space="0" w:color="auto"/>
              <w:bottom w:val="single" w:sz="2" w:space="0" w:color="auto"/>
              <w:right w:val="single" w:sz="2" w:space="0" w:color="auto"/>
            </w:tcBorders>
            <w:vAlign w:val="center"/>
          </w:tcPr>
          <w:p w14:paraId="144C7F4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山东省青岛市</w:t>
            </w:r>
          </w:p>
        </w:tc>
        <w:tc>
          <w:tcPr>
            <w:tcW w:w="1205" w:type="dxa"/>
            <w:tcBorders>
              <w:top w:val="single" w:sz="2" w:space="0" w:color="auto"/>
              <w:left w:val="single" w:sz="2" w:space="0" w:color="auto"/>
              <w:bottom w:val="single" w:sz="2" w:space="0" w:color="auto"/>
              <w:right w:val="single" w:sz="2" w:space="0" w:color="auto"/>
            </w:tcBorders>
            <w:vAlign w:val="center"/>
          </w:tcPr>
          <w:p w14:paraId="55BC493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山东省青岛市崂山区科苑纬一路</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号</w:t>
            </w:r>
            <w:r w:rsidRPr="005A284F">
              <w:rPr>
                <w:rFonts w:ascii="Times New Roman" w:eastAsia="宋体" w:hAnsi="Times New Roman" w:cs="Times New Roman"/>
                <w:sz w:val="18"/>
                <w:szCs w:val="18"/>
              </w:rPr>
              <w:t>B</w:t>
            </w:r>
            <w:r w:rsidRPr="005A284F">
              <w:rPr>
                <w:rFonts w:ascii="Times New Roman" w:eastAsia="宋体" w:hAnsi="Times New Roman" w:cs="Times New Roman"/>
                <w:sz w:val="18"/>
                <w:szCs w:val="18"/>
              </w:rPr>
              <w:t>座</w:t>
            </w:r>
            <w:r w:rsidRPr="005A284F">
              <w:rPr>
                <w:rFonts w:ascii="Times New Roman" w:eastAsia="宋体" w:hAnsi="Times New Roman" w:cs="Times New Roman"/>
                <w:sz w:val="18"/>
                <w:szCs w:val="18"/>
              </w:rPr>
              <w:t>21</w:t>
            </w:r>
            <w:r w:rsidRPr="005A284F">
              <w:rPr>
                <w:rFonts w:ascii="Times New Roman" w:eastAsia="宋体" w:hAnsi="Times New Roman" w:cs="Times New Roman"/>
                <w:sz w:val="18"/>
                <w:szCs w:val="18"/>
              </w:rPr>
              <w:t>层</w:t>
            </w:r>
            <w:r w:rsidRPr="005A284F">
              <w:rPr>
                <w:rFonts w:ascii="Times New Roman" w:eastAsia="宋体" w:hAnsi="Times New Roman" w:cs="Times New Roman"/>
                <w:sz w:val="18"/>
                <w:szCs w:val="18"/>
              </w:rPr>
              <w:t>2103</w:t>
            </w:r>
            <w:r w:rsidRPr="005A284F">
              <w:rPr>
                <w:rFonts w:ascii="Times New Roman" w:eastAsia="宋体" w:hAnsi="Times New Roman" w:cs="Times New Roman"/>
                <w:sz w:val="18"/>
                <w:szCs w:val="18"/>
              </w:rPr>
              <w:t>房间</w:t>
            </w:r>
            <w:r w:rsidRPr="005A284F">
              <w:rPr>
                <w:rFonts w:ascii="Times New Roman" w:eastAsia="宋体" w:hAnsi="Times New Roman" w:cs="Times New Roman"/>
                <w:sz w:val="18"/>
                <w:szCs w:val="18"/>
              </w:rPr>
              <w:t>-E</w:t>
            </w:r>
          </w:p>
        </w:tc>
        <w:tc>
          <w:tcPr>
            <w:tcW w:w="1205" w:type="dxa"/>
            <w:tcBorders>
              <w:top w:val="single" w:sz="2" w:space="0" w:color="auto"/>
              <w:left w:val="single" w:sz="2" w:space="0" w:color="auto"/>
              <w:bottom w:val="single" w:sz="2" w:space="0" w:color="auto"/>
              <w:right w:val="single" w:sz="2" w:space="0" w:color="auto"/>
            </w:tcBorders>
            <w:vAlign w:val="center"/>
          </w:tcPr>
          <w:p w14:paraId="3351D58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销售食品</w:t>
            </w:r>
          </w:p>
        </w:tc>
        <w:tc>
          <w:tcPr>
            <w:tcW w:w="1205" w:type="dxa"/>
            <w:tcBorders>
              <w:top w:val="single" w:sz="2" w:space="0" w:color="auto"/>
              <w:left w:val="single" w:sz="2" w:space="0" w:color="auto"/>
              <w:bottom w:val="single" w:sz="2" w:space="0" w:color="auto"/>
              <w:right w:val="single" w:sz="2" w:space="0" w:color="auto"/>
            </w:tcBorders>
            <w:vAlign w:val="center"/>
          </w:tcPr>
          <w:p w14:paraId="6579F40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294D6F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51.00%</w:t>
            </w:r>
          </w:p>
        </w:tc>
        <w:tc>
          <w:tcPr>
            <w:tcW w:w="1205" w:type="dxa"/>
            <w:tcBorders>
              <w:top w:val="single" w:sz="2" w:space="0" w:color="auto"/>
              <w:left w:val="single" w:sz="2" w:space="0" w:color="auto"/>
              <w:bottom w:val="single" w:sz="2" w:space="0" w:color="auto"/>
              <w:right w:val="single" w:sz="2" w:space="0" w:color="auto"/>
            </w:tcBorders>
            <w:vAlign w:val="center"/>
          </w:tcPr>
          <w:p w14:paraId="7308853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设立</w:t>
            </w:r>
          </w:p>
        </w:tc>
      </w:tr>
      <w:tr w:rsidR="006C011D" w:rsidRPr="005A284F" w14:paraId="7383C0DE" w14:textId="77777777" w:rsidTr="00A27B2B">
        <w:trPr>
          <w:trHeight w:val="240"/>
          <w:jc w:val="center"/>
        </w:trPr>
        <w:tc>
          <w:tcPr>
            <w:tcW w:w="1083" w:type="dxa"/>
            <w:tcBorders>
              <w:top w:val="single" w:sz="2" w:space="0" w:color="auto"/>
              <w:left w:val="single" w:sz="2" w:space="0" w:color="auto"/>
              <w:bottom w:val="single" w:sz="2" w:space="0" w:color="auto"/>
              <w:right w:val="single" w:sz="2" w:space="0" w:color="auto"/>
            </w:tcBorders>
            <w:vAlign w:val="center"/>
          </w:tcPr>
          <w:p w14:paraId="4E34339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乳山中和盛杰食品有限公司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43AC2DA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14:paraId="3F612F6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山东省乳山市</w:t>
            </w:r>
          </w:p>
        </w:tc>
        <w:tc>
          <w:tcPr>
            <w:tcW w:w="1205" w:type="dxa"/>
            <w:tcBorders>
              <w:top w:val="single" w:sz="2" w:space="0" w:color="auto"/>
              <w:left w:val="single" w:sz="2" w:space="0" w:color="auto"/>
              <w:bottom w:val="single" w:sz="2" w:space="0" w:color="auto"/>
              <w:right w:val="single" w:sz="2" w:space="0" w:color="auto"/>
            </w:tcBorders>
            <w:vAlign w:val="center"/>
          </w:tcPr>
          <w:p w14:paraId="0E65197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山东省威海市乳山经济开发区科技创业中心</w:t>
            </w:r>
          </w:p>
        </w:tc>
        <w:tc>
          <w:tcPr>
            <w:tcW w:w="1205" w:type="dxa"/>
            <w:tcBorders>
              <w:top w:val="single" w:sz="2" w:space="0" w:color="auto"/>
              <w:left w:val="single" w:sz="2" w:space="0" w:color="auto"/>
              <w:bottom w:val="single" w:sz="2" w:space="0" w:color="auto"/>
              <w:right w:val="single" w:sz="2" w:space="0" w:color="auto"/>
            </w:tcBorders>
            <w:vAlign w:val="center"/>
          </w:tcPr>
          <w:p w14:paraId="578E3B1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销售食品</w:t>
            </w:r>
          </w:p>
        </w:tc>
        <w:tc>
          <w:tcPr>
            <w:tcW w:w="1205" w:type="dxa"/>
            <w:tcBorders>
              <w:top w:val="single" w:sz="2" w:space="0" w:color="auto"/>
              <w:left w:val="single" w:sz="2" w:space="0" w:color="auto"/>
              <w:bottom w:val="single" w:sz="2" w:space="0" w:color="auto"/>
              <w:right w:val="single" w:sz="2" w:space="0" w:color="auto"/>
            </w:tcBorders>
            <w:vAlign w:val="center"/>
          </w:tcPr>
          <w:p w14:paraId="067E249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04FA8E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51.00%</w:t>
            </w:r>
          </w:p>
        </w:tc>
        <w:tc>
          <w:tcPr>
            <w:tcW w:w="1205" w:type="dxa"/>
            <w:tcBorders>
              <w:top w:val="single" w:sz="2" w:space="0" w:color="auto"/>
              <w:left w:val="single" w:sz="2" w:space="0" w:color="auto"/>
              <w:bottom w:val="single" w:sz="2" w:space="0" w:color="auto"/>
              <w:right w:val="single" w:sz="2" w:space="0" w:color="auto"/>
            </w:tcBorders>
            <w:vAlign w:val="center"/>
          </w:tcPr>
          <w:p w14:paraId="7B0E6D4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设立</w:t>
            </w:r>
          </w:p>
        </w:tc>
      </w:tr>
      <w:tr w:rsidR="006C011D" w:rsidRPr="005A284F" w14:paraId="17CD93E0" w14:textId="77777777" w:rsidTr="00A27B2B">
        <w:trPr>
          <w:trHeight w:val="240"/>
          <w:jc w:val="center"/>
        </w:trPr>
        <w:tc>
          <w:tcPr>
            <w:tcW w:w="1083" w:type="dxa"/>
            <w:tcBorders>
              <w:top w:val="single" w:sz="2" w:space="0" w:color="auto"/>
              <w:left w:val="single" w:sz="2" w:space="0" w:color="auto"/>
              <w:bottom w:val="single" w:sz="2" w:space="0" w:color="auto"/>
              <w:right w:val="single" w:sz="2" w:space="0" w:color="auto"/>
            </w:tcBorders>
            <w:vAlign w:val="center"/>
          </w:tcPr>
          <w:p w14:paraId="208AF0C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潍坊振祥食品有限公司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0D43939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70,000,000.00</w:t>
            </w:r>
          </w:p>
        </w:tc>
        <w:tc>
          <w:tcPr>
            <w:tcW w:w="1205" w:type="dxa"/>
            <w:tcBorders>
              <w:top w:val="single" w:sz="2" w:space="0" w:color="auto"/>
              <w:left w:val="single" w:sz="2" w:space="0" w:color="auto"/>
              <w:bottom w:val="single" w:sz="2" w:space="0" w:color="auto"/>
              <w:right w:val="single" w:sz="2" w:space="0" w:color="auto"/>
            </w:tcBorders>
            <w:vAlign w:val="center"/>
          </w:tcPr>
          <w:p w14:paraId="7482533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山东省潍坊市</w:t>
            </w:r>
          </w:p>
        </w:tc>
        <w:tc>
          <w:tcPr>
            <w:tcW w:w="1205" w:type="dxa"/>
            <w:tcBorders>
              <w:top w:val="single" w:sz="2" w:space="0" w:color="auto"/>
              <w:left w:val="single" w:sz="2" w:space="0" w:color="auto"/>
              <w:bottom w:val="single" w:sz="2" w:space="0" w:color="auto"/>
              <w:right w:val="single" w:sz="2" w:space="0" w:color="auto"/>
            </w:tcBorders>
            <w:vAlign w:val="center"/>
          </w:tcPr>
          <w:p w14:paraId="46BF176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山东省潍坊市安丘市景芝镇驻地</w:t>
            </w:r>
          </w:p>
        </w:tc>
        <w:tc>
          <w:tcPr>
            <w:tcW w:w="1205" w:type="dxa"/>
            <w:tcBorders>
              <w:top w:val="single" w:sz="2" w:space="0" w:color="auto"/>
              <w:left w:val="single" w:sz="2" w:space="0" w:color="auto"/>
              <w:bottom w:val="single" w:sz="2" w:space="0" w:color="auto"/>
              <w:right w:val="single" w:sz="2" w:space="0" w:color="auto"/>
            </w:tcBorders>
            <w:vAlign w:val="center"/>
          </w:tcPr>
          <w:p w14:paraId="2BF1D41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生猪屠宰</w:t>
            </w:r>
          </w:p>
        </w:tc>
        <w:tc>
          <w:tcPr>
            <w:tcW w:w="1205" w:type="dxa"/>
            <w:tcBorders>
              <w:top w:val="single" w:sz="2" w:space="0" w:color="auto"/>
              <w:left w:val="single" w:sz="2" w:space="0" w:color="auto"/>
              <w:bottom w:val="single" w:sz="2" w:space="0" w:color="auto"/>
              <w:right w:val="single" w:sz="2" w:space="0" w:color="auto"/>
            </w:tcBorders>
            <w:vAlign w:val="center"/>
          </w:tcPr>
          <w:p w14:paraId="7761372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70.00%</w:t>
            </w:r>
          </w:p>
        </w:tc>
        <w:tc>
          <w:tcPr>
            <w:tcW w:w="1205" w:type="dxa"/>
            <w:tcBorders>
              <w:top w:val="single" w:sz="2" w:space="0" w:color="auto"/>
              <w:left w:val="single" w:sz="2" w:space="0" w:color="auto"/>
              <w:bottom w:val="single" w:sz="2" w:space="0" w:color="auto"/>
              <w:right w:val="single" w:sz="2" w:space="0" w:color="auto"/>
            </w:tcBorders>
            <w:vAlign w:val="center"/>
          </w:tcPr>
          <w:p w14:paraId="678D24E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CCEE25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非同一控制下企业合并</w:t>
            </w:r>
          </w:p>
        </w:tc>
      </w:tr>
      <w:tr w:rsidR="006C011D" w:rsidRPr="005A284F" w14:paraId="633A9E64" w14:textId="77777777" w:rsidTr="00A27B2B">
        <w:trPr>
          <w:trHeight w:val="240"/>
          <w:jc w:val="center"/>
        </w:trPr>
        <w:tc>
          <w:tcPr>
            <w:tcW w:w="1083" w:type="dxa"/>
            <w:tcBorders>
              <w:top w:val="single" w:sz="2" w:space="0" w:color="auto"/>
              <w:left w:val="single" w:sz="2" w:space="0" w:color="auto"/>
              <w:bottom w:val="single" w:sz="2" w:space="0" w:color="auto"/>
              <w:right w:val="single" w:sz="2" w:space="0" w:color="auto"/>
            </w:tcBorders>
            <w:vAlign w:val="center"/>
          </w:tcPr>
          <w:p w14:paraId="44AEA64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云南福照食品有限公司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7B2EE56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46,530,612.00</w:t>
            </w:r>
          </w:p>
        </w:tc>
        <w:tc>
          <w:tcPr>
            <w:tcW w:w="1205" w:type="dxa"/>
            <w:tcBorders>
              <w:top w:val="single" w:sz="2" w:space="0" w:color="auto"/>
              <w:left w:val="single" w:sz="2" w:space="0" w:color="auto"/>
              <w:bottom w:val="single" w:sz="2" w:space="0" w:color="auto"/>
              <w:right w:val="single" w:sz="2" w:space="0" w:color="auto"/>
            </w:tcBorders>
            <w:vAlign w:val="center"/>
          </w:tcPr>
          <w:p w14:paraId="5124D12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云南省曲靖市</w:t>
            </w:r>
          </w:p>
        </w:tc>
        <w:tc>
          <w:tcPr>
            <w:tcW w:w="1205" w:type="dxa"/>
            <w:tcBorders>
              <w:top w:val="single" w:sz="2" w:space="0" w:color="auto"/>
              <w:left w:val="single" w:sz="2" w:space="0" w:color="auto"/>
              <w:bottom w:val="single" w:sz="2" w:space="0" w:color="auto"/>
              <w:right w:val="single" w:sz="2" w:space="0" w:color="auto"/>
            </w:tcBorders>
            <w:vAlign w:val="center"/>
          </w:tcPr>
          <w:p w14:paraId="0C77B7E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云南省曲靖市宣威市西宁街道花椒水库东侧</w:t>
            </w:r>
          </w:p>
        </w:tc>
        <w:tc>
          <w:tcPr>
            <w:tcW w:w="1205" w:type="dxa"/>
            <w:tcBorders>
              <w:top w:val="single" w:sz="2" w:space="0" w:color="auto"/>
              <w:left w:val="single" w:sz="2" w:space="0" w:color="auto"/>
              <w:bottom w:val="single" w:sz="2" w:space="0" w:color="auto"/>
              <w:right w:val="single" w:sz="2" w:space="0" w:color="auto"/>
            </w:tcBorders>
            <w:vAlign w:val="center"/>
          </w:tcPr>
          <w:p w14:paraId="67D7F03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火腿加工</w:t>
            </w:r>
          </w:p>
        </w:tc>
        <w:tc>
          <w:tcPr>
            <w:tcW w:w="1205" w:type="dxa"/>
            <w:tcBorders>
              <w:top w:val="single" w:sz="2" w:space="0" w:color="auto"/>
              <w:left w:val="single" w:sz="2" w:space="0" w:color="auto"/>
              <w:bottom w:val="single" w:sz="2" w:space="0" w:color="auto"/>
              <w:right w:val="single" w:sz="2" w:space="0" w:color="auto"/>
            </w:tcBorders>
            <w:vAlign w:val="center"/>
          </w:tcPr>
          <w:p w14:paraId="622838A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51.00%</w:t>
            </w:r>
          </w:p>
        </w:tc>
        <w:tc>
          <w:tcPr>
            <w:tcW w:w="1205" w:type="dxa"/>
            <w:tcBorders>
              <w:top w:val="single" w:sz="2" w:space="0" w:color="auto"/>
              <w:left w:val="single" w:sz="2" w:space="0" w:color="auto"/>
              <w:bottom w:val="single" w:sz="2" w:space="0" w:color="auto"/>
              <w:right w:val="single" w:sz="2" w:space="0" w:color="auto"/>
            </w:tcBorders>
            <w:vAlign w:val="center"/>
          </w:tcPr>
          <w:p w14:paraId="3C11B54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E65675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设立</w:t>
            </w:r>
          </w:p>
        </w:tc>
      </w:tr>
      <w:tr w:rsidR="006C011D" w:rsidRPr="005A284F" w14:paraId="4EF9E1CE" w14:textId="77777777" w:rsidTr="00A27B2B">
        <w:trPr>
          <w:trHeight w:val="240"/>
          <w:jc w:val="center"/>
        </w:trPr>
        <w:tc>
          <w:tcPr>
            <w:tcW w:w="1083" w:type="dxa"/>
            <w:tcBorders>
              <w:top w:val="single" w:sz="2" w:space="0" w:color="auto"/>
              <w:left w:val="single" w:sz="2" w:space="0" w:color="auto"/>
              <w:bottom w:val="single" w:sz="2" w:space="0" w:color="auto"/>
              <w:right w:val="single" w:sz="2" w:space="0" w:color="auto"/>
            </w:tcBorders>
            <w:vAlign w:val="center"/>
          </w:tcPr>
          <w:p w14:paraId="5ADB531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香港龙大发展有限公司（注册资本</w:t>
            </w:r>
            <w:r w:rsidRPr="005A284F">
              <w:rPr>
                <w:rFonts w:ascii="Times New Roman" w:eastAsia="宋体" w:hAnsi="Times New Roman" w:cs="Times New Roman"/>
                <w:sz w:val="18"/>
                <w:szCs w:val="18"/>
              </w:rPr>
              <w:t>200</w:t>
            </w:r>
            <w:r w:rsidRPr="005A284F">
              <w:rPr>
                <w:rFonts w:ascii="Times New Roman" w:eastAsia="宋体" w:hAnsi="Times New Roman" w:cs="Times New Roman"/>
                <w:sz w:val="18"/>
                <w:szCs w:val="18"/>
              </w:rPr>
              <w:t>万港币）</w:t>
            </w:r>
          </w:p>
        </w:tc>
        <w:tc>
          <w:tcPr>
            <w:tcW w:w="1326" w:type="dxa"/>
            <w:tcBorders>
              <w:top w:val="single" w:sz="2" w:space="0" w:color="auto"/>
              <w:left w:val="single" w:sz="2" w:space="0" w:color="auto"/>
              <w:bottom w:val="single" w:sz="2" w:space="0" w:color="auto"/>
              <w:right w:val="single" w:sz="2" w:space="0" w:color="auto"/>
            </w:tcBorders>
            <w:vAlign w:val="center"/>
          </w:tcPr>
          <w:p w14:paraId="2B0FA7B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205" w:type="dxa"/>
            <w:tcBorders>
              <w:top w:val="single" w:sz="2" w:space="0" w:color="auto"/>
              <w:left w:val="single" w:sz="2" w:space="0" w:color="auto"/>
              <w:bottom w:val="single" w:sz="2" w:space="0" w:color="auto"/>
              <w:right w:val="single" w:sz="2" w:space="0" w:color="auto"/>
            </w:tcBorders>
            <w:vAlign w:val="center"/>
          </w:tcPr>
          <w:p w14:paraId="12A21C2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香港</w:t>
            </w:r>
          </w:p>
        </w:tc>
        <w:tc>
          <w:tcPr>
            <w:tcW w:w="1205" w:type="dxa"/>
            <w:tcBorders>
              <w:top w:val="single" w:sz="2" w:space="0" w:color="auto"/>
              <w:left w:val="single" w:sz="2" w:space="0" w:color="auto"/>
              <w:bottom w:val="single" w:sz="2" w:space="0" w:color="auto"/>
              <w:right w:val="single" w:sz="2" w:space="0" w:color="auto"/>
            </w:tcBorders>
            <w:vAlign w:val="center"/>
          </w:tcPr>
          <w:p w14:paraId="701FDE7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RM4,16/FHOKINGCOMMCTR,2-16FAYUENST,MONGKOKKOWLOON,HONGKONG</w:t>
            </w:r>
          </w:p>
        </w:tc>
        <w:tc>
          <w:tcPr>
            <w:tcW w:w="1205" w:type="dxa"/>
            <w:tcBorders>
              <w:top w:val="single" w:sz="2" w:space="0" w:color="auto"/>
              <w:left w:val="single" w:sz="2" w:space="0" w:color="auto"/>
              <w:bottom w:val="single" w:sz="2" w:space="0" w:color="auto"/>
              <w:right w:val="single" w:sz="2" w:space="0" w:color="auto"/>
            </w:tcBorders>
            <w:vAlign w:val="center"/>
          </w:tcPr>
          <w:p w14:paraId="11A729B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国际贸易、咨询</w:t>
            </w:r>
          </w:p>
        </w:tc>
        <w:tc>
          <w:tcPr>
            <w:tcW w:w="1205" w:type="dxa"/>
            <w:tcBorders>
              <w:top w:val="single" w:sz="2" w:space="0" w:color="auto"/>
              <w:left w:val="single" w:sz="2" w:space="0" w:color="auto"/>
              <w:bottom w:val="single" w:sz="2" w:space="0" w:color="auto"/>
              <w:right w:val="single" w:sz="2" w:space="0" w:color="auto"/>
            </w:tcBorders>
            <w:vAlign w:val="center"/>
          </w:tcPr>
          <w:p w14:paraId="54F8364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5146679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5007E4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设立</w:t>
            </w:r>
          </w:p>
        </w:tc>
      </w:tr>
      <w:tr w:rsidR="006C011D" w:rsidRPr="005A284F" w14:paraId="422628A0" w14:textId="77777777" w:rsidTr="00A27B2B">
        <w:trPr>
          <w:trHeight w:val="240"/>
          <w:jc w:val="center"/>
        </w:trPr>
        <w:tc>
          <w:tcPr>
            <w:tcW w:w="1083" w:type="dxa"/>
            <w:tcBorders>
              <w:top w:val="single" w:sz="2" w:space="0" w:color="auto"/>
              <w:left w:val="single" w:sz="2" w:space="0" w:color="auto"/>
              <w:bottom w:val="single" w:sz="2" w:space="0" w:color="auto"/>
              <w:right w:val="single" w:sz="2" w:space="0" w:color="auto"/>
            </w:tcBorders>
            <w:vAlign w:val="center"/>
          </w:tcPr>
          <w:p w14:paraId="63587E8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山东龙大美食贸易有限公司（原烟台龙骧进出口有限公司）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54FA704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20,000,000.00</w:t>
            </w:r>
          </w:p>
        </w:tc>
        <w:tc>
          <w:tcPr>
            <w:tcW w:w="1205" w:type="dxa"/>
            <w:tcBorders>
              <w:top w:val="single" w:sz="2" w:space="0" w:color="auto"/>
              <w:left w:val="single" w:sz="2" w:space="0" w:color="auto"/>
              <w:bottom w:val="single" w:sz="2" w:space="0" w:color="auto"/>
              <w:right w:val="single" w:sz="2" w:space="0" w:color="auto"/>
            </w:tcBorders>
            <w:vAlign w:val="center"/>
          </w:tcPr>
          <w:p w14:paraId="26B179C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山东省莱阳市</w:t>
            </w:r>
          </w:p>
        </w:tc>
        <w:tc>
          <w:tcPr>
            <w:tcW w:w="1205" w:type="dxa"/>
            <w:tcBorders>
              <w:top w:val="single" w:sz="2" w:space="0" w:color="auto"/>
              <w:left w:val="single" w:sz="2" w:space="0" w:color="auto"/>
              <w:bottom w:val="single" w:sz="2" w:space="0" w:color="auto"/>
              <w:right w:val="single" w:sz="2" w:space="0" w:color="auto"/>
            </w:tcBorders>
            <w:vAlign w:val="center"/>
          </w:tcPr>
          <w:p w14:paraId="019AA7E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山东省烟台市莱阳市龙旺庄街道办事处龙门东路</w:t>
            </w:r>
            <w:r w:rsidRPr="005A284F">
              <w:rPr>
                <w:rFonts w:ascii="Times New Roman" w:eastAsia="宋体" w:hAnsi="Times New Roman" w:cs="Times New Roman"/>
                <w:sz w:val="18"/>
                <w:szCs w:val="18"/>
              </w:rPr>
              <w:t>99</w:t>
            </w:r>
            <w:r w:rsidRPr="005A284F">
              <w:rPr>
                <w:rFonts w:ascii="Times New Roman" w:eastAsia="宋体" w:hAnsi="Times New Roman" w:cs="Times New Roman"/>
                <w:sz w:val="18"/>
                <w:szCs w:val="18"/>
              </w:rPr>
              <w:t>号</w:t>
            </w:r>
          </w:p>
        </w:tc>
        <w:tc>
          <w:tcPr>
            <w:tcW w:w="1205" w:type="dxa"/>
            <w:tcBorders>
              <w:top w:val="single" w:sz="2" w:space="0" w:color="auto"/>
              <w:left w:val="single" w:sz="2" w:space="0" w:color="auto"/>
              <w:bottom w:val="single" w:sz="2" w:space="0" w:color="auto"/>
              <w:right w:val="single" w:sz="2" w:space="0" w:color="auto"/>
            </w:tcBorders>
            <w:vAlign w:val="center"/>
          </w:tcPr>
          <w:p w14:paraId="2528417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销售食品</w:t>
            </w:r>
          </w:p>
        </w:tc>
        <w:tc>
          <w:tcPr>
            <w:tcW w:w="1205" w:type="dxa"/>
            <w:tcBorders>
              <w:top w:val="single" w:sz="2" w:space="0" w:color="auto"/>
              <w:left w:val="single" w:sz="2" w:space="0" w:color="auto"/>
              <w:bottom w:val="single" w:sz="2" w:space="0" w:color="auto"/>
              <w:right w:val="single" w:sz="2" w:space="0" w:color="auto"/>
            </w:tcBorders>
            <w:vAlign w:val="center"/>
          </w:tcPr>
          <w:p w14:paraId="1464C92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7984B3D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72F528A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设立</w:t>
            </w:r>
          </w:p>
        </w:tc>
      </w:tr>
      <w:tr w:rsidR="006C011D" w:rsidRPr="005A284F" w14:paraId="3F5144C6" w14:textId="77777777" w:rsidTr="00A27B2B">
        <w:trPr>
          <w:trHeight w:val="240"/>
          <w:jc w:val="center"/>
        </w:trPr>
        <w:tc>
          <w:tcPr>
            <w:tcW w:w="1083" w:type="dxa"/>
            <w:tcBorders>
              <w:top w:val="single" w:sz="2" w:space="0" w:color="auto"/>
              <w:left w:val="single" w:sz="2" w:space="0" w:color="auto"/>
              <w:bottom w:val="single" w:sz="2" w:space="0" w:color="auto"/>
              <w:right w:val="single" w:sz="2" w:space="0" w:color="auto"/>
            </w:tcBorders>
            <w:vAlign w:val="center"/>
          </w:tcPr>
          <w:p w14:paraId="4CF1496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黑龙江龙大养殖有限公司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5F99047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150,000,000.00</w:t>
            </w:r>
          </w:p>
        </w:tc>
        <w:tc>
          <w:tcPr>
            <w:tcW w:w="1205" w:type="dxa"/>
            <w:tcBorders>
              <w:top w:val="single" w:sz="2" w:space="0" w:color="auto"/>
              <w:left w:val="single" w:sz="2" w:space="0" w:color="auto"/>
              <w:bottom w:val="single" w:sz="2" w:space="0" w:color="auto"/>
              <w:right w:val="single" w:sz="2" w:space="0" w:color="auto"/>
            </w:tcBorders>
            <w:vAlign w:val="center"/>
          </w:tcPr>
          <w:p w14:paraId="0C4D87E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黑龙江省绥化市</w:t>
            </w:r>
          </w:p>
        </w:tc>
        <w:tc>
          <w:tcPr>
            <w:tcW w:w="1205" w:type="dxa"/>
            <w:tcBorders>
              <w:top w:val="single" w:sz="2" w:space="0" w:color="auto"/>
              <w:left w:val="single" w:sz="2" w:space="0" w:color="auto"/>
              <w:bottom w:val="single" w:sz="2" w:space="0" w:color="auto"/>
              <w:right w:val="single" w:sz="2" w:space="0" w:color="auto"/>
            </w:tcBorders>
            <w:vAlign w:val="center"/>
          </w:tcPr>
          <w:p w14:paraId="15644D2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黑龙江省绥化市安达市朝阳街</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委</w:t>
            </w:r>
            <w:r w:rsidRPr="005A284F">
              <w:rPr>
                <w:rFonts w:ascii="Times New Roman" w:eastAsia="宋体" w:hAnsi="Times New Roman" w:cs="Times New Roman"/>
                <w:sz w:val="18"/>
                <w:szCs w:val="18"/>
              </w:rPr>
              <w:t>8-538</w:t>
            </w:r>
            <w:r w:rsidRPr="005A284F">
              <w:rPr>
                <w:rFonts w:ascii="Times New Roman" w:eastAsia="宋体" w:hAnsi="Times New Roman" w:cs="Times New Roman"/>
                <w:sz w:val="18"/>
                <w:szCs w:val="18"/>
              </w:rPr>
              <w:t>幢融府上城</w:t>
            </w:r>
            <w:r w:rsidRPr="005A284F">
              <w:rPr>
                <w:rFonts w:ascii="Times New Roman" w:eastAsia="宋体" w:hAnsi="Times New Roman" w:cs="Times New Roman"/>
                <w:sz w:val="18"/>
                <w:szCs w:val="18"/>
              </w:rPr>
              <w:t>13#2</w:t>
            </w:r>
            <w:r w:rsidRPr="005A284F">
              <w:rPr>
                <w:rFonts w:ascii="Times New Roman" w:eastAsia="宋体" w:hAnsi="Times New Roman" w:cs="Times New Roman"/>
                <w:sz w:val="18"/>
                <w:szCs w:val="18"/>
              </w:rPr>
              <w:t>号</w:t>
            </w:r>
          </w:p>
        </w:tc>
        <w:tc>
          <w:tcPr>
            <w:tcW w:w="1205" w:type="dxa"/>
            <w:tcBorders>
              <w:top w:val="single" w:sz="2" w:space="0" w:color="auto"/>
              <w:left w:val="single" w:sz="2" w:space="0" w:color="auto"/>
              <w:bottom w:val="single" w:sz="2" w:space="0" w:color="auto"/>
              <w:right w:val="single" w:sz="2" w:space="0" w:color="auto"/>
            </w:tcBorders>
            <w:vAlign w:val="center"/>
          </w:tcPr>
          <w:p w14:paraId="43F020D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畜禽</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养殖</w:t>
            </w:r>
          </w:p>
        </w:tc>
        <w:tc>
          <w:tcPr>
            <w:tcW w:w="1205" w:type="dxa"/>
            <w:tcBorders>
              <w:top w:val="single" w:sz="2" w:space="0" w:color="auto"/>
              <w:left w:val="single" w:sz="2" w:space="0" w:color="auto"/>
              <w:bottom w:val="single" w:sz="2" w:space="0" w:color="auto"/>
              <w:right w:val="single" w:sz="2" w:space="0" w:color="auto"/>
            </w:tcBorders>
            <w:vAlign w:val="center"/>
          </w:tcPr>
          <w:p w14:paraId="6E28ABD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29568D1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786E6CC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设立</w:t>
            </w:r>
          </w:p>
        </w:tc>
      </w:tr>
      <w:tr w:rsidR="006C011D" w:rsidRPr="005A284F" w14:paraId="4D7D3125" w14:textId="77777777" w:rsidTr="00A27B2B">
        <w:trPr>
          <w:trHeight w:val="240"/>
          <w:jc w:val="center"/>
        </w:trPr>
        <w:tc>
          <w:tcPr>
            <w:tcW w:w="1083" w:type="dxa"/>
            <w:tcBorders>
              <w:top w:val="single" w:sz="2" w:space="0" w:color="auto"/>
              <w:left w:val="single" w:sz="2" w:space="0" w:color="auto"/>
              <w:bottom w:val="single" w:sz="2" w:space="0" w:color="auto"/>
              <w:right w:val="single" w:sz="2" w:space="0" w:color="auto"/>
            </w:tcBorders>
            <w:vAlign w:val="center"/>
          </w:tcPr>
          <w:p w14:paraId="2BC8384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安丘龙大养殖有限公司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3B238ED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150,000,000.00</w:t>
            </w:r>
          </w:p>
        </w:tc>
        <w:tc>
          <w:tcPr>
            <w:tcW w:w="1205" w:type="dxa"/>
            <w:tcBorders>
              <w:top w:val="single" w:sz="2" w:space="0" w:color="auto"/>
              <w:left w:val="single" w:sz="2" w:space="0" w:color="auto"/>
              <w:bottom w:val="single" w:sz="2" w:space="0" w:color="auto"/>
              <w:right w:val="single" w:sz="2" w:space="0" w:color="auto"/>
            </w:tcBorders>
            <w:vAlign w:val="center"/>
          </w:tcPr>
          <w:p w14:paraId="5E2B13B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山东省安丘市</w:t>
            </w:r>
          </w:p>
        </w:tc>
        <w:tc>
          <w:tcPr>
            <w:tcW w:w="1205" w:type="dxa"/>
            <w:tcBorders>
              <w:top w:val="single" w:sz="2" w:space="0" w:color="auto"/>
              <w:left w:val="single" w:sz="2" w:space="0" w:color="auto"/>
              <w:bottom w:val="single" w:sz="2" w:space="0" w:color="auto"/>
              <w:right w:val="single" w:sz="2" w:space="0" w:color="auto"/>
            </w:tcBorders>
            <w:vAlign w:val="center"/>
          </w:tcPr>
          <w:p w14:paraId="35A1006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山东省潍坊市安丘市石埠子镇晏峪村北</w:t>
            </w:r>
          </w:p>
        </w:tc>
        <w:tc>
          <w:tcPr>
            <w:tcW w:w="1205" w:type="dxa"/>
            <w:tcBorders>
              <w:top w:val="single" w:sz="2" w:space="0" w:color="auto"/>
              <w:left w:val="single" w:sz="2" w:space="0" w:color="auto"/>
              <w:bottom w:val="single" w:sz="2" w:space="0" w:color="auto"/>
              <w:right w:val="single" w:sz="2" w:space="0" w:color="auto"/>
            </w:tcBorders>
            <w:vAlign w:val="center"/>
          </w:tcPr>
          <w:p w14:paraId="7C98E82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畜禽</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养殖</w:t>
            </w:r>
          </w:p>
        </w:tc>
        <w:tc>
          <w:tcPr>
            <w:tcW w:w="1205" w:type="dxa"/>
            <w:tcBorders>
              <w:top w:val="single" w:sz="2" w:space="0" w:color="auto"/>
              <w:left w:val="single" w:sz="2" w:space="0" w:color="auto"/>
              <w:bottom w:val="single" w:sz="2" w:space="0" w:color="auto"/>
              <w:right w:val="single" w:sz="2" w:space="0" w:color="auto"/>
            </w:tcBorders>
            <w:vAlign w:val="center"/>
          </w:tcPr>
          <w:p w14:paraId="110EE24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30AB98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4D7CF2D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设立</w:t>
            </w:r>
          </w:p>
        </w:tc>
      </w:tr>
      <w:tr w:rsidR="006C011D" w:rsidRPr="005A284F" w14:paraId="05C46EC6" w14:textId="77777777" w:rsidTr="00A27B2B">
        <w:trPr>
          <w:trHeight w:val="240"/>
          <w:jc w:val="center"/>
        </w:trPr>
        <w:tc>
          <w:tcPr>
            <w:tcW w:w="1083" w:type="dxa"/>
            <w:tcBorders>
              <w:top w:val="single" w:sz="2" w:space="0" w:color="auto"/>
              <w:left w:val="single" w:sz="2" w:space="0" w:color="auto"/>
              <w:bottom w:val="single" w:sz="2" w:space="0" w:color="auto"/>
              <w:right w:val="single" w:sz="2" w:space="0" w:color="auto"/>
            </w:tcBorders>
            <w:vAlign w:val="center"/>
          </w:tcPr>
          <w:p w14:paraId="56D33FC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莱阳龙大养殖有限公司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01422E8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50,000,000.00</w:t>
            </w:r>
          </w:p>
        </w:tc>
        <w:tc>
          <w:tcPr>
            <w:tcW w:w="1205" w:type="dxa"/>
            <w:tcBorders>
              <w:top w:val="single" w:sz="2" w:space="0" w:color="auto"/>
              <w:left w:val="single" w:sz="2" w:space="0" w:color="auto"/>
              <w:bottom w:val="single" w:sz="2" w:space="0" w:color="auto"/>
              <w:right w:val="single" w:sz="2" w:space="0" w:color="auto"/>
            </w:tcBorders>
            <w:vAlign w:val="center"/>
          </w:tcPr>
          <w:p w14:paraId="6300A3B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山东省莱阳市</w:t>
            </w:r>
          </w:p>
        </w:tc>
        <w:tc>
          <w:tcPr>
            <w:tcW w:w="1205" w:type="dxa"/>
            <w:tcBorders>
              <w:top w:val="single" w:sz="2" w:space="0" w:color="auto"/>
              <w:left w:val="single" w:sz="2" w:space="0" w:color="auto"/>
              <w:bottom w:val="single" w:sz="2" w:space="0" w:color="auto"/>
              <w:right w:val="single" w:sz="2" w:space="0" w:color="auto"/>
            </w:tcBorders>
            <w:vAlign w:val="center"/>
          </w:tcPr>
          <w:p w14:paraId="2A95DB8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山东省烟台市莱阳市大夼镇北苟格庄村</w:t>
            </w:r>
          </w:p>
        </w:tc>
        <w:tc>
          <w:tcPr>
            <w:tcW w:w="1205" w:type="dxa"/>
            <w:tcBorders>
              <w:top w:val="single" w:sz="2" w:space="0" w:color="auto"/>
              <w:left w:val="single" w:sz="2" w:space="0" w:color="auto"/>
              <w:bottom w:val="single" w:sz="2" w:space="0" w:color="auto"/>
              <w:right w:val="single" w:sz="2" w:space="0" w:color="auto"/>
            </w:tcBorders>
            <w:vAlign w:val="center"/>
          </w:tcPr>
          <w:p w14:paraId="5212CD5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畜禽</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养殖</w:t>
            </w:r>
          </w:p>
        </w:tc>
        <w:tc>
          <w:tcPr>
            <w:tcW w:w="1205" w:type="dxa"/>
            <w:tcBorders>
              <w:top w:val="single" w:sz="2" w:space="0" w:color="auto"/>
              <w:left w:val="single" w:sz="2" w:space="0" w:color="auto"/>
              <w:bottom w:val="single" w:sz="2" w:space="0" w:color="auto"/>
              <w:right w:val="single" w:sz="2" w:space="0" w:color="auto"/>
            </w:tcBorders>
            <w:vAlign w:val="center"/>
          </w:tcPr>
          <w:p w14:paraId="365D390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161D65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11690A7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设立</w:t>
            </w:r>
          </w:p>
        </w:tc>
      </w:tr>
      <w:tr w:rsidR="006C011D" w:rsidRPr="005A284F" w14:paraId="5DFE7B68" w14:textId="77777777" w:rsidTr="00A27B2B">
        <w:trPr>
          <w:trHeight w:val="240"/>
          <w:jc w:val="center"/>
        </w:trPr>
        <w:tc>
          <w:tcPr>
            <w:tcW w:w="1083" w:type="dxa"/>
            <w:tcBorders>
              <w:top w:val="single" w:sz="2" w:space="0" w:color="auto"/>
              <w:left w:val="single" w:sz="2" w:space="0" w:color="auto"/>
              <w:bottom w:val="single" w:sz="2" w:space="0" w:color="auto"/>
              <w:right w:val="single" w:sz="2" w:space="0" w:color="auto"/>
            </w:tcBorders>
            <w:vAlign w:val="center"/>
          </w:tcPr>
          <w:p w14:paraId="5BDA641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莱州龙大养殖有限公司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643EAF1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30,000,000.00</w:t>
            </w:r>
          </w:p>
        </w:tc>
        <w:tc>
          <w:tcPr>
            <w:tcW w:w="1205" w:type="dxa"/>
            <w:tcBorders>
              <w:top w:val="single" w:sz="2" w:space="0" w:color="auto"/>
              <w:left w:val="single" w:sz="2" w:space="0" w:color="auto"/>
              <w:bottom w:val="single" w:sz="2" w:space="0" w:color="auto"/>
              <w:right w:val="single" w:sz="2" w:space="0" w:color="auto"/>
            </w:tcBorders>
            <w:vAlign w:val="center"/>
          </w:tcPr>
          <w:p w14:paraId="53D0761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山东省莱州市</w:t>
            </w:r>
          </w:p>
        </w:tc>
        <w:tc>
          <w:tcPr>
            <w:tcW w:w="1205" w:type="dxa"/>
            <w:tcBorders>
              <w:top w:val="single" w:sz="2" w:space="0" w:color="auto"/>
              <w:left w:val="single" w:sz="2" w:space="0" w:color="auto"/>
              <w:bottom w:val="single" w:sz="2" w:space="0" w:color="auto"/>
              <w:right w:val="single" w:sz="2" w:space="0" w:color="auto"/>
            </w:tcBorders>
            <w:vAlign w:val="center"/>
          </w:tcPr>
          <w:p w14:paraId="7F4F8E5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山东省烟台市莱州市郭家店镇马台石村</w:t>
            </w:r>
          </w:p>
        </w:tc>
        <w:tc>
          <w:tcPr>
            <w:tcW w:w="1205" w:type="dxa"/>
            <w:tcBorders>
              <w:top w:val="single" w:sz="2" w:space="0" w:color="auto"/>
              <w:left w:val="single" w:sz="2" w:space="0" w:color="auto"/>
              <w:bottom w:val="single" w:sz="2" w:space="0" w:color="auto"/>
              <w:right w:val="single" w:sz="2" w:space="0" w:color="auto"/>
            </w:tcBorders>
            <w:vAlign w:val="center"/>
          </w:tcPr>
          <w:p w14:paraId="2A15C4E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畜禽</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养殖</w:t>
            </w:r>
          </w:p>
        </w:tc>
        <w:tc>
          <w:tcPr>
            <w:tcW w:w="1205" w:type="dxa"/>
            <w:tcBorders>
              <w:top w:val="single" w:sz="2" w:space="0" w:color="auto"/>
              <w:left w:val="single" w:sz="2" w:space="0" w:color="auto"/>
              <w:bottom w:val="single" w:sz="2" w:space="0" w:color="auto"/>
              <w:right w:val="single" w:sz="2" w:space="0" w:color="auto"/>
            </w:tcBorders>
            <w:vAlign w:val="center"/>
          </w:tcPr>
          <w:p w14:paraId="2030A00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477DD8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057B15C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设立</w:t>
            </w:r>
          </w:p>
        </w:tc>
      </w:tr>
      <w:tr w:rsidR="006C011D" w:rsidRPr="005A284F" w14:paraId="13C9840A" w14:textId="77777777" w:rsidTr="00A27B2B">
        <w:trPr>
          <w:trHeight w:val="240"/>
          <w:jc w:val="center"/>
        </w:trPr>
        <w:tc>
          <w:tcPr>
            <w:tcW w:w="1083" w:type="dxa"/>
            <w:tcBorders>
              <w:top w:val="single" w:sz="2" w:space="0" w:color="auto"/>
              <w:left w:val="single" w:sz="2" w:space="0" w:color="auto"/>
              <w:bottom w:val="single" w:sz="2" w:space="0" w:color="auto"/>
              <w:right w:val="single" w:sz="2" w:space="0" w:color="auto"/>
            </w:tcBorders>
            <w:vAlign w:val="center"/>
          </w:tcPr>
          <w:p w14:paraId="06D12D0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青岛龙大管理咨询服务有限公司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21B8729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1,000,000.00</w:t>
            </w:r>
          </w:p>
        </w:tc>
        <w:tc>
          <w:tcPr>
            <w:tcW w:w="1205" w:type="dxa"/>
            <w:tcBorders>
              <w:top w:val="single" w:sz="2" w:space="0" w:color="auto"/>
              <w:left w:val="single" w:sz="2" w:space="0" w:color="auto"/>
              <w:bottom w:val="single" w:sz="2" w:space="0" w:color="auto"/>
              <w:right w:val="single" w:sz="2" w:space="0" w:color="auto"/>
            </w:tcBorders>
            <w:vAlign w:val="center"/>
          </w:tcPr>
          <w:p w14:paraId="3C1165B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山东省青岛市</w:t>
            </w:r>
          </w:p>
        </w:tc>
        <w:tc>
          <w:tcPr>
            <w:tcW w:w="1205" w:type="dxa"/>
            <w:tcBorders>
              <w:top w:val="single" w:sz="2" w:space="0" w:color="auto"/>
              <w:left w:val="single" w:sz="2" w:space="0" w:color="auto"/>
              <w:bottom w:val="single" w:sz="2" w:space="0" w:color="auto"/>
              <w:right w:val="single" w:sz="2" w:space="0" w:color="auto"/>
            </w:tcBorders>
            <w:vAlign w:val="center"/>
          </w:tcPr>
          <w:p w14:paraId="027833A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山东省青岛市崂山区株洲路</w:t>
            </w:r>
            <w:r w:rsidRPr="005A284F">
              <w:rPr>
                <w:rFonts w:ascii="Times New Roman" w:eastAsia="宋体" w:hAnsi="Times New Roman" w:cs="Times New Roman"/>
                <w:sz w:val="18"/>
                <w:szCs w:val="18"/>
              </w:rPr>
              <w:t>20</w:t>
            </w:r>
            <w:r w:rsidRPr="005A284F">
              <w:rPr>
                <w:rFonts w:ascii="Times New Roman" w:eastAsia="宋体" w:hAnsi="Times New Roman" w:cs="Times New Roman"/>
                <w:sz w:val="18"/>
                <w:szCs w:val="18"/>
              </w:rPr>
              <w:t>号海信创智谷</w:t>
            </w: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号楼</w:t>
            </w:r>
            <w:r w:rsidRPr="005A284F">
              <w:rPr>
                <w:rFonts w:ascii="Times New Roman" w:eastAsia="宋体" w:hAnsi="Times New Roman" w:cs="Times New Roman"/>
                <w:sz w:val="18"/>
                <w:szCs w:val="18"/>
              </w:rPr>
              <w:t>A</w:t>
            </w:r>
            <w:r w:rsidRPr="005A284F">
              <w:rPr>
                <w:rFonts w:ascii="Times New Roman" w:eastAsia="宋体" w:hAnsi="Times New Roman" w:cs="Times New Roman"/>
                <w:sz w:val="18"/>
                <w:szCs w:val="18"/>
              </w:rPr>
              <w:t>座</w:t>
            </w:r>
            <w:r w:rsidRPr="005A284F">
              <w:rPr>
                <w:rFonts w:ascii="Times New Roman" w:eastAsia="宋体" w:hAnsi="Times New Roman" w:cs="Times New Roman"/>
                <w:sz w:val="18"/>
                <w:szCs w:val="18"/>
              </w:rPr>
              <w:t>2502A</w:t>
            </w:r>
            <w:r w:rsidRPr="005A284F">
              <w:rPr>
                <w:rFonts w:ascii="Times New Roman" w:eastAsia="宋体" w:hAnsi="Times New Roman" w:cs="Times New Roman"/>
                <w:sz w:val="18"/>
                <w:szCs w:val="18"/>
              </w:rPr>
              <w:t>室</w:t>
            </w:r>
          </w:p>
        </w:tc>
        <w:tc>
          <w:tcPr>
            <w:tcW w:w="1205" w:type="dxa"/>
            <w:tcBorders>
              <w:top w:val="single" w:sz="2" w:space="0" w:color="auto"/>
              <w:left w:val="single" w:sz="2" w:space="0" w:color="auto"/>
              <w:bottom w:val="single" w:sz="2" w:space="0" w:color="auto"/>
              <w:right w:val="single" w:sz="2" w:space="0" w:color="auto"/>
            </w:tcBorders>
            <w:vAlign w:val="center"/>
          </w:tcPr>
          <w:p w14:paraId="5861CE5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管理咨询</w:t>
            </w:r>
          </w:p>
        </w:tc>
        <w:tc>
          <w:tcPr>
            <w:tcW w:w="1205" w:type="dxa"/>
            <w:tcBorders>
              <w:top w:val="single" w:sz="2" w:space="0" w:color="auto"/>
              <w:left w:val="single" w:sz="2" w:space="0" w:color="auto"/>
              <w:bottom w:val="single" w:sz="2" w:space="0" w:color="auto"/>
              <w:right w:val="single" w:sz="2" w:space="0" w:color="auto"/>
            </w:tcBorders>
            <w:vAlign w:val="center"/>
          </w:tcPr>
          <w:p w14:paraId="3B36403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2B4B6A6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73EEAF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设立</w:t>
            </w:r>
          </w:p>
        </w:tc>
      </w:tr>
      <w:tr w:rsidR="006C011D" w:rsidRPr="005A284F" w14:paraId="5C52667D" w14:textId="77777777" w:rsidTr="00A27B2B">
        <w:trPr>
          <w:trHeight w:val="240"/>
          <w:jc w:val="center"/>
        </w:trPr>
        <w:tc>
          <w:tcPr>
            <w:tcW w:w="1083" w:type="dxa"/>
            <w:tcBorders>
              <w:top w:val="single" w:sz="2" w:space="0" w:color="auto"/>
              <w:left w:val="single" w:sz="2" w:space="0" w:color="auto"/>
              <w:bottom w:val="single" w:sz="2" w:space="0" w:color="auto"/>
              <w:right w:val="single" w:sz="2" w:space="0" w:color="auto"/>
            </w:tcBorders>
            <w:vAlign w:val="center"/>
          </w:tcPr>
          <w:p w14:paraId="34DB39D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江苏龙大沁侬食品有限公司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5946CE8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200,000,000.00</w:t>
            </w:r>
          </w:p>
        </w:tc>
        <w:tc>
          <w:tcPr>
            <w:tcW w:w="1205" w:type="dxa"/>
            <w:tcBorders>
              <w:top w:val="single" w:sz="2" w:space="0" w:color="auto"/>
              <w:left w:val="single" w:sz="2" w:space="0" w:color="auto"/>
              <w:bottom w:val="single" w:sz="2" w:space="0" w:color="auto"/>
              <w:right w:val="single" w:sz="2" w:space="0" w:color="auto"/>
            </w:tcBorders>
            <w:vAlign w:val="center"/>
          </w:tcPr>
          <w:p w14:paraId="0C6D568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连云港市</w:t>
            </w:r>
          </w:p>
        </w:tc>
        <w:tc>
          <w:tcPr>
            <w:tcW w:w="1205" w:type="dxa"/>
            <w:tcBorders>
              <w:top w:val="single" w:sz="2" w:space="0" w:color="auto"/>
              <w:left w:val="single" w:sz="2" w:space="0" w:color="auto"/>
              <w:bottom w:val="single" w:sz="2" w:space="0" w:color="auto"/>
              <w:right w:val="single" w:sz="2" w:space="0" w:color="auto"/>
            </w:tcBorders>
            <w:vAlign w:val="center"/>
          </w:tcPr>
          <w:p w14:paraId="599D31D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连云港市灌云县经济开发区水利南路</w:t>
            </w:r>
            <w:r w:rsidRPr="005A284F">
              <w:rPr>
                <w:rFonts w:ascii="Times New Roman" w:eastAsia="宋体" w:hAnsi="Times New Roman" w:cs="Times New Roman"/>
                <w:sz w:val="18"/>
                <w:szCs w:val="18"/>
              </w:rPr>
              <w:t>11</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号</w:t>
            </w:r>
          </w:p>
        </w:tc>
        <w:tc>
          <w:tcPr>
            <w:tcW w:w="1205" w:type="dxa"/>
            <w:tcBorders>
              <w:top w:val="single" w:sz="2" w:space="0" w:color="auto"/>
              <w:left w:val="single" w:sz="2" w:space="0" w:color="auto"/>
              <w:bottom w:val="single" w:sz="2" w:space="0" w:color="auto"/>
              <w:right w:val="single" w:sz="2" w:space="0" w:color="auto"/>
            </w:tcBorders>
            <w:vAlign w:val="center"/>
          </w:tcPr>
          <w:p w14:paraId="7E8DD2C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生产、销售食品</w:t>
            </w:r>
          </w:p>
        </w:tc>
        <w:tc>
          <w:tcPr>
            <w:tcW w:w="1205" w:type="dxa"/>
            <w:tcBorders>
              <w:top w:val="single" w:sz="2" w:space="0" w:color="auto"/>
              <w:left w:val="single" w:sz="2" w:space="0" w:color="auto"/>
              <w:bottom w:val="single" w:sz="2" w:space="0" w:color="auto"/>
              <w:right w:val="single" w:sz="2" w:space="0" w:color="auto"/>
            </w:tcBorders>
            <w:vAlign w:val="center"/>
          </w:tcPr>
          <w:p w14:paraId="21DD108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38D0409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84AE57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设立</w:t>
            </w:r>
          </w:p>
        </w:tc>
      </w:tr>
      <w:tr w:rsidR="006C011D" w:rsidRPr="005A284F" w14:paraId="59BE1A17" w14:textId="77777777" w:rsidTr="00A27B2B">
        <w:trPr>
          <w:trHeight w:val="240"/>
          <w:jc w:val="center"/>
        </w:trPr>
        <w:tc>
          <w:tcPr>
            <w:tcW w:w="1083" w:type="dxa"/>
            <w:tcBorders>
              <w:top w:val="single" w:sz="2" w:space="0" w:color="auto"/>
              <w:left w:val="single" w:sz="2" w:space="0" w:color="auto"/>
              <w:bottom w:val="single" w:sz="2" w:space="0" w:color="auto"/>
              <w:right w:val="single" w:sz="2" w:space="0" w:color="auto"/>
            </w:tcBorders>
            <w:vAlign w:val="center"/>
          </w:tcPr>
          <w:p w14:paraId="6032BC3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湖北龙大肉食品有限公司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156AD4D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20,000,000.00</w:t>
            </w:r>
          </w:p>
        </w:tc>
        <w:tc>
          <w:tcPr>
            <w:tcW w:w="1205" w:type="dxa"/>
            <w:tcBorders>
              <w:top w:val="single" w:sz="2" w:space="0" w:color="auto"/>
              <w:left w:val="single" w:sz="2" w:space="0" w:color="auto"/>
              <w:bottom w:val="single" w:sz="2" w:space="0" w:color="auto"/>
              <w:right w:val="single" w:sz="2" w:space="0" w:color="auto"/>
            </w:tcBorders>
            <w:vAlign w:val="center"/>
          </w:tcPr>
          <w:p w14:paraId="3E74B7B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湖北省黄冈市</w:t>
            </w:r>
          </w:p>
        </w:tc>
        <w:tc>
          <w:tcPr>
            <w:tcW w:w="1205" w:type="dxa"/>
            <w:tcBorders>
              <w:top w:val="single" w:sz="2" w:space="0" w:color="auto"/>
              <w:left w:val="single" w:sz="2" w:space="0" w:color="auto"/>
              <w:bottom w:val="single" w:sz="2" w:space="0" w:color="auto"/>
              <w:right w:val="single" w:sz="2" w:space="0" w:color="auto"/>
            </w:tcBorders>
            <w:vAlign w:val="center"/>
          </w:tcPr>
          <w:p w14:paraId="1EB8BF6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湖北省黄冈市武穴市石佛寺镇农产品加工园武湖大道</w:t>
            </w:r>
            <w:r w:rsidRPr="005A284F">
              <w:rPr>
                <w:rFonts w:ascii="Times New Roman" w:eastAsia="宋体" w:hAnsi="Times New Roman" w:cs="Times New Roman"/>
                <w:sz w:val="18"/>
                <w:szCs w:val="18"/>
              </w:rPr>
              <w:t>69</w:t>
            </w:r>
            <w:r w:rsidRPr="005A284F">
              <w:rPr>
                <w:rFonts w:ascii="Times New Roman" w:eastAsia="宋体" w:hAnsi="Times New Roman" w:cs="Times New Roman"/>
                <w:sz w:val="18"/>
                <w:szCs w:val="18"/>
              </w:rPr>
              <w:t>号襄大园区办公区域</w:t>
            </w:r>
          </w:p>
        </w:tc>
        <w:tc>
          <w:tcPr>
            <w:tcW w:w="1205" w:type="dxa"/>
            <w:tcBorders>
              <w:top w:val="single" w:sz="2" w:space="0" w:color="auto"/>
              <w:left w:val="single" w:sz="2" w:space="0" w:color="auto"/>
              <w:bottom w:val="single" w:sz="2" w:space="0" w:color="auto"/>
              <w:right w:val="single" w:sz="2" w:space="0" w:color="auto"/>
            </w:tcBorders>
            <w:vAlign w:val="center"/>
          </w:tcPr>
          <w:p w14:paraId="30927BD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生猪屠宰</w:t>
            </w:r>
          </w:p>
        </w:tc>
        <w:tc>
          <w:tcPr>
            <w:tcW w:w="1205" w:type="dxa"/>
            <w:tcBorders>
              <w:top w:val="single" w:sz="2" w:space="0" w:color="auto"/>
              <w:left w:val="single" w:sz="2" w:space="0" w:color="auto"/>
              <w:bottom w:val="single" w:sz="2" w:space="0" w:color="auto"/>
              <w:right w:val="single" w:sz="2" w:space="0" w:color="auto"/>
            </w:tcBorders>
            <w:vAlign w:val="center"/>
          </w:tcPr>
          <w:p w14:paraId="7EA51F1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1FA6ECE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1DC413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设立</w:t>
            </w:r>
          </w:p>
        </w:tc>
      </w:tr>
      <w:tr w:rsidR="006C011D" w:rsidRPr="005A284F" w14:paraId="2022ED7F" w14:textId="77777777" w:rsidTr="00A27B2B">
        <w:trPr>
          <w:trHeight w:val="240"/>
          <w:jc w:val="center"/>
        </w:trPr>
        <w:tc>
          <w:tcPr>
            <w:tcW w:w="1083" w:type="dxa"/>
            <w:tcBorders>
              <w:top w:val="single" w:sz="2" w:space="0" w:color="auto"/>
              <w:left w:val="single" w:sz="2" w:space="0" w:color="auto"/>
              <w:bottom w:val="single" w:sz="2" w:space="0" w:color="auto"/>
              <w:right w:val="single" w:sz="2" w:space="0" w:color="auto"/>
            </w:tcBorders>
            <w:vAlign w:val="center"/>
          </w:tcPr>
          <w:p w14:paraId="6CFBD90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成都龙大肉食品有限公司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14C1678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220,000,000.00</w:t>
            </w:r>
          </w:p>
        </w:tc>
        <w:tc>
          <w:tcPr>
            <w:tcW w:w="1205" w:type="dxa"/>
            <w:tcBorders>
              <w:top w:val="single" w:sz="2" w:space="0" w:color="auto"/>
              <w:left w:val="single" w:sz="2" w:space="0" w:color="auto"/>
              <w:bottom w:val="single" w:sz="2" w:space="0" w:color="auto"/>
              <w:right w:val="single" w:sz="2" w:space="0" w:color="auto"/>
            </w:tcBorders>
            <w:vAlign w:val="center"/>
          </w:tcPr>
          <w:p w14:paraId="5AADE0F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四川省成都市</w:t>
            </w:r>
          </w:p>
        </w:tc>
        <w:tc>
          <w:tcPr>
            <w:tcW w:w="1205" w:type="dxa"/>
            <w:tcBorders>
              <w:top w:val="single" w:sz="2" w:space="0" w:color="auto"/>
              <w:left w:val="single" w:sz="2" w:space="0" w:color="auto"/>
              <w:bottom w:val="single" w:sz="2" w:space="0" w:color="auto"/>
              <w:right w:val="single" w:sz="2" w:space="0" w:color="auto"/>
            </w:tcBorders>
            <w:vAlign w:val="center"/>
          </w:tcPr>
          <w:p w14:paraId="5B9D2B2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四川省成都市蒲江县寿安街道迎宾大道</w:t>
            </w:r>
            <w:r w:rsidRPr="005A284F">
              <w:rPr>
                <w:rFonts w:ascii="Times New Roman" w:eastAsia="宋体" w:hAnsi="Times New Roman" w:cs="Times New Roman"/>
                <w:sz w:val="18"/>
                <w:szCs w:val="18"/>
              </w:rPr>
              <w:t>774</w:t>
            </w:r>
            <w:r w:rsidRPr="005A284F">
              <w:rPr>
                <w:rFonts w:ascii="Times New Roman" w:eastAsia="宋体" w:hAnsi="Times New Roman" w:cs="Times New Roman"/>
                <w:sz w:val="18"/>
                <w:szCs w:val="18"/>
              </w:rPr>
              <w:t>号</w:t>
            </w:r>
          </w:p>
        </w:tc>
        <w:tc>
          <w:tcPr>
            <w:tcW w:w="1205" w:type="dxa"/>
            <w:tcBorders>
              <w:top w:val="single" w:sz="2" w:space="0" w:color="auto"/>
              <w:left w:val="single" w:sz="2" w:space="0" w:color="auto"/>
              <w:bottom w:val="single" w:sz="2" w:space="0" w:color="auto"/>
              <w:right w:val="single" w:sz="2" w:space="0" w:color="auto"/>
            </w:tcBorders>
            <w:vAlign w:val="center"/>
          </w:tcPr>
          <w:p w14:paraId="378DE19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生猪屠宰</w:t>
            </w:r>
          </w:p>
        </w:tc>
        <w:tc>
          <w:tcPr>
            <w:tcW w:w="1205" w:type="dxa"/>
            <w:tcBorders>
              <w:top w:val="single" w:sz="2" w:space="0" w:color="auto"/>
              <w:left w:val="single" w:sz="2" w:space="0" w:color="auto"/>
              <w:bottom w:val="single" w:sz="2" w:space="0" w:color="auto"/>
              <w:right w:val="single" w:sz="2" w:space="0" w:color="auto"/>
            </w:tcBorders>
            <w:vAlign w:val="center"/>
          </w:tcPr>
          <w:p w14:paraId="591551C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w:t>
            </w:r>
          </w:p>
        </w:tc>
        <w:tc>
          <w:tcPr>
            <w:tcW w:w="1205" w:type="dxa"/>
            <w:tcBorders>
              <w:top w:val="single" w:sz="2" w:space="0" w:color="auto"/>
              <w:left w:val="single" w:sz="2" w:space="0" w:color="auto"/>
              <w:bottom w:val="single" w:sz="2" w:space="0" w:color="auto"/>
              <w:right w:val="single" w:sz="2" w:space="0" w:color="auto"/>
            </w:tcBorders>
            <w:vAlign w:val="center"/>
          </w:tcPr>
          <w:p w14:paraId="21EFF26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90.00%</w:t>
            </w:r>
          </w:p>
        </w:tc>
        <w:tc>
          <w:tcPr>
            <w:tcW w:w="1205" w:type="dxa"/>
            <w:tcBorders>
              <w:top w:val="single" w:sz="2" w:space="0" w:color="auto"/>
              <w:left w:val="single" w:sz="2" w:space="0" w:color="auto"/>
              <w:bottom w:val="single" w:sz="2" w:space="0" w:color="auto"/>
              <w:right w:val="single" w:sz="2" w:space="0" w:color="auto"/>
            </w:tcBorders>
            <w:vAlign w:val="center"/>
          </w:tcPr>
          <w:p w14:paraId="0D3407F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设立</w:t>
            </w:r>
          </w:p>
        </w:tc>
      </w:tr>
      <w:tr w:rsidR="006C011D" w:rsidRPr="005A284F" w14:paraId="25E20DC8" w14:textId="77777777" w:rsidTr="00A27B2B">
        <w:trPr>
          <w:trHeight w:val="240"/>
          <w:jc w:val="center"/>
        </w:trPr>
        <w:tc>
          <w:tcPr>
            <w:tcW w:w="1083" w:type="dxa"/>
            <w:tcBorders>
              <w:top w:val="single" w:sz="2" w:space="0" w:color="auto"/>
              <w:left w:val="single" w:sz="2" w:space="0" w:color="auto"/>
              <w:bottom w:val="single" w:sz="2" w:space="0" w:color="auto"/>
              <w:right w:val="single" w:sz="2" w:space="0" w:color="auto"/>
            </w:tcBorders>
            <w:vAlign w:val="center"/>
          </w:tcPr>
          <w:p w14:paraId="76FDD54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黑龙江龙大肉食品有限公司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02EC3B8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100,000,000.00</w:t>
            </w:r>
          </w:p>
        </w:tc>
        <w:tc>
          <w:tcPr>
            <w:tcW w:w="1205" w:type="dxa"/>
            <w:tcBorders>
              <w:top w:val="single" w:sz="2" w:space="0" w:color="auto"/>
              <w:left w:val="single" w:sz="2" w:space="0" w:color="auto"/>
              <w:bottom w:val="single" w:sz="2" w:space="0" w:color="auto"/>
              <w:right w:val="single" w:sz="2" w:space="0" w:color="auto"/>
            </w:tcBorders>
            <w:vAlign w:val="center"/>
          </w:tcPr>
          <w:p w14:paraId="3BB51E3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黑龙江省绥化市</w:t>
            </w:r>
          </w:p>
        </w:tc>
        <w:tc>
          <w:tcPr>
            <w:tcW w:w="1205" w:type="dxa"/>
            <w:tcBorders>
              <w:top w:val="single" w:sz="2" w:space="0" w:color="auto"/>
              <w:left w:val="single" w:sz="2" w:space="0" w:color="auto"/>
              <w:bottom w:val="single" w:sz="2" w:space="0" w:color="auto"/>
              <w:right w:val="single" w:sz="2" w:space="0" w:color="auto"/>
            </w:tcBorders>
            <w:vAlign w:val="center"/>
          </w:tcPr>
          <w:p w14:paraId="2E55BC5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黑龙江省绥化市安达市高新化工材料产业园区</w:t>
            </w:r>
            <w:r w:rsidRPr="005A284F">
              <w:rPr>
                <w:rFonts w:ascii="Times New Roman" w:eastAsia="宋体" w:hAnsi="Times New Roman" w:cs="Times New Roman"/>
                <w:sz w:val="18"/>
                <w:szCs w:val="18"/>
              </w:rPr>
              <w:t>A-12</w:t>
            </w:r>
            <w:r w:rsidRPr="005A284F">
              <w:rPr>
                <w:rFonts w:ascii="Times New Roman" w:eastAsia="宋体" w:hAnsi="Times New Roman" w:cs="Times New Roman"/>
                <w:sz w:val="18"/>
                <w:szCs w:val="18"/>
              </w:rPr>
              <w:t>地块</w:t>
            </w:r>
          </w:p>
        </w:tc>
        <w:tc>
          <w:tcPr>
            <w:tcW w:w="1205" w:type="dxa"/>
            <w:tcBorders>
              <w:top w:val="single" w:sz="2" w:space="0" w:color="auto"/>
              <w:left w:val="single" w:sz="2" w:space="0" w:color="auto"/>
              <w:bottom w:val="single" w:sz="2" w:space="0" w:color="auto"/>
              <w:right w:val="single" w:sz="2" w:space="0" w:color="auto"/>
            </w:tcBorders>
            <w:vAlign w:val="center"/>
          </w:tcPr>
          <w:p w14:paraId="2A28211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生猪屠宰</w:t>
            </w:r>
          </w:p>
        </w:tc>
        <w:tc>
          <w:tcPr>
            <w:tcW w:w="1205" w:type="dxa"/>
            <w:tcBorders>
              <w:top w:val="single" w:sz="2" w:space="0" w:color="auto"/>
              <w:left w:val="single" w:sz="2" w:space="0" w:color="auto"/>
              <w:bottom w:val="single" w:sz="2" w:space="0" w:color="auto"/>
              <w:right w:val="single" w:sz="2" w:space="0" w:color="auto"/>
            </w:tcBorders>
            <w:vAlign w:val="center"/>
          </w:tcPr>
          <w:p w14:paraId="608A390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31B9F0C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55696C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设立</w:t>
            </w:r>
          </w:p>
        </w:tc>
      </w:tr>
      <w:tr w:rsidR="006C011D" w:rsidRPr="005A284F" w14:paraId="7A171623" w14:textId="77777777" w:rsidTr="00A27B2B">
        <w:trPr>
          <w:trHeight w:val="240"/>
          <w:jc w:val="center"/>
        </w:trPr>
        <w:tc>
          <w:tcPr>
            <w:tcW w:w="1083" w:type="dxa"/>
            <w:tcBorders>
              <w:top w:val="single" w:sz="2" w:space="0" w:color="auto"/>
              <w:left w:val="single" w:sz="2" w:space="0" w:color="auto"/>
              <w:bottom w:val="single" w:sz="2" w:space="0" w:color="auto"/>
              <w:right w:val="single" w:sz="2" w:space="0" w:color="auto"/>
            </w:tcBorders>
            <w:vAlign w:val="center"/>
          </w:tcPr>
          <w:p w14:paraId="6C3776D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四川龙鲜活供应链管理有限公司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26D5FC8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2,000,000.00</w:t>
            </w:r>
          </w:p>
        </w:tc>
        <w:tc>
          <w:tcPr>
            <w:tcW w:w="1205" w:type="dxa"/>
            <w:tcBorders>
              <w:top w:val="single" w:sz="2" w:space="0" w:color="auto"/>
              <w:left w:val="single" w:sz="2" w:space="0" w:color="auto"/>
              <w:bottom w:val="single" w:sz="2" w:space="0" w:color="auto"/>
              <w:right w:val="single" w:sz="2" w:space="0" w:color="auto"/>
            </w:tcBorders>
            <w:vAlign w:val="center"/>
          </w:tcPr>
          <w:p w14:paraId="7A44ACE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四川省成都市</w:t>
            </w:r>
          </w:p>
        </w:tc>
        <w:tc>
          <w:tcPr>
            <w:tcW w:w="1205" w:type="dxa"/>
            <w:tcBorders>
              <w:top w:val="single" w:sz="2" w:space="0" w:color="auto"/>
              <w:left w:val="single" w:sz="2" w:space="0" w:color="auto"/>
              <w:bottom w:val="single" w:sz="2" w:space="0" w:color="auto"/>
              <w:right w:val="single" w:sz="2" w:space="0" w:color="auto"/>
            </w:tcBorders>
            <w:vAlign w:val="center"/>
          </w:tcPr>
          <w:p w14:paraId="37AA74D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四川省成都市天府新区华阳街道华府大道一段</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号</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栋</w:t>
            </w:r>
            <w:r w:rsidRPr="005A284F">
              <w:rPr>
                <w:rFonts w:ascii="Times New Roman" w:eastAsia="宋体" w:hAnsi="Times New Roman" w:cs="Times New Roman"/>
                <w:sz w:val="18"/>
                <w:szCs w:val="18"/>
              </w:rPr>
              <w:t>35</w:t>
            </w:r>
            <w:r w:rsidRPr="005A284F">
              <w:rPr>
                <w:rFonts w:ascii="Times New Roman" w:eastAsia="宋体" w:hAnsi="Times New Roman" w:cs="Times New Roman"/>
                <w:sz w:val="18"/>
                <w:szCs w:val="18"/>
              </w:rPr>
              <w:t>层</w:t>
            </w: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号</w:t>
            </w:r>
          </w:p>
        </w:tc>
        <w:tc>
          <w:tcPr>
            <w:tcW w:w="1205" w:type="dxa"/>
            <w:tcBorders>
              <w:top w:val="single" w:sz="2" w:space="0" w:color="auto"/>
              <w:left w:val="single" w:sz="2" w:space="0" w:color="auto"/>
              <w:bottom w:val="single" w:sz="2" w:space="0" w:color="auto"/>
              <w:right w:val="single" w:sz="2" w:space="0" w:color="auto"/>
            </w:tcBorders>
            <w:vAlign w:val="center"/>
          </w:tcPr>
          <w:p w14:paraId="2151EC7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供应链管理服务</w:t>
            </w:r>
          </w:p>
        </w:tc>
        <w:tc>
          <w:tcPr>
            <w:tcW w:w="1205" w:type="dxa"/>
            <w:tcBorders>
              <w:top w:val="single" w:sz="2" w:space="0" w:color="auto"/>
              <w:left w:val="single" w:sz="2" w:space="0" w:color="auto"/>
              <w:bottom w:val="single" w:sz="2" w:space="0" w:color="auto"/>
              <w:right w:val="single" w:sz="2" w:space="0" w:color="auto"/>
            </w:tcBorders>
            <w:vAlign w:val="center"/>
          </w:tcPr>
          <w:p w14:paraId="5EE99B8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3012F8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1F89874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设立</w:t>
            </w:r>
          </w:p>
        </w:tc>
      </w:tr>
      <w:tr w:rsidR="006C011D" w:rsidRPr="005A284F" w14:paraId="4E31A515" w14:textId="77777777" w:rsidTr="00A27B2B">
        <w:trPr>
          <w:trHeight w:val="240"/>
          <w:jc w:val="center"/>
        </w:trPr>
        <w:tc>
          <w:tcPr>
            <w:tcW w:w="1083" w:type="dxa"/>
            <w:tcBorders>
              <w:top w:val="single" w:sz="2" w:space="0" w:color="auto"/>
              <w:left w:val="single" w:sz="2" w:space="0" w:color="auto"/>
              <w:bottom w:val="single" w:sz="2" w:space="0" w:color="auto"/>
              <w:right w:val="single" w:sz="2" w:space="0" w:color="auto"/>
            </w:tcBorders>
            <w:vAlign w:val="center"/>
          </w:tcPr>
          <w:p w14:paraId="62B9462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巴中龙大肉食品有限公司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78C4654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100,000,000.00</w:t>
            </w:r>
          </w:p>
        </w:tc>
        <w:tc>
          <w:tcPr>
            <w:tcW w:w="1205" w:type="dxa"/>
            <w:tcBorders>
              <w:top w:val="single" w:sz="2" w:space="0" w:color="auto"/>
              <w:left w:val="single" w:sz="2" w:space="0" w:color="auto"/>
              <w:bottom w:val="single" w:sz="2" w:space="0" w:color="auto"/>
              <w:right w:val="single" w:sz="2" w:space="0" w:color="auto"/>
            </w:tcBorders>
            <w:vAlign w:val="center"/>
          </w:tcPr>
          <w:p w14:paraId="216E80A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四川省巴中市</w:t>
            </w:r>
          </w:p>
        </w:tc>
        <w:tc>
          <w:tcPr>
            <w:tcW w:w="1205" w:type="dxa"/>
            <w:tcBorders>
              <w:top w:val="single" w:sz="2" w:space="0" w:color="auto"/>
              <w:left w:val="single" w:sz="2" w:space="0" w:color="auto"/>
              <w:bottom w:val="single" w:sz="2" w:space="0" w:color="auto"/>
              <w:right w:val="single" w:sz="2" w:space="0" w:color="auto"/>
            </w:tcBorders>
            <w:vAlign w:val="center"/>
          </w:tcPr>
          <w:p w14:paraId="274B611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四川省巴中市恩阳区柳林镇盐井村食品工业园一号楼</w:t>
            </w:r>
          </w:p>
        </w:tc>
        <w:tc>
          <w:tcPr>
            <w:tcW w:w="1205" w:type="dxa"/>
            <w:tcBorders>
              <w:top w:val="single" w:sz="2" w:space="0" w:color="auto"/>
              <w:left w:val="single" w:sz="2" w:space="0" w:color="auto"/>
              <w:bottom w:val="single" w:sz="2" w:space="0" w:color="auto"/>
              <w:right w:val="single" w:sz="2" w:space="0" w:color="auto"/>
            </w:tcBorders>
            <w:vAlign w:val="center"/>
          </w:tcPr>
          <w:p w14:paraId="11D7721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生产、销售食品</w:t>
            </w:r>
          </w:p>
        </w:tc>
        <w:tc>
          <w:tcPr>
            <w:tcW w:w="1205" w:type="dxa"/>
            <w:tcBorders>
              <w:top w:val="single" w:sz="2" w:space="0" w:color="auto"/>
              <w:left w:val="single" w:sz="2" w:space="0" w:color="auto"/>
              <w:bottom w:val="single" w:sz="2" w:space="0" w:color="auto"/>
              <w:right w:val="single" w:sz="2" w:space="0" w:color="auto"/>
            </w:tcBorders>
            <w:vAlign w:val="center"/>
          </w:tcPr>
          <w:p w14:paraId="1140969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75DD646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961F64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设立</w:t>
            </w:r>
          </w:p>
        </w:tc>
      </w:tr>
      <w:tr w:rsidR="006C011D" w:rsidRPr="005A284F" w14:paraId="3947544B" w14:textId="77777777" w:rsidTr="00A27B2B">
        <w:trPr>
          <w:trHeight w:val="240"/>
          <w:jc w:val="center"/>
        </w:trPr>
        <w:tc>
          <w:tcPr>
            <w:tcW w:w="1083" w:type="dxa"/>
            <w:tcBorders>
              <w:top w:val="single" w:sz="2" w:space="0" w:color="auto"/>
              <w:left w:val="single" w:sz="2" w:space="0" w:color="auto"/>
              <w:bottom w:val="single" w:sz="2" w:space="0" w:color="auto"/>
              <w:right w:val="single" w:sz="2" w:space="0" w:color="auto"/>
            </w:tcBorders>
            <w:vAlign w:val="center"/>
          </w:tcPr>
          <w:p w14:paraId="619705A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海南龙大美食有限责任公司</w:t>
            </w:r>
          </w:p>
        </w:tc>
        <w:tc>
          <w:tcPr>
            <w:tcW w:w="1326" w:type="dxa"/>
            <w:tcBorders>
              <w:top w:val="single" w:sz="2" w:space="0" w:color="auto"/>
              <w:left w:val="single" w:sz="2" w:space="0" w:color="auto"/>
              <w:bottom w:val="single" w:sz="2" w:space="0" w:color="auto"/>
              <w:right w:val="single" w:sz="2" w:space="0" w:color="auto"/>
            </w:tcBorders>
            <w:vAlign w:val="center"/>
          </w:tcPr>
          <w:p w14:paraId="79C178A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100,000,000.00</w:t>
            </w:r>
          </w:p>
        </w:tc>
        <w:tc>
          <w:tcPr>
            <w:tcW w:w="1205" w:type="dxa"/>
            <w:tcBorders>
              <w:top w:val="single" w:sz="2" w:space="0" w:color="auto"/>
              <w:left w:val="single" w:sz="2" w:space="0" w:color="auto"/>
              <w:bottom w:val="single" w:sz="2" w:space="0" w:color="auto"/>
              <w:right w:val="single" w:sz="2" w:space="0" w:color="auto"/>
            </w:tcBorders>
            <w:vAlign w:val="center"/>
          </w:tcPr>
          <w:p w14:paraId="0E3F022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海南省洋浦经济开发区</w:t>
            </w:r>
          </w:p>
        </w:tc>
        <w:tc>
          <w:tcPr>
            <w:tcW w:w="1205" w:type="dxa"/>
            <w:tcBorders>
              <w:top w:val="single" w:sz="2" w:space="0" w:color="auto"/>
              <w:left w:val="single" w:sz="2" w:space="0" w:color="auto"/>
              <w:bottom w:val="single" w:sz="2" w:space="0" w:color="auto"/>
              <w:right w:val="single" w:sz="2" w:space="0" w:color="auto"/>
            </w:tcBorders>
            <w:vAlign w:val="center"/>
          </w:tcPr>
          <w:p w14:paraId="2242575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海南省洋浦经济开发区新英湾区保税港区</w:t>
            </w: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号办公楼</w:t>
            </w:r>
            <w:r w:rsidRPr="005A284F">
              <w:rPr>
                <w:rFonts w:ascii="Times New Roman" w:eastAsia="宋体" w:hAnsi="Times New Roman" w:cs="Times New Roman"/>
                <w:sz w:val="18"/>
                <w:szCs w:val="18"/>
              </w:rPr>
              <w:t>D608</w:t>
            </w:r>
            <w:r w:rsidRPr="005A284F">
              <w:rPr>
                <w:rFonts w:ascii="Times New Roman" w:eastAsia="宋体" w:hAnsi="Times New Roman" w:cs="Times New Roman"/>
                <w:sz w:val="18"/>
                <w:szCs w:val="18"/>
              </w:rPr>
              <w:t>室</w:t>
            </w:r>
          </w:p>
        </w:tc>
        <w:tc>
          <w:tcPr>
            <w:tcW w:w="1205" w:type="dxa"/>
            <w:tcBorders>
              <w:top w:val="single" w:sz="2" w:space="0" w:color="auto"/>
              <w:left w:val="single" w:sz="2" w:space="0" w:color="auto"/>
              <w:bottom w:val="single" w:sz="2" w:space="0" w:color="auto"/>
              <w:right w:val="single" w:sz="2" w:space="0" w:color="auto"/>
            </w:tcBorders>
            <w:vAlign w:val="center"/>
          </w:tcPr>
          <w:p w14:paraId="661CFE1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生产、销售食品</w:t>
            </w:r>
          </w:p>
        </w:tc>
        <w:tc>
          <w:tcPr>
            <w:tcW w:w="1205" w:type="dxa"/>
            <w:tcBorders>
              <w:top w:val="single" w:sz="2" w:space="0" w:color="auto"/>
              <w:left w:val="single" w:sz="2" w:space="0" w:color="auto"/>
              <w:bottom w:val="single" w:sz="2" w:space="0" w:color="auto"/>
              <w:right w:val="single" w:sz="2" w:space="0" w:color="auto"/>
            </w:tcBorders>
            <w:vAlign w:val="center"/>
          </w:tcPr>
          <w:p w14:paraId="014CAAA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753A6FA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DDB187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设立</w:t>
            </w:r>
          </w:p>
        </w:tc>
      </w:tr>
      <w:tr w:rsidR="006C011D" w:rsidRPr="005A284F" w14:paraId="6D62FE3E" w14:textId="77777777" w:rsidTr="00A27B2B">
        <w:trPr>
          <w:trHeight w:val="240"/>
          <w:jc w:val="center"/>
        </w:trPr>
        <w:tc>
          <w:tcPr>
            <w:tcW w:w="1083" w:type="dxa"/>
            <w:tcBorders>
              <w:top w:val="single" w:sz="2" w:space="0" w:color="auto"/>
              <w:left w:val="single" w:sz="2" w:space="0" w:color="auto"/>
              <w:bottom w:val="single" w:sz="2" w:space="0" w:color="auto"/>
              <w:right w:val="single" w:sz="2" w:space="0" w:color="auto"/>
            </w:tcBorders>
            <w:vAlign w:val="center"/>
          </w:tcPr>
          <w:p w14:paraId="007995C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山东龙鲜生供应链管理有限公司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537355D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6,000,000.00</w:t>
            </w:r>
          </w:p>
        </w:tc>
        <w:tc>
          <w:tcPr>
            <w:tcW w:w="1205" w:type="dxa"/>
            <w:tcBorders>
              <w:top w:val="single" w:sz="2" w:space="0" w:color="auto"/>
              <w:left w:val="single" w:sz="2" w:space="0" w:color="auto"/>
              <w:bottom w:val="single" w:sz="2" w:space="0" w:color="auto"/>
              <w:right w:val="single" w:sz="2" w:space="0" w:color="auto"/>
            </w:tcBorders>
            <w:vAlign w:val="center"/>
          </w:tcPr>
          <w:p w14:paraId="0AB130E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山东省青岛市</w:t>
            </w:r>
          </w:p>
        </w:tc>
        <w:tc>
          <w:tcPr>
            <w:tcW w:w="1205" w:type="dxa"/>
            <w:tcBorders>
              <w:top w:val="single" w:sz="2" w:space="0" w:color="auto"/>
              <w:left w:val="single" w:sz="2" w:space="0" w:color="auto"/>
              <w:bottom w:val="single" w:sz="2" w:space="0" w:color="auto"/>
              <w:right w:val="single" w:sz="2" w:space="0" w:color="auto"/>
            </w:tcBorders>
            <w:vAlign w:val="center"/>
          </w:tcPr>
          <w:p w14:paraId="4AAE401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山东省青岛市崂山区株洲路</w:t>
            </w:r>
            <w:r w:rsidRPr="005A284F">
              <w:rPr>
                <w:rFonts w:ascii="Times New Roman" w:eastAsia="宋体" w:hAnsi="Times New Roman" w:cs="Times New Roman"/>
                <w:sz w:val="18"/>
                <w:szCs w:val="18"/>
              </w:rPr>
              <w:t>20</w:t>
            </w:r>
            <w:r w:rsidRPr="005A284F">
              <w:rPr>
                <w:rFonts w:ascii="Times New Roman" w:eastAsia="宋体" w:hAnsi="Times New Roman" w:cs="Times New Roman"/>
                <w:sz w:val="18"/>
                <w:szCs w:val="18"/>
              </w:rPr>
              <w:t>号海信创智谷</w:t>
            </w: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号楼</w:t>
            </w:r>
            <w:r w:rsidRPr="005A284F">
              <w:rPr>
                <w:rFonts w:ascii="Times New Roman" w:eastAsia="宋体" w:hAnsi="Times New Roman" w:cs="Times New Roman"/>
                <w:sz w:val="18"/>
                <w:szCs w:val="18"/>
              </w:rPr>
              <w:t>A</w:t>
            </w:r>
            <w:r w:rsidRPr="005A284F">
              <w:rPr>
                <w:rFonts w:ascii="Times New Roman" w:eastAsia="宋体" w:hAnsi="Times New Roman" w:cs="Times New Roman"/>
                <w:sz w:val="18"/>
                <w:szCs w:val="18"/>
              </w:rPr>
              <w:t>座第</w:t>
            </w:r>
            <w:r w:rsidRPr="005A284F">
              <w:rPr>
                <w:rFonts w:ascii="Times New Roman" w:eastAsia="宋体" w:hAnsi="Times New Roman" w:cs="Times New Roman"/>
                <w:sz w:val="18"/>
                <w:szCs w:val="18"/>
              </w:rPr>
              <w:t>25</w:t>
            </w:r>
            <w:r w:rsidRPr="005A284F">
              <w:rPr>
                <w:rFonts w:ascii="Times New Roman" w:eastAsia="宋体" w:hAnsi="Times New Roman" w:cs="Times New Roman"/>
                <w:sz w:val="18"/>
                <w:szCs w:val="18"/>
              </w:rPr>
              <w:t>层</w:t>
            </w:r>
            <w:r w:rsidRPr="005A284F">
              <w:rPr>
                <w:rFonts w:ascii="Times New Roman" w:eastAsia="宋体" w:hAnsi="Times New Roman" w:cs="Times New Roman"/>
                <w:sz w:val="18"/>
                <w:szCs w:val="18"/>
              </w:rPr>
              <w:lastRenderedPageBreak/>
              <w:t>2502</w:t>
            </w:r>
          </w:p>
        </w:tc>
        <w:tc>
          <w:tcPr>
            <w:tcW w:w="1205" w:type="dxa"/>
            <w:tcBorders>
              <w:top w:val="single" w:sz="2" w:space="0" w:color="auto"/>
              <w:left w:val="single" w:sz="2" w:space="0" w:color="auto"/>
              <w:bottom w:val="single" w:sz="2" w:space="0" w:color="auto"/>
              <w:right w:val="single" w:sz="2" w:space="0" w:color="auto"/>
            </w:tcBorders>
            <w:vAlign w:val="center"/>
          </w:tcPr>
          <w:p w14:paraId="19DDD6A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供应链管理服务</w:t>
            </w:r>
          </w:p>
        </w:tc>
        <w:tc>
          <w:tcPr>
            <w:tcW w:w="1205" w:type="dxa"/>
            <w:tcBorders>
              <w:top w:val="single" w:sz="2" w:space="0" w:color="auto"/>
              <w:left w:val="single" w:sz="2" w:space="0" w:color="auto"/>
              <w:bottom w:val="single" w:sz="2" w:space="0" w:color="auto"/>
              <w:right w:val="single" w:sz="2" w:space="0" w:color="auto"/>
            </w:tcBorders>
            <w:vAlign w:val="center"/>
          </w:tcPr>
          <w:p w14:paraId="6E816B4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75FDB17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08D723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设立</w:t>
            </w:r>
          </w:p>
        </w:tc>
      </w:tr>
      <w:tr w:rsidR="006C011D" w:rsidRPr="005A284F" w14:paraId="0561069D" w14:textId="77777777" w:rsidTr="00A27B2B">
        <w:trPr>
          <w:trHeight w:val="240"/>
          <w:jc w:val="center"/>
        </w:trPr>
        <w:tc>
          <w:tcPr>
            <w:tcW w:w="1083" w:type="dxa"/>
            <w:tcBorders>
              <w:top w:val="single" w:sz="2" w:space="0" w:color="auto"/>
              <w:left w:val="single" w:sz="2" w:space="0" w:color="auto"/>
              <w:bottom w:val="single" w:sz="2" w:space="0" w:color="auto"/>
              <w:right w:val="single" w:sz="2" w:space="0" w:color="auto"/>
            </w:tcBorders>
            <w:vAlign w:val="center"/>
          </w:tcPr>
          <w:p w14:paraId="09C08A1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青岛龙大鲜生供应链有限公司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3A7D2CE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14:paraId="6F30706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山东省青岛市</w:t>
            </w:r>
          </w:p>
        </w:tc>
        <w:tc>
          <w:tcPr>
            <w:tcW w:w="1205" w:type="dxa"/>
            <w:tcBorders>
              <w:top w:val="single" w:sz="2" w:space="0" w:color="auto"/>
              <w:left w:val="single" w:sz="2" w:space="0" w:color="auto"/>
              <w:bottom w:val="single" w:sz="2" w:space="0" w:color="auto"/>
              <w:right w:val="single" w:sz="2" w:space="0" w:color="auto"/>
            </w:tcBorders>
            <w:vAlign w:val="center"/>
          </w:tcPr>
          <w:p w14:paraId="305450F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山东省青岛市李沧区金水路</w:t>
            </w:r>
            <w:r w:rsidRPr="005A284F">
              <w:rPr>
                <w:rFonts w:ascii="Times New Roman" w:eastAsia="宋体" w:hAnsi="Times New Roman" w:cs="Times New Roman"/>
                <w:sz w:val="18"/>
                <w:szCs w:val="18"/>
              </w:rPr>
              <w:t>670</w:t>
            </w:r>
            <w:r w:rsidRPr="005A284F">
              <w:rPr>
                <w:rFonts w:ascii="Times New Roman" w:eastAsia="宋体" w:hAnsi="Times New Roman" w:cs="Times New Roman"/>
                <w:sz w:val="18"/>
                <w:szCs w:val="18"/>
              </w:rPr>
              <w:t>号</w:t>
            </w: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号楼</w:t>
            </w:r>
            <w:r w:rsidRPr="005A284F">
              <w:rPr>
                <w:rFonts w:ascii="Times New Roman" w:eastAsia="宋体" w:hAnsi="Times New Roman" w:cs="Times New Roman"/>
                <w:sz w:val="18"/>
                <w:szCs w:val="18"/>
              </w:rPr>
              <w:t>901</w:t>
            </w:r>
            <w:r w:rsidRPr="005A284F">
              <w:rPr>
                <w:rFonts w:ascii="Times New Roman" w:eastAsia="宋体" w:hAnsi="Times New Roman" w:cs="Times New Roman"/>
                <w:sz w:val="18"/>
                <w:szCs w:val="18"/>
              </w:rPr>
              <w:t>户</w:t>
            </w:r>
          </w:p>
        </w:tc>
        <w:tc>
          <w:tcPr>
            <w:tcW w:w="1205" w:type="dxa"/>
            <w:tcBorders>
              <w:top w:val="single" w:sz="2" w:space="0" w:color="auto"/>
              <w:left w:val="single" w:sz="2" w:space="0" w:color="auto"/>
              <w:bottom w:val="single" w:sz="2" w:space="0" w:color="auto"/>
              <w:right w:val="single" w:sz="2" w:space="0" w:color="auto"/>
            </w:tcBorders>
            <w:vAlign w:val="center"/>
          </w:tcPr>
          <w:p w14:paraId="2DB30D3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销售食品</w:t>
            </w:r>
          </w:p>
        </w:tc>
        <w:tc>
          <w:tcPr>
            <w:tcW w:w="1205" w:type="dxa"/>
            <w:tcBorders>
              <w:top w:val="single" w:sz="2" w:space="0" w:color="auto"/>
              <w:left w:val="single" w:sz="2" w:space="0" w:color="auto"/>
              <w:bottom w:val="single" w:sz="2" w:space="0" w:color="auto"/>
              <w:right w:val="single" w:sz="2" w:space="0" w:color="auto"/>
            </w:tcBorders>
            <w:vAlign w:val="center"/>
          </w:tcPr>
          <w:p w14:paraId="490DD52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2B66C5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60.00%</w:t>
            </w:r>
          </w:p>
        </w:tc>
        <w:tc>
          <w:tcPr>
            <w:tcW w:w="1205" w:type="dxa"/>
            <w:tcBorders>
              <w:top w:val="single" w:sz="2" w:space="0" w:color="auto"/>
              <w:left w:val="single" w:sz="2" w:space="0" w:color="auto"/>
              <w:bottom w:val="single" w:sz="2" w:space="0" w:color="auto"/>
              <w:right w:val="single" w:sz="2" w:space="0" w:color="auto"/>
            </w:tcBorders>
            <w:vAlign w:val="center"/>
          </w:tcPr>
          <w:p w14:paraId="1B68250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设立</w:t>
            </w:r>
          </w:p>
        </w:tc>
      </w:tr>
      <w:tr w:rsidR="006C011D" w:rsidRPr="005A284F" w14:paraId="32C3F2B1" w14:textId="77777777" w:rsidTr="00A27B2B">
        <w:trPr>
          <w:trHeight w:val="240"/>
          <w:jc w:val="center"/>
        </w:trPr>
        <w:tc>
          <w:tcPr>
            <w:tcW w:w="1083" w:type="dxa"/>
            <w:tcBorders>
              <w:top w:val="single" w:sz="2" w:space="0" w:color="auto"/>
              <w:left w:val="single" w:sz="2" w:space="0" w:color="auto"/>
              <w:bottom w:val="single" w:sz="2" w:space="0" w:color="auto"/>
              <w:right w:val="single" w:sz="2" w:space="0" w:color="auto"/>
            </w:tcBorders>
            <w:vAlign w:val="center"/>
          </w:tcPr>
          <w:p w14:paraId="764767A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成都龙大科技有限公司（原名成都逸享潮代供应链管理有限公司）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2C619CB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1,000,000.00</w:t>
            </w:r>
          </w:p>
        </w:tc>
        <w:tc>
          <w:tcPr>
            <w:tcW w:w="1205" w:type="dxa"/>
            <w:tcBorders>
              <w:top w:val="single" w:sz="2" w:space="0" w:color="auto"/>
              <w:left w:val="single" w:sz="2" w:space="0" w:color="auto"/>
              <w:bottom w:val="single" w:sz="2" w:space="0" w:color="auto"/>
              <w:right w:val="single" w:sz="2" w:space="0" w:color="auto"/>
            </w:tcBorders>
            <w:vAlign w:val="center"/>
          </w:tcPr>
          <w:p w14:paraId="37C4C60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四川省成都市</w:t>
            </w:r>
          </w:p>
        </w:tc>
        <w:tc>
          <w:tcPr>
            <w:tcW w:w="1205" w:type="dxa"/>
            <w:tcBorders>
              <w:top w:val="single" w:sz="2" w:space="0" w:color="auto"/>
              <w:left w:val="single" w:sz="2" w:space="0" w:color="auto"/>
              <w:bottom w:val="single" w:sz="2" w:space="0" w:color="auto"/>
              <w:right w:val="single" w:sz="2" w:space="0" w:color="auto"/>
            </w:tcBorders>
            <w:vAlign w:val="center"/>
          </w:tcPr>
          <w:p w14:paraId="12ED0BC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四川省成都市天府新区华阳街道华府大道</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段</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号</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栋</w:t>
            </w:r>
            <w:r w:rsidRPr="005A284F">
              <w:rPr>
                <w:rFonts w:ascii="Times New Roman" w:eastAsia="宋体" w:hAnsi="Times New Roman" w:cs="Times New Roman"/>
                <w:sz w:val="18"/>
                <w:szCs w:val="18"/>
              </w:rPr>
              <w:t>35</w:t>
            </w:r>
            <w:r w:rsidRPr="005A284F">
              <w:rPr>
                <w:rFonts w:ascii="Times New Roman" w:eastAsia="宋体" w:hAnsi="Times New Roman" w:cs="Times New Roman"/>
                <w:sz w:val="18"/>
                <w:szCs w:val="18"/>
              </w:rPr>
              <w:t>层</w:t>
            </w: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号</w:t>
            </w:r>
          </w:p>
        </w:tc>
        <w:tc>
          <w:tcPr>
            <w:tcW w:w="1205" w:type="dxa"/>
            <w:tcBorders>
              <w:top w:val="single" w:sz="2" w:space="0" w:color="auto"/>
              <w:left w:val="single" w:sz="2" w:space="0" w:color="auto"/>
              <w:bottom w:val="single" w:sz="2" w:space="0" w:color="auto"/>
              <w:right w:val="single" w:sz="2" w:space="0" w:color="auto"/>
            </w:tcBorders>
            <w:vAlign w:val="center"/>
          </w:tcPr>
          <w:p w14:paraId="2AEA7F7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供应链管理服务</w:t>
            </w:r>
          </w:p>
        </w:tc>
        <w:tc>
          <w:tcPr>
            <w:tcW w:w="1205" w:type="dxa"/>
            <w:tcBorders>
              <w:top w:val="single" w:sz="2" w:space="0" w:color="auto"/>
              <w:left w:val="single" w:sz="2" w:space="0" w:color="auto"/>
              <w:bottom w:val="single" w:sz="2" w:space="0" w:color="auto"/>
              <w:right w:val="single" w:sz="2" w:space="0" w:color="auto"/>
            </w:tcBorders>
            <w:vAlign w:val="center"/>
          </w:tcPr>
          <w:p w14:paraId="01295A8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2A8242B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24601E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设立</w:t>
            </w:r>
          </w:p>
        </w:tc>
      </w:tr>
      <w:tr w:rsidR="006C011D" w:rsidRPr="005A284F" w14:paraId="6796723A" w14:textId="77777777" w:rsidTr="00A27B2B">
        <w:trPr>
          <w:trHeight w:val="240"/>
          <w:jc w:val="center"/>
        </w:trPr>
        <w:tc>
          <w:tcPr>
            <w:tcW w:w="1083" w:type="dxa"/>
            <w:tcBorders>
              <w:top w:val="single" w:sz="2" w:space="0" w:color="auto"/>
              <w:left w:val="single" w:sz="2" w:space="0" w:color="auto"/>
              <w:bottom w:val="single" w:sz="2" w:space="0" w:color="auto"/>
              <w:right w:val="single" w:sz="2" w:space="0" w:color="auto"/>
            </w:tcBorders>
            <w:vAlign w:val="center"/>
          </w:tcPr>
          <w:p w14:paraId="2242448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潍坊振祥食品销售有限公司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634B827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100,000.00</w:t>
            </w:r>
          </w:p>
        </w:tc>
        <w:tc>
          <w:tcPr>
            <w:tcW w:w="1205" w:type="dxa"/>
            <w:tcBorders>
              <w:top w:val="single" w:sz="2" w:space="0" w:color="auto"/>
              <w:left w:val="single" w:sz="2" w:space="0" w:color="auto"/>
              <w:bottom w:val="single" w:sz="2" w:space="0" w:color="auto"/>
              <w:right w:val="single" w:sz="2" w:space="0" w:color="auto"/>
            </w:tcBorders>
            <w:vAlign w:val="center"/>
          </w:tcPr>
          <w:p w14:paraId="62D8515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山东省潍坊市</w:t>
            </w:r>
          </w:p>
        </w:tc>
        <w:tc>
          <w:tcPr>
            <w:tcW w:w="1205" w:type="dxa"/>
            <w:tcBorders>
              <w:top w:val="single" w:sz="2" w:space="0" w:color="auto"/>
              <w:left w:val="single" w:sz="2" w:space="0" w:color="auto"/>
              <w:bottom w:val="single" w:sz="2" w:space="0" w:color="auto"/>
              <w:right w:val="single" w:sz="2" w:space="0" w:color="auto"/>
            </w:tcBorders>
            <w:vAlign w:val="center"/>
          </w:tcPr>
          <w:p w14:paraId="1FB54F1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山东省潍坊市安丘市景芝镇淮安路</w:t>
            </w:r>
            <w:r w:rsidRPr="005A284F">
              <w:rPr>
                <w:rFonts w:ascii="Times New Roman" w:eastAsia="宋体" w:hAnsi="Times New Roman" w:cs="Times New Roman"/>
                <w:sz w:val="18"/>
                <w:szCs w:val="18"/>
              </w:rPr>
              <w:t>239</w:t>
            </w:r>
            <w:r w:rsidRPr="005A284F">
              <w:rPr>
                <w:rFonts w:ascii="Times New Roman" w:eastAsia="宋体" w:hAnsi="Times New Roman" w:cs="Times New Roman"/>
                <w:sz w:val="18"/>
                <w:szCs w:val="18"/>
              </w:rPr>
              <w:t>号振祥食品大门北</w:t>
            </w:r>
            <w:r w:rsidRPr="005A284F">
              <w:rPr>
                <w:rFonts w:ascii="Times New Roman" w:eastAsia="宋体" w:hAnsi="Times New Roman" w:cs="Times New Roman"/>
                <w:sz w:val="18"/>
                <w:szCs w:val="18"/>
              </w:rPr>
              <w:t>30</w:t>
            </w:r>
            <w:r w:rsidRPr="005A284F">
              <w:rPr>
                <w:rFonts w:ascii="Times New Roman" w:eastAsia="宋体" w:hAnsi="Times New Roman" w:cs="Times New Roman"/>
                <w:sz w:val="18"/>
                <w:szCs w:val="18"/>
              </w:rPr>
              <w:t>米</w:t>
            </w:r>
          </w:p>
        </w:tc>
        <w:tc>
          <w:tcPr>
            <w:tcW w:w="1205" w:type="dxa"/>
            <w:tcBorders>
              <w:top w:val="single" w:sz="2" w:space="0" w:color="auto"/>
              <w:left w:val="single" w:sz="2" w:space="0" w:color="auto"/>
              <w:bottom w:val="single" w:sz="2" w:space="0" w:color="auto"/>
              <w:right w:val="single" w:sz="2" w:space="0" w:color="auto"/>
            </w:tcBorders>
            <w:vAlign w:val="center"/>
          </w:tcPr>
          <w:p w14:paraId="09A8396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销售食品</w:t>
            </w:r>
          </w:p>
        </w:tc>
        <w:tc>
          <w:tcPr>
            <w:tcW w:w="1205" w:type="dxa"/>
            <w:tcBorders>
              <w:top w:val="single" w:sz="2" w:space="0" w:color="auto"/>
              <w:left w:val="single" w:sz="2" w:space="0" w:color="auto"/>
              <w:bottom w:val="single" w:sz="2" w:space="0" w:color="auto"/>
              <w:right w:val="single" w:sz="2" w:space="0" w:color="auto"/>
            </w:tcBorders>
            <w:vAlign w:val="center"/>
          </w:tcPr>
          <w:p w14:paraId="15AF6E5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6293A2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70.00%</w:t>
            </w:r>
          </w:p>
        </w:tc>
        <w:tc>
          <w:tcPr>
            <w:tcW w:w="1205" w:type="dxa"/>
            <w:tcBorders>
              <w:top w:val="single" w:sz="2" w:space="0" w:color="auto"/>
              <w:left w:val="single" w:sz="2" w:space="0" w:color="auto"/>
              <w:bottom w:val="single" w:sz="2" w:space="0" w:color="auto"/>
              <w:right w:val="single" w:sz="2" w:space="0" w:color="auto"/>
            </w:tcBorders>
            <w:vAlign w:val="center"/>
          </w:tcPr>
          <w:p w14:paraId="76A9B52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设立</w:t>
            </w:r>
          </w:p>
        </w:tc>
      </w:tr>
      <w:tr w:rsidR="006C011D" w:rsidRPr="005A284F" w14:paraId="3E212584" w14:textId="77777777" w:rsidTr="00A27B2B">
        <w:trPr>
          <w:trHeight w:val="240"/>
          <w:jc w:val="center"/>
        </w:trPr>
        <w:tc>
          <w:tcPr>
            <w:tcW w:w="1083" w:type="dxa"/>
            <w:tcBorders>
              <w:top w:val="single" w:sz="2" w:space="0" w:color="auto"/>
              <w:left w:val="single" w:sz="2" w:space="0" w:color="auto"/>
              <w:bottom w:val="single" w:sz="2" w:space="0" w:color="auto"/>
              <w:right w:val="single" w:sz="2" w:space="0" w:color="auto"/>
            </w:tcBorders>
            <w:vAlign w:val="center"/>
          </w:tcPr>
          <w:p w14:paraId="11A9009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龙大美食</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北京</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食品科技有限公司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1B88CC2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5,000,000.00</w:t>
            </w:r>
          </w:p>
        </w:tc>
        <w:tc>
          <w:tcPr>
            <w:tcW w:w="1205" w:type="dxa"/>
            <w:tcBorders>
              <w:top w:val="single" w:sz="2" w:space="0" w:color="auto"/>
              <w:left w:val="single" w:sz="2" w:space="0" w:color="auto"/>
              <w:bottom w:val="single" w:sz="2" w:space="0" w:color="auto"/>
              <w:right w:val="single" w:sz="2" w:space="0" w:color="auto"/>
            </w:tcBorders>
            <w:vAlign w:val="center"/>
          </w:tcPr>
          <w:p w14:paraId="6A0C63C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北京市经济技术开发区</w:t>
            </w:r>
          </w:p>
        </w:tc>
        <w:tc>
          <w:tcPr>
            <w:tcW w:w="1205" w:type="dxa"/>
            <w:tcBorders>
              <w:top w:val="single" w:sz="2" w:space="0" w:color="auto"/>
              <w:left w:val="single" w:sz="2" w:space="0" w:color="auto"/>
              <w:bottom w:val="single" w:sz="2" w:space="0" w:color="auto"/>
              <w:right w:val="single" w:sz="2" w:space="0" w:color="auto"/>
            </w:tcBorders>
            <w:vAlign w:val="center"/>
          </w:tcPr>
          <w:p w14:paraId="785BEBC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北京市北京经济技术开发区文化园西路</w:t>
            </w:r>
            <w:r w:rsidRPr="005A284F">
              <w:rPr>
                <w:rFonts w:ascii="Times New Roman" w:eastAsia="宋体" w:hAnsi="Times New Roman" w:cs="Times New Roman"/>
                <w:sz w:val="18"/>
                <w:szCs w:val="18"/>
              </w:rPr>
              <w:t>8</w:t>
            </w:r>
            <w:r w:rsidRPr="005A284F">
              <w:rPr>
                <w:rFonts w:ascii="Times New Roman" w:eastAsia="宋体" w:hAnsi="Times New Roman" w:cs="Times New Roman"/>
                <w:sz w:val="18"/>
                <w:szCs w:val="18"/>
              </w:rPr>
              <w:t>号院</w:t>
            </w:r>
            <w:r w:rsidRPr="005A284F">
              <w:rPr>
                <w:rFonts w:ascii="Times New Roman" w:eastAsia="宋体" w:hAnsi="Times New Roman" w:cs="Times New Roman"/>
                <w:sz w:val="18"/>
                <w:szCs w:val="18"/>
              </w:rPr>
              <w:t>41</w:t>
            </w:r>
            <w:r w:rsidRPr="005A284F">
              <w:rPr>
                <w:rFonts w:ascii="Times New Roman" w:eastAsia="宋体" w:hAnsi="Times New Roman" w:cs="Times New Roman"/>
                <w:sz w:val="18"/>
                <w:szCs w:val="18"/>
              </w:rPr>
              <w:t>号楼</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层</w:t>
            </w:r>
            <w:r w:rsidRPr="005A284F">
              <w:rPr>
                <w:rFonts w:ascii="Times New Roman" w:eastAsia="宋体" w:hAnsi="Times New Roman" w:cs="Times New Roman"/>
                <w:sz w:val="18"/>
                <w:szCs w:val="18"/>
              </w:rPr>
              <w:t>102</w:t>
            </w:r>
          </w:p>
        </w:tc>
        <w:tc>
          <w:tcPr>
            <w:tcW w:w="1205" w:type="dxa"/>
            <w:tcBorders>
              <w:top w:val="single" w:sz="2" w:space="0" w:color="auto"/>
              <w:left w:val="single" w:sz="2" w:space="0" w:color="auto"/>
              <w:bottom w:val="single" w:sz="2" w:space="0" w:color="auto"/>
              <w:right w:val="single" w:sz="2" w:space="0" w:color="auto"/>
            </w:tcBorders>
            <w:vAlign w:val="center"/>
          </w:tcPr>
          <w:p w14:paraId="79713D7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食品销售</w:t>
            </w:r>
          </w:p>
        </w:tc>
        <w:tc>
          <w:tcPr>
            <w:tcW w:w="1205" w:type="dxa"/>
            <w:tcBorders>
              <w:top w:val="single" w:sz="2" w:space="0" w:color="auto"/>
              <w:left w:val="single" w:sz="2" w:space="0" w:color="auto"/>
              <w:bottom w:val="single" w:sz="2" w:space="0" w:color="auto"/>
              <w:right w:val="single" w:sz="2" w:space="0" w:color="auto"/>
            </w:tcBorders>
            <w:vAlign w:val="center"/>
          </w:tcPr>
          <w:p w14:paraId="0850923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6053B0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61B6D54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设立</w:t>
            </w:r>
          </w:p>
        </w:tc>
      </w:tr>
      <w:tr w:rsidR="006C011D" w:rsidRPr="005A284F" w14:paraId="1F011E0D" w14:textId="77777777" w:rsidTr="00A27B2B">
        <w:trPr>
          <w:trHeight w:val="240"/>
          <w:jc w:val="center"/>
        </w:trPr>
        <w:tc>
          <w:tcPr>
            <w:tcW w:w="1083" w:type="dxa"/>
            <w:tcBorders>
              <w:top w:val="single" w:sz="2" w:space="0" w:color="auto"/>
              <w:left w:val="single" w:sz="2" w:space="0" w:color="auto"/>
              <w:bottom w:val="single" w:sz="2" w:space="0" w:color="auto"/>
              <w:right w:val="single" w:sz="2" w:space="0" w:color="auto"/>
            </w:tcBorders>
            <w:vAlign w:val="center"/>
          </w:tcPr>
          <w:p w14:paraId="18A9042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龙大美食</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上海</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食品科技有限公司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271240A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5,000,000.00</w:t>
            </w:r>
          </w:p>
        </w:tc>
        <w:tc>
          <w:tcPr>
            <w:tcW w:w="1205" w:type="dxa"/>
            <w:tcBorders>
              <w:top w:val="single" w:sz="2" w:space="0" w:color="auto"/>
              <w:left w:val="single" w:sz="2" w:space="0" w:color="auto"/>
              <w:bottom w:val="single" w:sz="2" w:space="0" w:color="auto"/>
              <w:right w:val="single" w:sz="2" w:space="0" w:color="auto"/>
            </w:tcBorders>
            <w:vAlign w:val="center"/>
          </w:tcPr>
          <w:p w14:paraId="0246849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上海市青浦区</w:t>
            </w:r>
          </w:p>
        </w:tc>
        <w:tc>
          <w:tcPr>
            <w:tcW w:w="1205" w:type="dxa"/>
            <w:tcBorders>
              <w:top w:val="single" w:sz="2" w:space="0" w:color="auto"/>
              <w:left w:val="single" w:sz="2" w:space="0" w:color="auto"/>
              <w:bottom w:val="single" w:sz="2" w:space="0" w:color="auto"/>
              <w:right w:val="single" w:sz="2" w:space="0" w:color="auto"/>
            </w:tcBorders>
            <w:vAlign w:val="center"/>
          </w:tcPr>
          <w:p w14:paraId="66591A0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上海市闵行区江月路</w:t>
            </w:r>
            <w:r w:rsidRPr="005A284F">
              <w:rPr>
                <w:rFonts w:ascii="Times New Roman" w:eastAsia="宋体" w:hAnsi="Times New Roman" w:cs="Times New Roman"/>
                <w:sz w:val="18"/>
                <w:szCs w:val="18"/>
              </w:rPr>
              <w:t>999</w:t>
            </w:r>
            <w:r w:rsidRPr="005A284F">
              <w:rPr>
                <w:rFonts w:ascii="Times New Roman" w:eastAsia="宋体" w:hAnsi="Times New Roman" w:cs="Times New Roman"/>
                <w:sz w:val="18"/>
                <w:szCs w:val="18"/>
              </w:rPr>
              <w:t>号</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幢</w:t>
            </w:r>
            <w:r w:rsidRPr="005A284F">
              <w:rPr>
                <w:rFonts w:ascii="Times New Roman" w:eastAsia="宋体" w:hAnsi="Times New Roman" w:cs="Times New Roman"/>
                <w:sz w:val="18"/>
                <w:szCs w:val="18"/>
              </w:rPr>
              <w:t>309-A</w:t>
            </w:r>
            <w:r w:rsidRPr="005A284F">
              <w:rPr>
                <w:rFonts w:ascii="Times New Roman" w:eastAsia="宋体" w:hAnsi="Times New Roman" w:cs="Times New Roman"/>
                <w:sz w:val="18"/>
                <w:szCs w:val="18"/>
              </w:rPr>
              <w:t>室</w:t>
            </w:r>
          </w:p>
        </w:tc>
        <w:tc>
          <w:tcPr>
            <w:tcW w:w="1205" w:type="dxa"/>
            <w:tcBorders>
              <w:top w:val="single" w:sz="2" w:space="0" w:color="auto"/>
              <w:left w:val="single" w:sz="2" w:space="0" w:color="auto"/>
              <w:bottom w:val="single" w:sz="2" w:space="0" w:color="auto"/>
              <w:right w:val="single" w:sz="2" w:space="0" w:color="auto"/>
            </w:tcBorders>
            <w:vAlign w:val="center"/>
          </w:tcPr>
          <w:p w14:paraId="0348467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食品销售</w:t>
            </w:r>
          </w:p>
        </w:tc>
        <w:tc>
          <w:tcPr>
            <w:tcW w:w="1205" w:type="dxa"/>
            <w:tcBorders>
              <w:top w:val="single" w:sz="2" w:space="0" w:color="auto"/>
              <w:left w:val="single" w:sz="2" w:space="0" w:color="auto"/>
              <w:bottom w:val="single" w:sz="2" w:space="0" w:color="auto"/>
              <w:right w:val="single" w:sz="2" w:space="0" w:color="auto"/>
            </w:tcBorders>
            <w:vAlign w:val="center"/>
          </w:tcPr>
          <w:p w14:paraId="06C48F3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DB5E84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069BB87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设立</w:t>
            </w:r>
          </w:p>
        </w:tc>
      </w:tr>
      <w:tr w:rsidR="006C011D" w:rsidRPr="005A284F" w14:paraId="0E7B291A" w14:textId="77777777" w:rsidTr="00A27B2B">
        <w:trPr>
          <w:trHeight w:val="240"/>
          <w:jc w:val="center"/>
        </w:trPr>
        <w:tc>
          <w:tcPr>
            <w:tcW w:w="1083" w:type="dxa"/>
            <w:tcBorders>
              <w:top w:val="single" w:sz="2" w:space="0" w:color="auto"/>
              <w:left w:val="single" w:sz="2" w:space="0" w:color="auto"/>
              <w:bottom w:val="single" w:sz="2" w:space="0" w:color="auto"/>
              <w:right w:val="single" w:sz="2" w:space="0" w:color="auto"/>
            </w:tcBorders>
            <w:vAlign w:val="center"/>
          </w:tcPr>
          <w:p w14:paraId="08EAAA9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巴中龙大肉食品贸易有限公司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2DA05DB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14:paraId="7C37378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四川省巴中市</w:t>
            </w:r>
          </w:p>
        </w:tc>
        <w:tc>
          <w:tcPr>
            <w:tcW w:w="1205" w:type="dxa"/>
            <w:tcBorders>
              <w:top w:val="single" w:sz="2" w:space="0" w:color="auto"/>
              <w:left w:val="single" w:sz="2" w:space="0" w:color="auto"/>
              <w:bottom w:val="single" w:sz="2" w:space="0" w:color="auto"/>
              <w:right w:val="single" w:sz="2" w:space="0" w:color="auto"/>
            </w:tcBorders>
            <w:vAlign w:val="center"/>
          </w:tcPr>
          <w:p w14:paraId="6D5A02E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四川省巴中市恩阳区柳林镇盐井村食品工业园一号楼</w:t>
            </w:r>
          </w:p>
        </w:tc>
        <w:tc>
          <w:tcPr>
            <w:tcW w:w="1205" w:type="dxa"/>
            <w:tcBorders>
              <w:top w:val="single" w:sz="2" w:space="0" w:color="auto"/>
              <w:left w:val="single" w:sz="2" w:space="0" w:color="auto"/>
              <w:bottom w:val="single" w:sz="2" w:space="0" w:color="auto"/>
              <w:right w:val="single" w:sz="2" w:space="0" w:color="auto"/>
            </w:tcBorders>
            <w:vAlign w:val="center"/>
          </w:tcPr>
          <w:p w14:paraId="312ED94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食品销售</w:t>
            </w:r>
          </w:p>
        </w:tc>
        <w:tc>
          <w:tcPr>
            <w:tcW w:w="1205" w:type="dxa"/>
            <w:tcBorders>
              <w:top w:val="single" w:sz="2" w:space="0" w:color="auto"/>
              <w:left w:val="single" w:sz="2" w:space="0" w:color="auto"/>
              <w:bottom w:val="single" w:sz="2" w:space="0" w:color="auto"/>
              <w:right w:val="single" w:sz="2" w:space="0" w:color="auto"/>
            </w:tcBorders>
            <w:vAlign w:val="center"/>
          </w:tcPr>
          <w:p w14:paraId="6D53100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69B9B9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3AACB3D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设立</w:t>
            </w:r>
          </w:p>
        </w:tc>
      </w:tr>
      <w:tr w:rsidR="006C011D" w:rsidRPr="005A284F" w14:paraId="3A14750E" w14:textId="77777777" w:rsidTr="00A27B2B">
        <w:trPr>
          <w:trHeight w:val="240"/>
          <w:jc w:val="center"/>
        </w:trPr>
        <w:tc>
          <w:tcPr>
            <w:tcW w:w="1083" w:type="dxa"/>
            <w:tcBorders>
              <w:top w:val="single" w:sz="2" w:space="0" w:color="auto"/>
              <w:left w:val="single" w:sz="2" w:space="0" w:color="auto"/>
              <w:bottom w:val="single" w:sz="2" w:space="0" w:color="auto"/>
              <w:right w:val="single" w:sz="2" w:space="0" w:color="auto"/>
            </w:tcBorders>
            <w:vAlign w:val="center"/>
          </w:tcPr>
          <w:p w14:paraId="25E48B8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巴中龙大美食食品有限公司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4BCAC0D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14:paraId="3C55EF4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四川省巴中市</w:t>
            </w:r>
          </w:p>
        </w:tc>
        <w:tc>
          <w:tcPr>
            <w:tcW w:w="1205" w:type="dxa"/>
            <w:tcBorders>
              <w:top w:val="single" w:sz="2" w:space="0" w:color="auto"/>
              <w:left w:val="single" w:sz="2" w:space="0" w:color="auto"/>
              <w:bottom w:val="single" w:sz="2" w:space="0" w:color="auto"/>
              <w:right w:val="single" w:sz="2" w:space="0" w:color="auto"/>
            </w:tcBorders>
            <w:vAlign w:val="center"/>
          </w:tcPr>
          <w:p w14:paraId="47C9161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四川省巴中市恩阳区柳林镇盐井村食品工业园一号楼</w:t>
            </w:r>
          </w:p>
        </w:tc>
        <w:tc>
          <w:tcPr>
            <w:tcW w:w="1205" w:type="dxa"/>
            <w:tcBorders>
              <w:top w:val="single" w:sz="2" w:space="0" w:color="auto"/>
              <w:left w:val="single" w:sz="2" w:space="0" w:color="auto"/>
              <w:bottom w:val="single" w:sz="2" w:space="0" w:color="auto"/>
              <w:right w:val="single" w:sz="2" w:space="0" w:color="auto"/>
            </w:tcBorders>
            <w:vAlign w:val="center"/>
          </w:tcPr>
          <w:p w14:paraId="08622D8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生产、销售食品</w:t>
            </w:r>
          </w:p>
        </w:tc>
        <w:tc>
          <w:tcPr>
            <w:tcW w:w="1205" w:type="dxa"/>
            <w:tcBorders>
              <w:top w:val="single" w:sz="2" w:space="0" w:color="auto"/>
              <w:left w:val="single" w:sz="2" w:space="0" w:color="auto"/>
              <w:bottom w:val="single" w:sz="2" w:space="0" w:color="auto"/>
              <w:right w:val="single" w:sz="2" w:space="0" w:color="auto"/>
            </w:tcBorders>
            <w:vAlign w:val="center"/>
          </w:tcPr>
          <w:p w14:paraId="3979697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01CFB06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7AF45C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设立</w:t>
            </w:r>
          </w:p>
        </w:tc>
      </w:tr>
    </w:tbl>
    <w:p w14:paraId="3DDB6670"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在子公司的持股比例不同于表决权比例的说明：</w:t>
      </w:r>
    </w:p>
    <w:p w14:paraId="24F5B40D" w14:textId="77777777" w:rsidR="000309B5" w:rsidRPr="005A284F" w:rsidRDefault="00000000">
      <w:pPr>
        <w:pStyle w:val="a3"/>
        <w:divId w:val="875234140"/>
        <w:rPr>
          <w:rFonts w:ascii="Times New Roman" w:hAnsi="Times New Roman" w:cs="Times New Roman"/>
          <w:sz w:val="18"/>
          <w:szCs w:val="18"/>
        </w:rPr>
      </w:pPr>
      <w:r w:rsidRPr="005A284F">
        <w:rPr>
          <w:rFonts w:ascii="Times New Roman" w:hAnsi="Times New Roman" w:cs="Times New Roman"/>
          <w:sz w:val="18"/>
          <w:szCs w:val="18"/>
        </w:rPr>
        <w:t>无</w:t>
      </w:r>
    </w:p>
    <w:p w14:paraId="010916A4"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持有半数或以下表决权但仍控制被投资单位、以及持有半数以上表决权但不控制被投资单位的依据：</w:t>
      </w:r>
    </w:p>
    <w:p w14:paraId="54B642BB" w14:textId="77777777" w:rsidR="000309B5" w:rsidRPr="005A284F" w:rsidRDefault="00000000">
      <w:pPr>
        <w:pStyle w:val="a3"/>
        <w:divId w:val="600067095"/>
        <w:rPr>
          <w:rFonts w:ascii="Times New Roman" w:hAnsi="Times New Roman" w:cs="Times New Roman"/>
          <w:sz w:val="18"/>
          <w:szCs w:val="18"/>
        </w:rPr>
      </w:pPr>
      <w:r w:rsidRPr="005A284F">
        <w:rPr>
          <w:rFonts w:ascii="Times New Roman" w:hAnsi="Times New Roman" w:cs="Times New Roman"/>
          <w:sz w:val="18"/>
          <w:szCs w:val="18"/>
        </w:rPr>
        <w:t>无</w:t>
      </w:r>
    </w:p>
    <w:p w14:paraId="6F2ADFC4"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对于纳入合并范围的重要的结构化主体，控制的依据：</w:t>
      </w:r>
    </w:p>
    <w:p w14:paraId="5AD753B8" w14:textId="77777777" w:rsidR="000309B5" w:rsidRPr="005A284F" w:rsidRDefault="00000000">
      <w:pPr>
        <w:pStyle w:val="a3"/>
        <w:divId w:val="1115102692"/>
        <w:rPr>
          <w:rFonts w:ascii="Times New Roman" w:hAnsi="Times New Roman" w:cs="Times New Roman"/>
          <w:sz w:val="18"/>
          <w:szCs w:val="18"/>
        </w:rPr>
      </w:pPr>
      <w:r w:rsidRPr="005A284F">
        <w:rPr>
          <w:rFonts w:ascii="Times New Roman" w:hAnsi="Times New Roman" w:cs="Times New Roman"/>
          <w:sz w:val="18"/>
          <w:szCs w:val="18"/>
        </w:rPr>
        <w:t>无</w:t>
      </w:r>
    </w:p>
    <w:p w14:paraId="11B39AE1"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确定公司是代理人还是委托人的依据：</w:t>
      </w:r>
    </w:p>
    <w:p w14:paraId="324965D5" w14:textId="77777777" w:rsidR="000309B5" w:rsidRPr="005A284F" w:rsidRDefault="00000000">
      <w:pPr>
        <w:pStyle w:val="a3"/>
        <w:divId w:val="781920395"/>
        <w:rPr>
          <w:rFonts w:ascii="Times New Roman" w:hAnsi="Times New Roman" w:cs="Times New Roman"/>
          <w:sz w:val="18"/>
          <w:szCs w:val="18"/>
        </w:rPr>
      </w:pPr>
      <w:r w:rsidRPr="005A284F">
        <w:rPr>
          <w:rFonts w:ascii="Times New Roman" w:hAnsi="Times New Roman" w:cs="Times New Roman"/>
          <w:sz w:val="18"/>
          <w:szCs w:val="18"/>
        </w:rPr>
        <w:t>无</w:t>
      </w:r>
    </w:p>
    <w:p w14:paraId="44D469C8"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w:t>
      </w:r>
    </w:p>
    <w:p w14:paraId="23EAE97C" w14:textId="77777777" w:rsidR="000309B5" w:rsidRPr="005A284F" w:rsidRDefault="00000000">
      <w:pPr>
        <w:pStyle w:val="a3"/>
        <w:divId w:val="387653154"/>
        <w:rPr>
          <w:rFonts w:ascii="Times New Roman" w:hAnsi="Times New Roman" w:cs="Times New Roman"/>
          <w:sz w:val="18"/>
          <w:szCs w:val="18"/>
        </w:rPr>
      </w:pPr>
      <w:r w:rsidRPr="005A284F">
        <w:rPr>
          <w:rFonts w:ascii="Times New Roman" w:hAnsi="Times New Roman" w:cs="Times New Roman"/>
          <w:sz w:val="18"/>
          <w:szCs w:val="18"/>
        </w:rPr>
        <w:t>无</w:t>
      </w:r>
    </w:p>
    <w:p w14:paraId="060C0CFF" w14:textId="56C0AA93" w:rsidR="006C011D" w:rsidRPr="005A284F" w:rsidRDefault="00000000">
      <w:pPr>
        <w:keepNext/>
        <w:keepLines/>
        <w:spacing w:before="300" w:after="300" w:line="280" w:lineRule="exact"/>
        <w:outlineLvl w:val="3"/>
        <w:rPr>
          <w:rFonts w:ascii="Times New Roman" w:eastAsia="宋体" w:hAnsi="Times New Roman" w:cs="Times New Roman"/>
          <w:b/>
          <w:bCs/>
          <w:sz w:val="18"/>
          <w:szCs w:val="18"/>
        </w:rPr>
      </w:pPr>
      <w:bookmarkStart w:id="372" w:name="_Toc989315"/>
      <w:r w:rsidRPr="005A284F">
        <w:rPr>
          <w:rFonts w:ascii="Times New Roman" w:eastAsia="宋体" w:hAnsi="Times New Roman" w:cs="Times New Roman"/>
          <w:b/>
          <w:bCs/>
          <w:sz w:val="18"/>
          <w:szCs w:val="18"/>
        </w:rPr>
        <w:lastRenderedPageBreak/>
        <w:t>（</w:t>
      </w:r>
      <w:r w:rsidRPr="005A284F">
        <w:rPr>
          <w:rFonts w:ascii="Times New Roman" w:eastAsia="宋体" w:hAnsi="Times New Roman" w:cs="Times New Roman"/>
          <w:b/>
          <w:bCs/>
          <w:sz w:val="18"/>
          <w:szCs w:val="18"/>
        </w:rPr>
        <w:t>2</w:t>
      </w:r>
      <w:r w:rsidRPr="005A284F">
        <w:rPr>
          <w:rFonts w:ascii="Times New Roman" w:eastAsia="宋体" w:hAnsi="Times New Roman" w:cs="Times New Roman"/>
          <w:b/>
          <w:bCs/>
          <w:sz w:val="18"/>
          <w:szCs w:val="18"/>
        </w:rPr>
        <w:t>）重要的非全资子公司</w:t>
      </w:r>
      <w:bookmarkEnd w:id="372"/>
    </w:p>
    <w:p w14:paraId="01CF3C9C" w14:textId="77777777" w:rsidR="00AC3E7A" w:rsidRDefault="00AC3E7A">
      <w:pPr>
        <w:spacing w:before="40" w:after="40" w:line="240" w:lineRule="exact"/>
        <w:jc w:val="right"/>
        <w:rPr>
          <w:rFonts w:ascii="Times New Roman" w:eastAsia="宋体" w:hAnsi="Times New Roman" w:cs="Times New Roman"/>
          <w:sz w:val="18"/>
          <w:szCs w:val="18"/>
        </w:rPr>
      </w:pPr>
    </w:p>
    <w:p w14:paraId="0005908C" w14:textId="77777777" w:rsidR="00AC3E7A" w:rsidRDefault="00AC3E7A">
      <w:pPr>
        <w:spacing w:before="40" w:after="40" w:line="240" w:lineRule="exact"/>
        <w:jc w:val="right"/>
        <w:rPr>
          <w:rFonts w:ascii="Times New Roman" w:eastAsia="宋体" w:hAnsi="Times New Roman" w:cs="Times New Roman"/>
          <w:sz w:val="18"/>
          <w:szCs w:val="18"/>
        </w:rPr>
      </w:pPr>
    </w:p>
    <w:p w14:paraId="029BC42E" w14:textId="77777777" w:rsidR="00AC3E7A" w:rsidRDefault="00AC3E7A">
      <w:pPr>
        <w:spacing w:before="40" w:after="40" w:line="240" w:lineRule="exact"/>
        <w:jc w:val="right"/>
        <w:rPr>
          <w:rFonts w:ascii="Times New Roman" w:eastAsia="宋体" w:hAnsi="Times New Roman" w:cs="Times New Roman"/>
          <w:sz w:val="18"/>
          <w:szCs w:val="18"/>
        </w:rPr>
      </w:pPr>
    </w:p>
    <w:p w14:paraId="175B490A" w14:textId="7086E8BE"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C011D" w:rsidRPr="005A284F" w14:paraId="65EEB72D" w14:textId="77777777" w:rsidTr="00A27B2B">
        <w:trPr>
          <w:trHeight w:val="240"/>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40DB32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子公司名称</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C9F246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少数股东持股比例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0437A1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本期归属于少数股东的损益</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7AF06C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本期向少数股东宣告分派的股利</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0A35B3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期末少数股东权益余额</w:t>
            </w:r>
          </w:p>
        </w:tc>
      </w:tr>
      <w:tr w:rsidR="006C011D" w:rsidRPr="005A284F" w14:paraId="140C0C9E" w14:textId="77777777" w:rsidTr="00A27B2B">
        <w:trPr>
          <w:trHeight w:val="240"/>
          <w:jc w:val="center"/>
        </w:trPr>
        <w:tc>
          <w:tcPr>
            <w:tcW w:w="1928" w:type="dxa"/>
            <w:tcBorders>
              <w:top w:val="single" w:sz="2" w:space="0" w:color="auto"/>
              <w:left w:val="single" w:sz="2" w:space="0" w:color="auto"/>
              <w:bottom w:val="single" w:sz="2" w:space="0" w:color="auto"/>
              <w:right w:val="single" w:sz="2" w:space="0" w:color="auto"/>
            </w:tcBorders>
            <w:vAlign w:val="center"/>
          </w:tcPr>
          <w:p w14:paraId="11F618A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龙大牧原</w:t>
            </w:r>
          </w:p>
        </w:tc>
        <w:tc>
          <w:tcPr>
            <w:tcW w:w="1928" w:type="dxa"/>
            <w:tcBorders>
              <w:top w:val="single" w:sz="2" w:space="0" w:color="auto"/>
              <w:left w:val="single" w:sz="2" w:space="0" w:color="auto"/>
              <w:bottom w:val="single" w:sz="2" w:space="0" w:color="auto"/>
              <w:right w:val="single" w:sz="2" w:space="0" w:color="auto"/>
            </w:tcBorders>
            <w:vAlign w:val="center"/>
          </w:tcPr>
          <w:p w14:paraId="291CC0A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40.00%</w:t>
            </w:r>
          </w:p>
        </w:tc>
        <w:tc>
          <w:tcPr>
            <w:tcW w:w="1928" w:type="dxa"/>
            <w:tcBorders>
              <w:top w:val="single" w:sz="2" w:space="0" w:color="auto"/>
              <w:left w:val="single" w:sz="2" w:space="0" w:color="auto"/>
              <w:bottom w:val="single" w:sz="2" w:space="0" w:color="auto"/>
              <w:right w:val="single" w:sz="2" w:space="0" w:color="auto"/>
            </w:tcBorders>
            <w:vAlign w:val="center"/>
          </w:tcPr>
          <w:p w14:paraId="4F183F9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1,808,374.76</w:t>
            </w:r>
          </w:p>
        </w:tc>
        <w:tc>
          <w:tcPr>
            <w:tcW w:w="1928" w:type="dxa"/>
            <w:tcBorders>
              <w:top w:val="single" w:sz="2" w:space="0" w:color="auto"/>
              <w:left w:val="single" w:sz="2" w:space="0" w:color="auto"/>
              <w:bottom w:val="single" w:sz="2" w:space="0" w:color="auto"/>
              <w:right w:val="single" w:sz="2" w:space="0" w:color="auto"/>
            </w:tcBorders>
            <w:vAlign w:val="center"/>
          </w:tcPr>
          <w:p w14:paraId="704BFA5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DCFB2D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124,575,322.16</w:t>
            </w:r>
          </w:p>
        </w:tc>
      </w:tr>
      <w:tr w:rsidR="006C011D" w:rsidRPr="005A284F" w14:paraId="6CD39972" w14:textId="77777777" w:rsidTr="00A27B2B">
        <w:trPr>
          <w:trHeight w:val="240"/>
          <w:jc w:val="center"/>
        </w:trPr>
        <w:tc>
          <w:tcPr>
            <w:tcW w:w="1928" w:type="dxa"/>
            <w:tcBorders>
              <w:top w:val="single" w:sz="2" w:space="0" w:color="auto"/>
              <w:left w:val="single" w:sz="2" w:space="0" w:color="auto"/>
              <w:bottom w:val="single" w:sz="2" w:space="0" w:color="auto"/>
              <w:right w:val="single" w:sz="2" w:space="0" w:color="auto"/>
            </w:tcBorders>
            <w:vAlign w:val="center"/>
          </w:tcPr>
          <w:p w14:paraId="2D4CB33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潍坊振祥</w:t>
            </w:r>
          </w:p>
        </w:tc>
        <w:tc>
          <w:tcPr>
            <w:tcW w:w="1928" w:type="dxa"/>
            <w:tcBorders>
              <w:top w:val="single" w:sz="2" w:space="0" w:color="auto"/>
              <w:left w:val="single" w:sz="2" w:space="0" w:color="auto"/>
              <w:bottom w:val="single" w:sz="2" w:space="0" w:color="auto"/>
              <w:right w:val="single" w:sz="2" w:space="0" w:color="auto"/>
            </w:tcBorders>
            <w:vAlign w:val="center"/>
          </w:tcPr>
          <w:p w14:paraId="7283DFB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30.00%</w:t>
            </w:r>
          </w:p>
        </w:tc>
        <w:tc>
          <w:tcPr>
            <w:tcW w:w="1928" w:type="dxa"/>
            <w:tcBorders>
              <w:top w:val="single" w:sz="2" w:space="0" w:color="auto"/>
              <w:left w:val="single" w:sz="2" w:space="0" w:color="auto"/>
              <w:bottom w:val="single" w:sz="2" w:space="0" w:color="auto"/>
              <w:right w:val="single" w:sz="2" w:space="0" w:color="auto"/>
            </w:tcBorders>
            <w:vAlign w:val="center"/>
          </w:tcPr>
          <w:p w14:paraId="482ADCD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-13,265,531.50</w:t>
            </w:r>
          </w:p>
        </w:tc>
        <w:tc>
          <w:tcPr>
            <w:tcW w:w="1928" w:type="dxa"/>
            <w:tcBorders>
              <w:top w:val="single" w:sz="2" w:space="0" w:color="auto"/>
              <w:left w:val="single" w:sz="2" w:space="0" w:color="auto"/>
              <w:bottom w:val="single" w:sz="2" w:space="0" w:color="auto"/>
              <w:right w:val="single" w:sz="2" w:space="0" w:color="auto"/>
            </w:tcBorders>
            <w:vAlign w:val="center"/>
          </w:tcPr>
          <w:p w14:paraId="2F6781D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0EC1AF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15,853,765.30</w:t>
            </w:r>
          </w:p>
        </w:tc>
      </w:tr>
    </w:tbl>
    <w:p w14:paraId="0CB2A633"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子公司少数股东的持股比例不同于表决权比例的说明：</w:t>
      </w:r>
    </w:p>
    <w:p w14:paraId="3C9EA8B3" w14:textId="77777777" w:rsidR="000309B5" w:rsidRPr="005A284F" w:rsidRDefault="00000000">
      <w:pPr>
        <w:pStyle w:val="a3"/>
        <w:divId w:val="159469314"/>
        <w:rPr>
          <w:rFonts w:ascii="Times New Roman" w:hAnsi="Times New Roman" w:cs="Times New Roman"/>
          <w:sz w:val="18"/>
          <w:szCs w:val="18"/>
        </w:rPr>
      </w:pPr>
      <w:r w:rsidRPr="005A284F">
        <w:rPr>
          <w:rFonts w:ascii="Times New Roman" w:hAnsi="Times New Roman" w:cs="Times New Roman"/>
          <w:sz w:val="18"/>
          <w:szCs w:val="18"/>
        </w:rPr>
        <w:t>无</w:t>
      </w:r>
    </w:p>
    <w:p w14:paraId="2DBAC161"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w:t>
      </w:r>
    </w:p>
    <w:p w14:paraId="709984B8" w14:textId="77777777" w:rsidR="000309B5" w:rsidRPr="005A284F" w:rsidRDefault="00000000">
      <w:pPr>
        <w:pStyle w:val="a3"/>
        <w:divId w:val="1558009386"/>
        <w:rPr>
          <w:rFonts w:ascii="Times New Roman" w:hAnsi="Times New Roman" w:cs="Times New Roman"/>
          <w:sz w:val="18"/>
          <w:szCs w:val="18"/>
        </w:rPr>
      </w:pPr>
      <w:r w:rsidRPr="005A284F">
        <w:rPr>
          <w:rFonts w:ascii="Times New Roman" w:hAnsi="Times New Roman" w:cs="Times New Roman"/>
          <w:sz w:val="18"/>
          <w:szCs w:val="18"/>
        </w:rPr>
        <w:t>无</w:t>
      </w:r>
    </w:p>
    <w:p w14:paraId="4C8588EB" w14:textId="77777777" w:rsidR="006C011D" w:rsidRPr="005A284F" w:rsidRDefault="00000000">
      <w:pPr>
        <w:keepNext/>
        <w:keepLines/>
        <w:spacing w:before="300" w:after="300" w:line="280" w:lineRule="exact"/>
        <w:outlineLvl w:val="3"/>
        <w:rPr>
          <w:rFonts w:ascii="Times New Roman" w:eastAsia="宋体" w:hAnsi="Times New Roman" w:cs="Times New Roman"/>
          <w:b/>
          <w:bCs/>
          <w:sz w:val="18"/>
          <w:szCs w:val="18"/>
        </w:rPr>
      </w:pPr>
      <w:bookmarkStart w:id="373" w:name="_Toc989316"/>
      <w:r w:rsidRPr="005A284F">
        <w:rPr>
          <w:rFonts w:ascii="Times New Roman" w:eastAsia="宋体" w:hAnsi="Times New Roman" w:cs="Times New Roman"/>
          <w:b/>
          <w:bCs/>
          <w:sz w:val="18"/>
          <w:szCs w:val="18"/>
        </w:rPr>
        <w:t>（</w:t>
      </w:r>
      <w:r w:rsidRPr="005A284F">
        <w:rPr>
          <w:rFonts w:ascii="Times New Roman" w:eastAsia="宋体" w:hAnsi="Times New Roman" w:cs="Times New Roman"/>
          <w:b/>
          <w:bCs/>
          <w:sz w:val="18"/>
          <w:szCs w:val="18"/>
        </w:rPr>
        <w:t>3</w:t>
      </w:r>
      <w:r w:rsidRPr="005A284F">
        <w:rPr>
          <w:rFonts w:ascii="Times New Roman" w:eastAsia="宋体" w:hAnsi="Times New Roman" w:cs="Times New Roman"/>
          <w:b/>
          <w:bCs/>
          <w:sz w:val="18"/>
          <w:szCs w:val="18"/>
        </w:rPr>
        <w:t>）</w:t>
      </w:r>
      <w:r w:rsidRPr="005A284F">
        <w:rPr>
          <w:rFonts w:ascii="Times New Roman" w:eastAsia="宋体" w:hAnsi="Times New Roman" w:cs="Times New Roman"/>
          <w:b/>
          <w:bCs/>
          <w:sz w:val="18"/>
          <w:szCs w:val="18"/>
        </w:rPr>
        <w:t xml:space="preserve"> </w:t>
      </w:r>
      <w:r w:rsidRPr="005A284F">
        <w:rPr>
          <w:rFonts w:ascii="Times New Roman" w:eastAsia="宋体" w:hAnsi="Times New Roman" w:cs="Times New Roman"/>
          <w:b/>
          <w:bCs/>
          <w:sz w:val="18"/>
          <w:szCs w:val="18"/>
        </w:rPr>
        <w:t>重要非全资子公司的主要财务信息</w:t>
      </w:r>
      <w:bookmarkEnd w:id="373"/>
    </w:p>
    <w:p w14:paraId="39E285CC"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10412"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0" w:type="dxa"/>
          <w:right w:w="0" w:type="dxa"/>
        </w:tblCellMar>
        <w:tblLook w:val="04A0" w:firstRow="1" w:lastRow="0" w:firstColumn="1" w:lastColumn="0" w:noHBand="0" w:noVBand="1"/>
      </w:tblPr>
      <w:tblGrid>
        <w:gridCol w:w="799"/>
        <w:gridCol w:w="799"/>
        <w:gridCol w:w="799"/>
        <w:gridCol w:w="800"/>
        <w:gridCol w:w="800"/>
        <w:gridCol w:w="800"/>
        <w:gridCol w:w="806"/>
        <w:gridCol w:w="800"/>
        <w:gridCol w:w="800"/>
        <w:gridCol w:w="800"/>
        <w:gridCol w:w="800"/>
        <w:gridCol w:w="800"/>
        <w:gridCol w:w="803"/>
        <w:gridCol w:w="6"/>
      </w:tblGrid>
      <w:tr w:rsidR="006C011D" w:rsidRPr="005A284F" w14:paraId="2C4B53C7" w14:textId="77777777" w:rsidTr="001C2948">
        <w:trPr>
          <w:trHeight w:val="235"/>
          <w:jc w:val="center"/>
        </w:trPr>
        <w:tc>
          <w:tcPr>
            <w:tcW w:w="8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233C89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子公司名称</w:t>
            </w:r>
          </w:p>
        </w:tc>
        <w:tc>
          <w:tcPr>
            <w:tcW w:w="4806"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57A213E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4806"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7FE26BB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r>
      <w:tr w:rsidR="006C011D" w:rsidRPr="005A284F" w14:paraId="264DF116" w14:textId="77777777" w:rsidTr="001C2948">
        <w:trPr>
          <w:gridAfter w:val="1"/>
          <w:wAfter w:w="6" w:type="dxa"/>
          <w:trHeight w:val="235"/>
          <w:jc w:val="center"/>
        </w:trPr>
        <w:tc>
          <w:tcPr>
            <w:tcW w:w="80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0D9BC5A" w14:textId="77777777" w:rsidR="006C011D" w:rsidRPr="005A284F" w:rsidRDefault="006C011D">
            <w:pPr>
              <w:rPr>
                <w:rFonts w:ascii="Times New Roman" w:eastAsia="宋体" w:hAnsi="Times New Roman" w:cs="Times New Roman"/>
              </w:rPr>
            </w:pPr>
          </w:p>
        </w:tc>
        <w:tc>
          <w:tcPr>
            <w:tcW w:w="800" w:type="dxa"/>
            <w:tcBorders>
              <w:top w:val="single" w:sz="2" w:space="0" w:color="auto"/>
              <w:left w:val="single" w:sz="2" w:space="0" w:color="auto"/>
              <w:bottom w:val="single" w:sz="2" w:space="0" w:color="auto"/>
              <w:right w:val="single" w:sz="2" w:space="0" w:color="auto"/>
            </w:tcBorders>
            <w:shd w:val="clear" w:color="auto" w:fill="D3D3D3"/>
            <w:vAlign w:val="center"/>
          </w:tcPr>
          <w:p w14:paraId="1C1BB85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流动资产</w:t>
            </w:r>
          </w:p>
        </w:tc>
        <w:tc>
          <w:tcPr>
            <w:tcW w:w="800" w:type="dxa"/>
            <w:tcBorders>
              <w:top w:val="single" w:sz="2" w:space="0" w:color="auto"/>
              <w:left w:val="single" w:sz="2" w:space="0" w:color="auto"/>
              <w:bottom w:val="single" w:sz="2" w:space="0" w:color="auto"/>
              <w:right w:val="single" w:sz="2" w:space="0" w:color="auto"/>
            </w:tcBorders>
            <w:shd w:val="clear" w:color="auto" w:fill="D3D3D3"/>
            <w:vAlign w:val="center"/>
          </w:tcPr>
          <w:p w14:paraId="6E7BADC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非流动资产</w:t>
            </w:r>
          </w:p>
        </w:tc>
        <w:tc>
          <w:tcPr>
            <w:tcW w:w="800" w:type="dxa"/>
            <w:tcBorders>
              <w:top w:val="single" w:sz="2" w:space="0" w:color="auto"/>
              <w:left w:val="single" w:sz="2" w:space="0" w:color="auto"/>
              <w:bottom w:val="single" w:sz="2" w:space="0" w:color="auto"/>
              <w:right w:val="single" w:sz="2" w:space="0" w:color="auto"/>
            </w:tcBorders>
            <w:shd w:val="clear" w:color="auto" w:fill="D3D3D3"/>
            <w:vAlign w:val="center"/>
          </w:tcPr>
          <w:p w14:paraId="19C7ADA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资产合计</w:t>
            </w:r>
          </w:p>
        </w:tc>
        <w:tc>
          <w:tcPr>
            <w:tcW w:w="800" w:type="dxa"/>
            <w:tcBorders>
              <w:top w:val="single" w:sz="2" w:space="0" w:color="auto"/>
              <w:left w:val="single" w:sz="2" w:space="0" w:color="auto"/>
              <w:bottom w:val="single" w:sz="2" w:space="0" w:color="auto"/>
              <w:right w:val="single" w:sz="2" w:space="0" w:color="auto"/>
            </w:tcBorders>
            <w:shd w:val="clear" w:color="auto" w:fill="D3D3D3"/>
            <w:vAlign w:val="center"/>
          </w:tcPr>
          <w:p w14:paraId="1C5C9B4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流动负债</w:t>
            </w:r>
          </w:p>
        </w:tc>
        <w:tc>
          <w:tcPr>
            <w:tcW w:w="800" w:type="dxa"/>
            <w:tcBorders>
              <w:top w:val="single" w:sz="2" w:space="0" w:color="auto"/>
              <w:left w:val="single" w:sz="2" w:space="0" w:color="auto"/>
              <w:bottom w:val="single" w:sz="2" w:space="0" w:color="auto"/>
              <w:right w:val="single" w:sz="2" w:space="0" w:color="auto"/>
            </w:tcBorders>
            <w:shd w:val="clear" w:color="auto" w:fill="D3D3D3"/>
            <w:vAlign w:val="center"/>
          </w:tcPr>
          <w:p w14:paraId="27BDEFE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非流动负债</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3CAA179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负债合计</w:t>
            </w:r>
          </w:p>
        </w:tc>
        <w:tc>
          <w:tcPr>
            <w:tcW w:w="800" w:type="dxa"/>
            <w:tcBorders>
              <w:top w:val="single" w:sz="2" w:space="0" w:color="auto"/>
              <w:left w:val="single" w:sz="2" w:space="0" w:color="auto"/>
              <w:bottom w:val="single" w:sz="2" w:space="0" w:color="auto"/>
              <w:right w:val="single" w:sz="2" w:space="0" w:color="auto"/>
            </w:tcBorders>
            <w:shd w:val="clear" w:color="auto" w:fill="D3D3D3"/>
            <w:vAlign w:val="center"/>
          </w:tcPr>
          <w:p w14:paraId="6458A49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流动资产</w:t>
            </w:r>
          </w:p>
        </w:tc>
        <w:tc>
          <w:tcPr>
            <w:tcW w:w="800" w:type="dxa"/>
            <w:tcBorders>
              <w:top w:val="single" w:sz="2" w:space="0" w:color="auto"/>
              <w:left w:val="single" w:sz="2" w:space="0" w:color="auto"/>
              <w:bottom w:val="single" w:sz="2" w:space="0" w:color="auto"/>
              <w:right w:val="single" w:sz="2" w:space="0" w:color="auto"/>
            </w:tcBorders>
            <w:shd w:val="clear" w:color="auto" w:fill="D3D3D3"/>
            <w:vAlign w:val="center"/>
          </w:tcPr>
          <w:p w14:paraId="37AE5A4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非流动资产</w:t>
            </w:r>
          </w:p>
        </w:tc>
        <w:tc>
          <w:tcPr>
            <w:tcW w:w="800" w:type="dxa"/>
            <w:tcBorders>
              <w:top w:val="single" w:sz="2" w:space="0" w:color="auto"/>
              <w:left w:val="single" w:sz="2" w:space="0" w:color="auto"/>
              <w:bottom w:val="single" w:sz="2" w:space="0" w:color="auto"/>
              <w:right w:val="single" w:sz="2" w:space="0" w:color="auto"/>
            </w:tcBorders>
            <w:shd w:val="clear" w:color="auto" w:fill="D3D3D3"/>
            <w:vAlign w:val="center"/>
          </w:tcPr>
          <w:p w14:paraId="36C9CBC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资产合计</w:t>
            </w:r>
          </w:p>
        </w:tc>
        <w:tc>
          <w:tcPr>
            <w:tcW w:w="800" w:type="dxa"/>
            <w:tcBorders>
              <w:top w:val="single" w:sz="2" w:space="0" w:color="auto"/>
              <w:left w:val="single" w:sz="2" w:space="0" w:color="auto"/>
              <w:bottom w:val="single" w:sz="2" w:space="0" w:color="auto"/>
              <w:right w:val="single" w:sz="2" w:space="0" w:color="auto"/>
            </w:tcBorders>
            <w:shd w:val="clear" w:color="auto" w:fill="D3D3D3"/>
            <w:vAlign w:val="center"/>
          </w:tcPr>
          <w:p w14:paraId="769A77E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流动负债</w:t>
            </w:r>
          </w:p>
        </w:tc>
        <w:tc>
          <w:tcPr>
            <w:tcW w:w="800" w:type="dxa"/>
            <w:tcBorders>
              <w:top w:val="single" w:sz="2" w:space="0" w:color="auto"/>
              <w:left w:val="single" w:sz="2" w:space="0" w:color="auto"/>
              <w:bottom w:val="single" w:sz="2" w:space="0" w:color="auto"/>
              <w:right w:val="single" w:sz="2" w:space="0" w:color="auto"/>
            </w:tcBorders>
            <w:shd w:val="clear" w:color="auto" w:fill="D3D3D3"/>
            <w:vAlign w:val="center"/>
          </w:tcPr>
          <w:p w14:paraId="1EF72CD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非流动负债</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0B7F1B7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负债合计</w:t>
            </w:r>
          </w:p>
        </w:tc>
      </w:tr>
      <w:tr w:rsidR="006C011D" w:rsidRPr="005A284F" w14:paraId="1D5797E6" w14:textId="77777777" w:rsidTr="001C2948">
        <w:trPr>
          <w:gridAfter w:val="1"/>
          <w:wAfter w:w="6" w:type="dxa"/>
          <w:trHeight w:val="235"/>
          <w:jc w:val="center"/>
        </w:trPr>
        <w:tc>
          <w:tcPr>
            <w:tcW w:w="800" w:type="dxa"/>
            <w:tcBorders>
              <w:top w:val="single" w:sz="2" w:space="0" w:color="auto"/>
              <w:left w:val="single" w:sz="2" w:space="0" w:color="auto"/>
              <w:bottom w:val="single" w:sz="2" w:space="0" w:color="auto"/>
              <w:right w:val="single" w:sz="2" w:space="0" w:color="auto"/>
            </w:tcBorders>
            <w:vAlign w:val="center"/>
          </w:tcPr>
          <w:p w14:paraId="1726A3B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龙大牧原</w:t>
            </w:r>
          </w:p>
        </w:tc>
        <w:tc>
          <w:tcPr>
            <w:tcW w:w="800" w:type="dxa"/>
            <w:tcBorders>
              <w:top w:val="single" w:sz="2" w:space="0" w:color="auto"/>
              <w:left w:val="single" w:sz="2" w:space="0" w:color="auto"/>
              <w:bottom w:val="single" w:sz="2" w:space="0" w:color="auto"/>
              <w:right w:val="single" w:sz="2" w:space="0" w:color="auto"/>
            </w:tcBorders>
            <w:vAlign w:val="center"/>
          </w:tcPr>
          <w:p w14:paraId="4062C12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424,658,043.61</w:t>
            </w:r>
          </w:p>
        </w:tc>
        <w:tc>
          <w:tcPr>
            <w:tcW w:w="800" w:type="dxa"/>
            <w:tcBorders>
              <w:top w:val="single" w:sz="2" w:space="0" w:color="auto"/>
              <w:left w:val="single" w:sz="2" w:space="0" w:color="auto"/>
              <w:bottom w:val="single" w:sz="2" w:space="0" w:color="auto"/>
              <w:right w:val="single" w:sz="2" w:space="0" w:color="auto"/>
            </w:tcBorders>
            <w:vAlign w:val="center"/>
          </w:tcPr>
          <w:p w14:paraId="2799A93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200,731,255.79</w:t>
            </w:r>
          </w:p>
        </w:tc>
        <w:tc>
          <w:tcPr>
            <w:tcW w:w="800" w:type="dxa"/>
            <w:tcBorders>
              <w:top w:val="single" w:sz="2" w:space="0" w:color="auto"/>
              <w:left w:val="single" w:sz="2" w:space="0" w:color="auto"/>
              <w:bottom w:val="single" w:sz="2" w:space="0" w:color="auto"/>
              <w:right w:val="single" w:sz="2" w:space="0" w:color="auto"/>
            </w:tcBorders>
            <w:vAlign w:val="center"/>
          </w:tcPr>
          <w:p w14:paraId="4CFCD8C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625,389,299.40</w:t>
            </w:r>
          </w:p>
        </w:tc>
        <w:tc>
          <w:tcPr>
            <w:tcW w:w="800" w:type="dxa"/>
            <w:tcBorders>
              <w:top w:val="single" w:sz="2" w:space="0" w:color="auto"/>
              <w:left w:val="single" w:sz="2" w:space="0" w:color="auto"/>
              <w:bottom w:val="single" w:sz="2" w:space="0" w:color="auto"/>
              <w:right w:val="single" w:sz="2" w:space="0" w:color="auto"/>
            </w:tcBorders>
            <w:vAlign w:val="center"/>
          </w:tcPr>
          <w:p w14:paraId="1B16110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312,825,807.79</w:t>
            </w:r>
          </w:p>
        </w:tc>
        <w:tc>
          <w:tcPr>
            <w:tcW w:w="800" w:type="dxa"/>
            <w:tcBorders>
              <w:top w:val="single" w:sz="2" w:space="0" w:color="auto"/>
              <w:left w:val="single" w:sz="2" w:space="0" w:color="auto"/>
              <w:bottom w:val="single" w:sz="2" w:space="0" w:color="auto"/>
              <w:right w:val="single" w:sz="2" w:space="0" w:color="auto"/>
            </w:tcBorders>
            <w:vAlign w:val="center"/>
          </w:tcPr>
          <w:p w14:paraId="3899251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578,695.65</w:t>
            </w:r>
          </w:p>
        </w:tc>
        <w:tc>
          <w:tcPr>
            <w:tcW w:w="803" w:type="dxa"/>
            <w:tcBorders>
              <w:top w:val="single" w:sz="2" w:space="0" w:color="auto"/>
              <w:left w:val="single" w:sz="2" w:space="0" w:color="auto"/>
              <w:bottom w:val="single" w:sz="2" w:space="0" w:color="auto"/>
              <w:right w:val="single" w:sz="2" w:space="0" w:color="auto"/>
            </w:tcBorders>
            <w:vAlign w:val="center"/>
          </w:tcPr>
          <w:p w14:paraId="6630EFD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313,404,503.44</w:t>
            </w:r>
          </w:p>
        </w:tc>
        <w:tc>
          <w:tcPr>
            <w:tcW w:w="800" w:type="dxa"/>
            <w:tcBorders>
              <w:top w:val="single" w:sz="2" w:space="0" w:color="auto"/>
              <w:left w:val="single" w:sz="2" w:space="0" w:color="auto"/>
              <w:bottom w:val="single" w:sz="2" w:space="0" w:color="auto"/>
              <w:right w:val="single" w:sz="2" w:space="0" w:color="auto"/>
            </w:tcBorders>
            <w:vAlign w:val="center"/>
          </w:tcPr>
          <w:p w14:paraId="7E6E216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479,191,953.55</w:t>
            </w:r>
          </w:p>
        </w:tc>
        <w:tc>
          <w:tcPr>
            <w:tcW w:w="800" w:type="dxa"/>
            <w:tcBorders>
              <w:top w:val="single" w:sz="2" w:space="0" w:color="auto"/>
              <w:left w:val="single" w:sz="2" w:space="0" w:color="auto"/>
              <w:bottom w:val="single" w:sz="2" w:space="0" w:color="auto"/>
              <w:right w:val="single" w:sz="2" w:space="0" w:color="auto"/>
            </w:tcBorders>
            <w:vAlign w:val="center"/>
          </w:tcPr>
          <w:p w14:paraId="6204A13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202,137,824.11</w:t>
            </w:r>
          </w:p>
        </w:tc>
        <w:tc>
          <w:tcPr>
            <w:tcW w:w="800" w:type="dxa"/>
            <w:tcBorders>
              <w:top w:val="single" w:sz="2" w:space="0" w:color="auto"/>
              <w:left w:val="single" w:sz="2" w:space="0" w:color="auto"/>
              <w:bottom w:val="single" w:sz="2" w:space="0" w:color="auto"/>
              <w:right w:val="single" w:sz="2" w:space="0" w:color="auto"/>
            </w:tcBorders>
            <w:vAlign w:val="center"/>
          </w:tcPr>
          <w:p w14:paraId="66A9C6B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681,329,777.66</w:t>
            </w:r>
          </w:p>
        </w:tc>
        <w:tc>
          <w:tcPr>
            <w:tcW w:w="800" w:type="dxa"/>
            <w:tcBorders>
              <w:top w:val="single" w:sz="2" w:space="0" w:color="auto"/>
              <w:left w:val="single" w:sz="2" w:space="0" w:color="auto"/>
              <w:bottom w:val="single" w:sz="2" w:space="0" w:color="auto"/>
              <w:right w:val="single" w:sz="2" w:space="0" w:color="auto"/>
            </w:tcBorders>
            <w:vAlign w:val="center"/>
          </w:tcPr>
          <w:p w14:paraId="1A3977D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373,379,802.53</w:t>
            </w:r>
          </w:p>
        </w:tc>
        <w:tc>
          <w:tcPr>
            <w:tcW w:w="800" w:type="dxa"/>
            <w:tcBorders>
              <w:top w:val="single" w:sz="2" w:space="0" w:color="auto"/>
              <w:left w:val="single" w:sz="2" w:space="0" w:color="auto"/>
              <w:bottom w:val="single" w:sz="2" w:space="0" w:color="auto"/>
              <w:right w:val="single" w:sz="2" w:space="0" w:color="auto"/>
            </w:tcBorders>
            <w:vAlign w:val="center"/>
          </w:tcPr>
          <w:p w14:paraId="29B6EAF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810,078.81</w:t>
            </w:r>
          </w:p>
        </w:tc>
        <w:tc>
          <w:tcPr>
            <w:tcW w:w="803" w:type="dxa"/>
            <w:tcBorders>
              <w:top w:val="single" w:sz="2" w:space="0" w:color="auto"/>
              <w:left w:val="single" w:sz="2" w:space="0" w:color="auto"/>
              <w:bottom w:val="single" w:sz="2" w:space="0" w:color="auto"/>
              <w:right w:val="single" w:sz="2" w:space="0" w:color="auto"/>
            </w:tcBorders>
            <w:vAlign w:val="center"/>
          </w:tcPr>
          <w:p w14:paraId="695FDAB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374,189,881.34</w:t>
            </w:r>
          </w:p>
        </w:tc>
      </w:tr>
      <w:tr w:rsidR="006C011D" w:rsidRPr="005A284F" w14:paraId="689AD9C4" w14:textId="77777777" w:rsidTr="001C2948">
        <w:trPr>
          <w:gridAfter w:val="1"/>
          <w:wAfter w:w="6" w:type="dxa"/>
          <w:trHeight w:val="235"/>
          <w:jc w:val="center"/>
        </w:trPr>
        <w:tc>
          <w:tcPr>
            <w:tcW w:w="800" w:type="dxa"/>
            <w:tcBorders>
              <w:top w:val="single" w:sz="2" w:space="0" w:color="auto"/>
              <w:left w:val="single" w:sz="2" w:space="0" w:color="auto"/>
              <w:bottom w:val="single" w:sz="2" w:space="0" w:color="auto"/>
              <w:right w:val="single" w:sz="2" w:space="0" w:color="auto"/>
            </w:tcBorders>
            <w:vAlign w:val="center"/>
          </w:tcPr>
          <w:p w14:paraId="446B031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潍坊振祥</w:t>
            </w:r>
          </w:p>
        </w:tc>
        <w:tc>
          <w:tcPr>
            <w:tcW w:w="800" w:type="dxa"/>
            <w:tcBorders>
              <w:top w:val="single" w:sz="2" w:space="0" w:color="auto"/>
              <w:left w:val="single" w:sz="2" w:space="0" w:color="auto"/>
              <w:bottom w:val="single" w:sz="2" w:space="0" w:color="auto"/>
              <w:right w:val="single" w:sz="2" w:space="0" w:color="auto"/>
            </w:tcBorders>
            <w:vAlign w:val="center"/>
          </w:tcPr>
          <w:p w14:paraId="5863179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327,620,966.11</w:t>
            </w:r>
          </w:p>
        </w:tc>
        <w:tc>
          <w:tcPr>
            <w:tcW w:w="800" w:type="dxa"/>
            <w:tcBorders>
              <w:top w:val="single" w:sz="2" w:space="0" w:color="auto"/>
              <w:left w:val="single" w:sz="2" w:space="0" w:color="auto"/>
              <w:bottom w:val="single" w:sz="2" w:space="0" w:color="auto"/>
              <w:right w:val="single" w:sz="2" w:space="0" w:color="auto"/>
            </w:tcBorders>
            <w:vAlign w:val="center"/>
          </w:tcPr>
          <w:p w14:paraId="6C8E0F6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275,897,409.64</w:t>
            </w:r>
          </w:p>
        </w:tc>
        <w:tc>
          <w:tcPr>
            <w:tcW w:w="800" w:type="dxa"/>
            <w:tcBorders>
              <w:top w:val="single" w:sz="2" w:space="0" w:color="auto"/>
              <w:left w:val="single" w:sz="2" w:space="0" w:color="auto"/>
              <w:bottom w:val="single" w:sz="2" w:space="0" w:color="auto"/>
              <w:right w:val="single" w:sz="2" w:space="0" w:color="auto"/>
            </w:tcBorders>
            <w:vAlign w:val="center"/>
          </w:tcPr>
          <w:p w14:paraId="20F261D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603,518,375.75</w:t>
            </w:r>
          </w:p>
        </w:tc>
        <w:tc>
          <w:tcPr>
            <w:tcW w:w="800" w:type="dxa"/>
            <w:tcBorders>
              <w:top w:val="single" w:sz="2" w:space="0" w:color="auto"/>
              <w:left w:val="single" w:sz="2" w:space="0" w:color="auto"/>
              <w:bottom w:val="single" w:sz="2" w:space="0" w:color="auto"/>
              <w:right w:val="single" w:sz="2" w:space="0" w:color="auto"/>
            </w:tcBorders>
            <w:vAlign w:val="center"/>
          </w:tcPr>
          <w:p w14:paraId="0DA0A3E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513,662,263.14</w:t>
            </w:r>
          </w:p>
        </w:tc>
        <w:tc>
          <w:tcPr>
            <w:tcW w:w="800" w:type="dxa"/>
            <w:tcBorders>
              <w:top w:val="single" w:sz="2" w:space="0" w:color="auto"/>
              <w:left w:val="single" w:sz="2" w:space="0" w:color="auto"/>
              <w:bottom w:val="single" w:sz="2" w:space="0" w:color="auto"/>
              <w:right w:val="single" w:sz="2" w:space="0" w:color="auto"/>
            </w:tcBorders>
            <w:vAlign w:val="center"/>
          </w:tcPr>
          <w:p w14:paraId="66BD18E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36,405,738.81</w:t>
            </w:r>
          </w:p>
        </w:tc>
        <w:tc>
          <w:tcPr>
            <w:tcW w:w="803" w:type="dxa"/>
            <w:tcBorders>
              <w:top w:val="single" w:sz="2" w:space="0" w:color="auto"/>
              <w:left w:val="single" w:sz="2" w:space="0" w:color="auto"/>
              <w:bottom w:val="single" w:sz="2" w:space="0" w:color="auto"/>
              <w:right w:val="single" w:sz="2" w:space="0" w:color="auto"/>
            </w:tcBorders>
            <w:vAlign w:val="center"/>
          </w:tcPr>
          <w:p w14:paraId="7F7242E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550,068,001.95</w:t>
            </w:r>
          </w:p>
        </w:tc>
        <w:tc>
          <w:tcPr>
            <w:tcW w:w="800" w:type="dxa"/>
            <w:tcBorders>
              <w:top w:val="single" w:sz="2" w:space="0" w:color="auto"/>
              <w:left w:val="single" w:sz="2" w:space="0" w:color="auto"/>
              <w:bottom w:val="single" w:sz="2" w:space="0" w:color="auto"/>
              <w:right w:val="single" w:sz="2" w:space="0" w:color="auto"/>
            </w:tcBorders>
            <w:vAlign w:val="center"/>
          </w:tcPr>
          <w:p w14:paraId="5D7D1C4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289,610,153.00</w:t>
            </w:r>
          </w:p>
        </w:tc>
        <w:tc>
          <w:tcPr>
            <w:tcW w:w="800" w:type="dxa"/>
            <w:tcBorders>
              <w:top w:val="single" w:sz="2" w:space="0" w:color="auto"/>
              <w:left w:val="single" w:sz="2" w:space="0" w:color="auto"/>
              <w:bottom w:val="single" w:sz="2" w:space="0" w:color="auto"/>
              <w:right w:val="single" w:sz="2" w:space="0" w:color="auto"/>
            </w:tcBorders>
            <w:vAlign w:val="center"/>
          </w:tcPr>
          <w:p w14:paraId="23B224D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279,458,608.08</w:t>
            </w:r>
          </w:p>
        </w:tc>
        <w:tc>
          <w:tcPr>
            <w:tcW w:w="800" w:type="dxa"/>
            <w:tcBorders>
              <w:top w:val="single" w:sz="2" w:space="0" w:color="auto"/>
              <w:left w:val="single" w:sz="2" w:space="0" w:color="auto"/>
              <w:bottom w:val="single" w:sz="2" w:space="0" w:color="auto"/>
              <w:right w:val="single" w:sz="2" w:space="0" w:color="auto"/>
            </w:tcBorders>
            <w:vAlign w:val="center"/>
          </w:tcPr>
          <w:p w14:paraId="043CE2B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569,068,761.08</w:t>
            </w:r>
          </w:p>
        </w:tc>
        <w:tc>
          <w:tcPr>
            <w:tcW w:w="800" w:type="dxa"/>
            <w:tcBorders>
              <w:top w:val="single" w:sz="2" w:space="0" w:color="auto"/>
              <w:left w:val="single" w:sz="2" w:space="0" w:color="auto"/>
              <w:bottom w:val="single" w:sz="2" w:space="0" w:color="auto"/>
              <w:right w:val="single" w:sz="2" w:space="0" w:color="auto"/>
            </w:tcBorders>
            <w:vAlign w:val="center"/>
          </w:tcPr>
          <w:p w14:paraId="2ED160D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431,979,961.51</w:t>
            </w:r>
          </w:p>
        </w:tc>
        <w:tc>
          <w:tcPr>
            <w:tcW w:w="800" w:type="dxa"/>
            <w:tcBorders>
              <w:top w:val="single" w:sz="2" w:space="0" w:color="auto"/>
              <w:left w:val="single" w:sz="2" w:space="0" w:color="auto"/>
              <w:bottom w:val="single" w:sz="2" w:space="0" w:color="auto"/>
              <w:right w:val="single" w:sz="2" w:space="0" w:color="auto"/>
            </w:tcBorders>
            <w:vAlign w:val="center"/>
          </w:tcPr>
          <w:p w14:paraId="317BF47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36,603,420.43</w:t>
            </w:r>
          </w:p>
        </w:tc>
        <w:tc>
          <w:tcPr>
            <w:tcW w:w="803" w:type="dxa"/>
            <w:tcBorders>
              <w:top w:val="single" w:sz="2" w:space="0" w:color="auto"/>
              <w:left w:val="single" w:sz="2" w:space="0" w:color="auto"/>
              <w:bottom w:val="single" w:sz="2" w:space="0" w:color="auto"/>
              <w:right w:val="single" w:sz="2" w:space="0" w:color="auto"/>
            </w:tcBorders>
            <w:vAlign w:val="center"/>
          </w:tcPr>
          <w:p w14:paraId="7B5E381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468,583,381.94</w:t>
            </w:r>
          </w:p>
        </w:tc>
      </w:tr>
    </w:tbl>
    <w:p w14:paraId="17A12785" w14:textId="77777777" w:rsidR="006C011D" w:rsidRPr="005A284F" w:rsidRDefault="00000000">
      <w:pPr>
        <w:spacing w:before="120" w:after="12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10532" w:type="dxa"/>
        <w:tblInd w:w="-42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0" w:type="dxa"/>
          <w:right w:w="0" w:type="dxa"/>
        </w:tblCellMar>
        <w:tblLook w:val="04A0" w:firstRow="1" w:lastRow="0" w:firstColumn="1" w:lastColumn="0" w:noHBand="0" w:noVBand="1"/>
      </w:tblPr>
      <w:tblGrid>
        <w:gridCol w:w="882"/>
        <w:gridCol w:w="1467"/>
        <w:gridCol w:w="1196"/>
        <w:gridCol w:w="1134"/>
        <w:gridCol w:w="1276"/>
        <w:gridCol w:w="1249"/>
        <w:gridCol w:w="1109"/>
        <w:gridCol w:w="1109"/>
        <w:gridCol w:w="1110"/>
      </w:tblGrid>
      <w:tr w:rsidR="006C011D" w:rsidRPr="005A284F" w14:paraId="53F53C23" w14:textId="77777777" w:rsidTr="003524E1">
        <w:trPr>
          <w:trHeight w:val="234"/>
        </w:trPr>
        <w:tc>
          <w:tcPr>
            <w:tcW w:w="88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C75E1B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子公司名称</w:t>
            </w:r>
          </w:p>
        </w:tc>
        <w:tc>
          <w:tcPr>
            <w:tcW w:w="5073"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7160555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本期发生额</w:t>
            </w:r>
          </w:p>
        </w:tc>
        <w:tc>
          <w:tcPr>
            <w:tcW w:w="4577"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17B69EC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上期发生额</w:t>
            </w:r>
          </w:p>
        </w:tc>
      </w:tr>
      <w:tr w:rsidR="006C011D" w:rsidRPr="005A284F" w14:paraId="3613665D" w14:textId="77777777" w:rsidTr="003524E1">
        <w:trPr>
          <w:trHeight w:val="234"/>
        </w:trPr>
        <w:tc>
          <w:tcPr>
            <w:tcW w:w="88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210E562" w14:textId="77777777" w:rsidR="006C011D" w:rsidRPr="005A284F" w:rsidRDefault="006C011D">
            <w:pPr>
              <w:rPr>
                <w:rFonts w:ascii="Times New Roman" w:eastAsia="宋体" w:hAnsi="Times New Roman" w:cs="Times New Roman"/>
              </w:rPr>
            </w:pPr>
          </w:p>
        </w:tc>
        <w:tc>
          <w:tcPr>
            <w:tcW w:w="1467" w:type="dxa"/>
            <w:tcBorders>
              <w:top w:val="single" w:sz="2" w:space="0" w:color="auto"/>
              <w:left w:val="single" w:sz="2" w:space="0" w:color="auto"/>
              <w:bottom w:val="single" w:sz="2" w:space="0" w:color="auto"/>
              <w:right w:val="single" w:sz="2" w:space="0" w:color="auto"/>
            </w:tcBorders>
            <w:shd w:val="clear" w:color="auto" w:fill="D3D3D3"/>
            <w:vAlign w:val="center"/>
          </w:tcPr>
          <w:p w14:paraId="5D3C8BD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营业收入</w:t>
            </w:r>
          </w:p>
        </w:tc>
        <w:tc>
          <w:tcPr>
            <w:tcW w:w="1196" w:type="dxa"/>
            <w:tcBorders>
              <w:top w:val="single" w:sz="2" w:space="0" w:color="auto"/>
              <w:left w:val="single" w:sz="2" w:space="0" w:color="auto"/>
              <w:bottom w:val="single" w:sz="2" w:space="0" w:color="auto"/>
              <w:right w:val="single" w:sz="2" w:space="0" w:color="auto"/>
            </w:tcBorders>
            <w:shd w:val="clear" w:color="auto" w:fill="D3D3D3"/>
            <w:vAlign w:val="center"/>
          </w:tcPr>
          <w:p w14:paraId="76CD632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净利润</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40622B9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综合收益总额</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112FC22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经营活动现金流量</w:t>
            </w:r>
          </w:p>
        </w:tc>
        <w:tc>
          <w:tcPr>
            <w:tcW w:w="1249" w:type="dxa"/>
            <w:tcBorders>
              <w:top w:val="single" w:sz="2" w:space="0" w:color="auto"/>
              <w:left w:val="single" w:sz="2" w:space="0" w:color="auto"/>
              <w:bottom w:val="single" w:sz="2" w:space="0" w:color="auto"/>
              <w:right w:val="single" w:sz="2" w:space="0" w:color="auto"/>
            </w:tcBorders>
            <w:shd w:val="clear" w:color="auto" w:fill="D3D3D3"/>
            <w:vAlign w:val="center"/>
          </w:tcPr>
          <w:p w14:paraId="7037709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营业收入</w:t>
            </w:r>
          </w:p>
        </w:tc>
        <w:tc>
          <w:tcPr>
            <w:tcW w:w="1109" w:type="dxa"/>
            <w:tcBorders>
              <w:top w:val="single" w:sz="2" w:space="0" w:color="auto"/>
              <w:left w:val="single" w:sz="2" w:space="0" w:color="auto"/>
              <w:bottom w:val="single" w:sz="2" w:space="0" w:color="auto"/>
              <w:right w:val="single" w:sz="2" w:space="0" w:color="auto"/>
            </w:tcBorders>
            <w:shd w:val="clear" w:color="auto" w:fill="D3D3D3"/>
            <w:vAlign w:val="center"/>
          </w:tcPr>
          <w:p w14:paraId="19E7FDD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净利润</w:t>
            </w:r>
          </w:p>
        </w:tc>
        <w:tc>
          <w:tcPr>
            <w:tcW w:w="1109" w:type="dxa"/>
            <w:tcBorders>
              <w:top w:val="single" w:sz="2" w:space="0" w:color="auto"/>
              <w:left w:val="single" w:sz="2" w:space="0" w:color="auto"/>
              <w:bottom w:val="single" w:sz="2" w:space="0" w:color="auto"/>
              <w:right w:val="single" w:sz="2" w:space="0" w:color="auto"/>
            </w:tcBorders>
            <w:shd w:val="clear" w:color="auto" w:fill="D3D3D3"/>
            <w:vAlign w:val="center"/>
          </w:tcPr>
          <w:p w14:paraId="740213F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综合收益总额</w:t>
            </w:r>
          </w:p>
        </w:tc>
        <w:tc>
          <w:tcPr>
            <w:tcW w:w="1110" w:type="dxa"/>
            <w:tcBorders>
              <w:top w:val="single" w:sz="2" w:space="0" w:color="auto"/>
              <w:left w:val="single" w:sz="2" w:space="0" w:color="auto"/>
              <w:bottom w:val="single" w:sz="2" w:space="0" w:color="auto"/>
              <w:right w:val="single" w:sz="2" w:space="0" w:color="auto"/>
            </w:tcBorders>
            <w:shd w:val="clear" w:color="auto" w:fill="D3D3D3"/>
            <w:vAlign w:val="center"/>
          </w:tcPr>
          <w:p w14:paraId="0EC4FC6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经营活动现金流量</w:t>
            </w:r>
          </w:p>
        </w:tc>
      </w:tr>
      <w:tr w:rsidR="006C011D" w:rsidRPr="005A284F" w14:paraId="0A88D7F8" w14:textId="77777777" w:rsidTr="003524E1">
        <w:trPr>
          <w:trHeight w:val="234"/>
        </w:trPr>
        <w:tc>
          <w:tcPr>
            <w:tcW w:w="882" w:type="dxa"/>
            <w:tcBorders>
              <w:top w:val="single" w:sz="2" w:space="0" w:color="auto"/>
              <w:left w:val="single" w:sz="2" w:space="0" w:color="auto"/>
              <w:bottom w:val="single" w:sz="2" w:space="0" w:color="auto"/>
              <w:right w:val="single" w:sz="2" w:space="0" w:color="auto"/>
            </w:tcBorders>
            <w:vAlign w:val="center"/>
          </w:tcPr>
          <w:p w14:paraId="214AD60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龙大牧原</w:t>
            </w:r>
          </w:p>
        </w:tc>
        <w:tc>
          <w:tcPr>
            <w:tcW w:w="1467" w:type="dxa"/>
            <w:tcBorders>
              <w:top w:val="single" w:sz="2" w:space="0" w:color="auto"/>
              <w:left w:val="single" w:sz="2" w:space="0" w:color="auto"/>
              <w:bottom w:val="single" w:sz="2" w:space="0" w:color="auto"/>
              <w:right w:val="single" w:sz="2" w:space="0" w:color="auto"/>
            </w:tcBorders>
            <w:vAlign w:val="center"/>
          </w:tcPr>
          <w:p w14:paraId="4F02898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1,117,488,489.75</w:t>
            </w:r>
          </w:p>
        </w:tc>
        <w:tc>
          <w:tcPr>
            <w:tcW w:w="1196" w:type="dxa"/>
            <w:tcBorders>
              <w:top w:val="single" w:sz="2" w:space="0" w:color="auto"/>
              <w:left w:val="single" w:sz="2" w:space="0" w:color="auto"/>
              <w:bottom w:val="single" w:sz="2" w:space="0" w:color="auto"/>
              <w:right w:val="single" w:sz="2" w:space="0" w:color="auto"/>
            </w:tcBorders>
            <w:vAlign w:val="center"/>
          </w:tcPr>
          <w:p w14:paraId="2F6249C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4,844,899.64</w:t>
            </w:r>
          </w:p>
        </w:tc>
        <w:tc>
          <w:tcPr>
            <w:tcW w:w="1134" w:type="dxa"/>
            <w:tcBorders>
              <w:top w:val="single" w:sz="2" w:space="0" w:color="auto"/>
              <w:left w:val="single" w:sz="2" w:space="0" w:color="auto"/>
              <w:bottom w:val="single" w:sz="2" w:space="0" w:color="auto"/>
              <w:right w:val="single" w:sz="2" w:space="0" w:color="auto"/>
            </w:tcBorders>
            <w:vAlign w:val="center"/>
          </w:tcPr>
          <w:p w14:paraId="68B5DD7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4,844,899.64</w:t>
            </w:r>
          </w:p>
        </w:tc>
        <w:tc>
          <w:tcPr>
            <w:tcW w:w="1276" w:type="dxa"/>
            <w:tcBorders>
              <w:top w:val="single" w:sz="2" w:space="0" w:color="auto"/>
              <w:left w:val="single" w:sz="2" w:space="0" w:color="auto"/>
              <w:bottom w:val="single" w:sz="2" w:space="0" w:color="auto"/>
              <w:right w:val="single" w:sz="2" w:space="0" w:color="auto"/>
            </w:tcBorders>
            <w:vAlign w:val="center"/>
          </w:tcPr>
          <w:p w14:paraId="23FE0D9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-26,392,894.97</w:t>
            </w:r>
          </w:p>
        </w:tc>
        <w:tc>
          <w:tcPr>
            <w:tcW w:w="1249" w:type="dxa"/>
            <w:tcBorders>
              <w:top w:val="single" w:sz="2" w:space="0" w:color="auto"/>
              <w:left w:val="single" w:sz="2" w:space="0" w:color="auto"/>
              <w:bottom w:val="single" w:sz="2" w:space="0" w:color="auto"/>
              <w:right w:val="single" w:sz="2" w:space="0" w:color="auto"/>
            </w:tcBorders>
            <w:vAlign w:val="center"/>
          </w:tcPr>
          <w:p w14:paraId="645B971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997,237,220.35</w:t>
            </w:r>
          </w:p>
        </w:tc>
        <w:tc>
          <w:tcPr>
            <w:tcW w:w="1109" w:type="dxa"/>
            <w:tcBorders>
              <w:top w:val="single" w:sz="2" w:space="0" w:color="auto"/>
              <w:left w:val="single" w:sz="2" w:space="0" w:color="auto"/>
              <w:bottom w:val="single" w:sz="2" w:space="0" w:color="auto"/>
              <w:right w:val="single" w:sz="2" w:space="0" w:color="auto"/>
            </w:tcBorders>
            <w:vAlign w:val="center"/>
          </w:tcPr>
          <w:p w14:paraId="28C053A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-4,513,171.96</w:t>
            </w:r>
          </w:p>
        </w:tc>
        <w:tc>
          <w:tcPr>
            <w:tcW w:w="1109" w:type="dxa"/>
            <w:tcBorders>
              <w:top w:val="single" w:sz="2" w:space="0" w:color="auto"/>
              <w:left w:val="single" w:sz="2" w:space="0" w:color="auto"/>
              <w:bottom w:val="single" w:sz="2" w:space="0" w:color="auto"/>
              <w:right w:val="single" w:sz="2" w:space="0" w:color="auto"/>
            </w:tcBorders>
            <w:vAlign w:val="center"/>
          </w:tcPr>
          <w:p w14:paraId="75550E2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-4,513,171.96</w:t>
            </w:r>
          </w:p>
        </w:tc>
        <w:tc>
          <w:tcPr>
            <w:tcW w:w="1110" w:type="dxa"/>
            <w:tcBorders>
              <w:top w:val="single" w:sz="2" w:space="0" w:color="auto"/>
              <w:left w:val="single" w:sz="2" w:space="0" w:color="auto"/>
              <w:bottom w:val="single" w:sz="2" w:space="0" w:color="auto"/>
              <w:right w:val="single" w:sz="2" w:space="0" w:color="auto"/>
            </w:tcBorders>
            <w:vAlign w:val="center"/>
          </w:tcPr>
          <w:p w14:paraId="5B0C864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-16,346,096.91</w:t>
            </w:r>
          </w:p>
        </w:tc>
      </w:tr>
      <w:tr w:rsidR="006C011D" w:rsidRPr="005A284F" w14:paraId="576BA068" w14:textId="77777777" w:rsidTr="003524E1">
        <w:trPr>
          <w:trHeight w:val="234"/>
        </w:trPr>
        <w:tc>
          <w:tcPr>
            <w:tcW w:w="882" w:type="dxa"/>
            <w:tcBorders>
              <w:top w:val="single" w:sz="2" w:space="0" w:color="auto"/>
              <w:left w:val="single" w:sz="2" w:space="0" w:color="auto"/>
              <w:bottom w:val="single" w:sz="2" w:space="0" w:color="auto"/>
              <w:right w:val="single" w:sz="2" w:space="0" w:color="auto"/>
            </w:tcBorders>
            <w:vAlign w:val="center"/>
          </w:tcPr>
          <w:p w14:paraId="3ED20E1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潍坊振祥</w:t>
            </w:r>
          </w:p>
        </w:tc>
        <w:tc>
          <w:tcPr>
            <w:tcW w:w="1467" w:type="dxa"/>
            <w:tcBorders>
              <w:top w:val="single" w:sz="2" w:space="0" w:color="auto"/>
              <w:left w:val="single" w:sz="2" w:space="0" w:color="auto"/>
              <w:bottom w:val="single" w:sz="2" w:space="0" w:color="auto"/>
              <w:right w:val="single" w:sz="2" w:space="0" w:color="auto"/>
            </w:tcBorders>
            <w:vAlign w:val="center"/>
          </w:tcPr>
          <w:p w14:paraId="1B72C59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859,354,136.83</w:t>
            </w:r>
          </w:p>
        </w:tc>
        <w:tc>
          <w:tcPr>
            <w:tcW w:w="1196" w:type="dxa"/>
            <w:tcBorders>
              <w:top w:val="single" w:sz="2" w:space="0" w:color="auto"/>
              <w:left w:val="single" w:sz="2" w:space="0" w:color="auto"/>
              <w:bottom w:val="single" w:sz="2" w:space="0" w:color="auto"/>
              <w:right w:val="single" w:sz="2" w:space="0" w:color="auto"/>
            </w:tcBorders>
            <w:vAlign w:val="center"/>
          </w:tcPr>
          <w:p w14:paraId="1D13382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-47,035,005.34</w:t>
            </w:r>
          </w:p>
        </w:tc>
        <w:tc>
          <w:tcPr>
            <w:tcW w:w="1134" w:type="dxa"/>
            <w:tcBorders>
              <w:top w:val="single" w:sz="2" w:space="0" w:color="auto"/>
              <w:left w:val="single" w:sz="2" w:space="0" w:color="auto"/>
              <w:bottom w:val="single" w:sz="2" w:space="0" w:color="auto"/>
              <w:right w:val="single" w:sz="2" w:space="0" w:color="auto"/>
            </w:tcBorders>
            <w:vAlign w:val="center"/>
          </w:tcPr>
          <w:p w14:paraId="055D10A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-47,035,005.34</w:t>
            </w:r>
          </w:p>
        </w:tc>
        <w:tc>
          <w:tcPr>
            <w:tcW w:w="1276" w:type="dxa"/>
            <w:tcBorders>
              <w:top w:val="single" w:sz="2" w:space="0" w:color="auto"/>
              <w:left w:val="single" w:sz="2" w:space="0" w:color="auto"/>
              <w:bottom w:val="single" w:sz="2" w:space="0" w:color="auto"/>
              <w:right w:val="single" w:sz="2" w:space="0" w:color="auto"/>
            </w:tcBorders>
            <w:vAlign w:val="center"/>
          </w:tcPr>
          <w:p w14:paraId="5E546EC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-57,220,977.41</w:t>
            </w:r>
          </w:p>
        </w:tc>
        <w:tc>
          <w:tcPr>
            <w:tcW w:w="1249" w:type="dxa"/>
            <w:tcBorders>
              <w:top w:val="single" w:sz="2" w:space="0" w:color="auto"/>
              <w:left w:val="single" w:sz="2" w:space="0" w:color="auto"/>
              <w:bottom w:val="single" w:sz="2" w:space="0" w:color="auto"/>
              <w:right w:val="single" w:sz="2" w:space="0" w:color="auto"/>
            </w:tcBorders>
            <w:vAlign w:val="center"/>
          </w:tcPr>
          <w:p w14:paraId="682B4E5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909,632,586.32</w:t>
            </w:r>
          </w:p>
        </w:tc>
        <w:tc>
          <w:tcPr>
            <w:tcW w:w="1109" w:type="dxa"/>
            <w:tcBorders>
              <w:top w:val="single" w:sz="2" w:space="0" w:color="auto"/>
              <w:left w:val="single" w:sz="2" w:space="0" w:color="auto"/>
              <w:bottom w:val="single" w:sz="2" w:space="0" w:color="auto"/>
              <w:right w:val="single" w:sz="2" w:space="0" w:color="auto"/>
            </w:tcBorders>
            <w:vAlign w:val="center"/>
          </w:tcPr>
          <w:p w14:paraId="60685AD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-14,007,826.43</w:t>
            </w:r>
          </w:p>
        </w:tc>
        <w:tc>
          <w:tcPr>
            <w:tcW w:w="1109" w:type="dxa"/>
            <w:tcBorders>
              <w:top w:val="single" w:sz="2" w:space="0" w:color="auto"/>
              <w:left w:val="single" w:sz="2" w:space="0" w:color="auto"/>
              <w:bottom w:val="single" w:sz="2" w:space="0" w:color="auto"/>
              <w:right w:val="single" w:sz="2" w:space="0" w:color="auto"/>
            </w:tcBorders>
            <w:vAlign w:val="center"/>
          </w:tcPr>
          <w:p w14:paraId="1E717C5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-14,007,826.43</w:t>
            </w:r>
          </w:p>
        </w:tc>
        <w:tc>
          <w:tcPr>
            <w:tcW w:w="1110" w:type="dxa"/>
            <w:tcBorders>
              <w:top w:val="single" w:sz="2" w:space="0" w:color="auto"/>
              <w:left w:val="single" w:sz="2" w:space="0" w:color="auto"/>
              <w:bottom w:val="single" w:sz="2" w:space="0" w:color="auto"/>
              <w:right w:val="single" w:sz="2" w:space="0" w:color="auto"/>
            </w:tcBorders>
            <w:vAlign w:val="center"/>
          </w:tcPr>
          <w:p w14:paraId="02BAE83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-36,950,307.12</w:t>
            </w:r>
          </w:p>
        </w:tc>
      </w:tr>
    </w:tbl>
    <w:p w14:paraId="56F59D7C"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w:t>
      </w:r>
    </w:p>
    <w:p w14:paraId="27A77783" w14:textId="77777777" w:rsidR="000309B5" w:rsidRPr="005A284F" w:rsidRDefault="00000000">
      <w:pPr>
        <w:pStyle w:val="a3"/>
        <w:spacing w:before="0" w:beforeAutospacing="0" w:after="0" w:afterAutospacing="0" w:line="273" w:lineRule="auto"/>
        <w:ind w:firstLine="360"/>
        <w:jc w:val="both"/>
        <w:divId w:val="419566777"/>
        <w:rPr>
          <w:rFonts w:ascii="Times New Roman" w:hAnsi="Times New Roman" w:cs="Times New Roman"/>
        </w:rPr>
      </w:pPr>
      <w:r w:rsidRPr="005A284F">
        <w:rPr>
          <w:rFonts w:ascii="Times New Roman" w:hAnsi="Times New Roman" w:cs="Times New Roman"/>
          <w:sz w:val="18"/>
          <w:szCs w:val="18"/>
        </w:rPr>
        <w:t>潍坊振祥子公司系</w:t>
      </w:r>
      <w:r w:rsidRPr="005A284F">
        <w:rPr>
          <w:rFonts w:ascii="Times New Roman" w:hAnsi="Times New Roman" w:cs="Times New Roman"/>
          <w:sz w:val="18"/>
          <w:szCs w:val="18"/>
        </w:rPr>
        <w:t>2018</w:t>
      </w:r>
      <w:r w:rsidRPr="005A284F">
        <w:rPr>
          <w:rFonts w:ascii="Times New Roman" w:hAnsi="Times New Roman" w:cs="Times New Roman"/>
          <w:sz w:val="18"/>
          <w:szCs w:val="18"/>
        </w:rPr>
        <w:t>年度非同一控制下企业合并取得的子公司，上述财务数据是以合并日该子公司可辨认资产和负债的公允价值为基础进行调整后列报的。</w:t>
      </w:r>
    </w:p>
    <w:p w14:paraId="5EA0B1C8" w14:textId="3A27FBC0" w:rsidR="006C011D" w:rsidRPr="005A284F" w:rsidRDefault="00000000">
      <w:pPr>
        <w:keepNext/>
        <w:keepLines/>
        <w:spacing w:before="300" w:after="300" w:line="280" w:lineRule="exact"/>
        <w:outlineLvl w:val="3"/>
        <w:rPr>
          <w:rFonts w:ascii="Times New Roman" w:eastAsia="宋体" w:hAnsi="Times New Roman" w:cs="Times New Roman"/>
          <w:b/>
          <w:bCs/>
          <w:sz w:val="18"/>
          <w:szCs w:val="18"/>
        </w:rPr>
      </w:pPr>
      <w:bookmarkStart w:id="374" w:name="_Toc989317"/>
      <w:r w:rsidRPr="005A284F">
        <w:rPr>
          <w:rFonts w:ascii="Times New Roman" w:eastAsia="宋体" w:hAnsi="Times New Roman" w:cs="Times New Roman"/>
          <w:b/>
          <w:bCs/>
          <w:sz w:val="18"/>
          <w:szCs w:val="18"/>
        </w:rPr>
        <w:t>（</w:t>
      </w:r>
      <w:r w:rsidRPr="005A284F">
        <w:rPr>
          <w:rFonts w:ascii="Times New Roman" w:eastAsia="宋体" w:hAnsi="Times New Roman" w:cs="Times New Roman"/>
          <w:b/>
          <w:bCs/>
          <w:sz w:val="18"/>
          <w:szCs w:val="18"/>
        </w:rPr>
        <w:t>4</w:t>
      </w:r>
      <w:r w:rsidRPr="005A284F">
        <w:rPr>
          <w:rFonts w:ascii="Times New Roman" w:eastAsia="宋体" w:hAnsi="Times New Roman" w:cs="Times New Roman"/>
          <w:b/>
          <w:bCs/>
          <w:sz w:val="18"/>
          <w:szCs w:val="18"/>
        </w:rPr>
        <w:t>）使用企业集团资产和清偿企业集团债务的重大限制</w:t>
      </w:r>
      <w:bookmarkEnd w:id="374"/>
    </w:p>
    <w:p w14:paraId="55D133A6" w14:textId="77777777" w:rsidR="000309B5" w:rsidRPr="005A284F" w:rsidRDefault="00000000">
      <w:pPr>
        <w:pStyle w:val="a3"/>
        <w:divId w:val="1763985477"/>
        <w:rPr>
          <w:rFonts w:ascii="Times New Roman" w:hAnsi="Times New Roman" w:cs="Times New Roman"/>
          <w:sz w:val="18"/>
          <w:szCs w:val="18"/>
        </w:rPr>
      </w:pPr>
      <w:r w:rsidRPr="005A284F">
        <w:rPr>
          <w:rFonts w:ascii="Times New Roman" w:hAnsi="Times New Roman" w:cs="Times New Roman"/>
          <w:sz w:val="18"/>
          <w:szCs w:val="18"/>
        </w:rPr>
        <w:t>无</w:t>
      </w:r>
    </w:p>
    <w:p w14:paraId="55B75A05" w14:textId="2AF1CF91" w:rsidR="006C011D" w:rsidRPr="005A284F" w:rsidRDefault="00000000">
      <w:pPr>
        <w:keepNext/>
        <w:keepLines/>
        <w:spacing w:before="300" w:after="300" w:line="280" w:lineRule="exact"/>
        <w:outlineLvl w:val="3"/>
        <w:rPr>
          <w:rFonts w:ascii="Times New Roman" w:eastAsia="宋体" w:hAnsi="Times New Roman" w:cs="Times New Roman"/>
          <w:b/>
          <w:bCs/>
          <w:sz w:val="18"/>
          <w:szCs w:val="18"/>
        </w:rPr>
      </w:pPr>
      <w:bookmarkStart w:id="375" w:name="_Toc989318"/>
      <w:r w:rsidRPr="005A284F">
        <w:rPr>
          <w:rFonts w:ascii="Times New Roman" w:eastAsia="宋体" w:hAnsi="Times New Roman" w:cs="Times New Roman"/>
          <w:b/>
          <w:bCs/>
          <w:sz w:val="18"/>
          <w:szCs w:val="18"/>
        </w:rPr>
        <w:t>（</w:t>
      </w:r>
      <w:r w:rsidRPr="005A284F">
        <w:rPr>
          <w:rFonts w:ascii="Times New Roman" w:eastAsia="宋体" w:hAnsi="Times New Roman" w:cs="Times New Roman"/>
          <w:b/>
          <w:bCs/>
          <w:sz w:val="18"/>
          <w:szCs w:val="18"/>
        </w:rPr>
        <w:t>5</w:t>
      </w:r>
      <w:r w:rsidRPr="005A284F">
        <w:rPr>
          <w:rFonts w:ascii="Times New Roman" w:eastAsia="宋体" w:hAnsi="Times New Roman" w:cs="Times New Roman"/>
          <w:b/>
          <w:bCs/>
          <w:sz w:val="18"/>
          <w:szCs w:val="18"/>
        </w:rPr>
        <w:t>）向纳入合并财务报表范围的结构化主体提供的财务支持或其他支持</w:t>
      </w:r>
      <w:bookmarkEnd w:id="375"/>
    </w:p>
    <w:p w14:paraId="621D6CB7" w14:textId="77777777" w:rsidR="000309B5" w:rsidRPr="005A284F" w:rsidRDefault="00000000">
      <w:pPr>
        <w:pStyle w:val="a3"/>
        <w:divId w:val="640888209"/>
        <w:rPr>
          <w:rFonts w:ascii="Times New Roman" w:hAnsi="Times New Roman" w:cs="Times New Roman"/>
          <w:sz w:val="18"/>
          <w:szCs w:val="18"/>
        </w:rPr>
      </w:pPr>
      <w:r w:rsidRPr="005A284F">
        <w:rPr>
          <w:rFonts w:ascii="Times New Roman" w:hAnsi="Times New Roman" w:cs="Times New Roman"/>
          <w:sz w:val="18"/>
          <w:szCs w:val="18"/>
        </w:rPr>
        <w:t>无</w:t>
      </w:r>
    </w:p>
    <w:p w14:paraId="1DE08F49" w14:textId="77777777" w:rsidR="006C011D" w:rsidRPr="005A284F" w:rsidRDefault="00000000">
      <w:pPr>
        <w:pStyle w:val="3"/>
        <w:spacing w:line="280" w:lineRule="exact"/>
        <w:jc w:val="left"/>
        <w:rPr>
          <w:rFonts w:ascii="Times New Roman" w:hAnsi="Times New Roman" w:cs="Times New Roman"/>
          <w:b/>
          <w:bCs/>
        </w:rPr>
      </w:pPr>
      <w:bookmarkStart w:id="376" w:name="_Toc989319"/>
      <w:r w:rsidRPr="005A284F">
        <w:rPr>
          <w:rFonts w:ascii="Times New Roman" w:hAnsi="Times New Roman" w:cs="Times New Roman"/>
          <w:b/>
          <w:bCs/>
        </w:rPr>
        <w:lastRenderedPageBreak/>
        <w:t>2</w:t>
      </w:r>
      <w:r w:rsidRPr="005A284F">
        <w:rPr>
          <w:rFonts w:ascii="Times New Roman" w:hAnsi="Times New Roman" w:cs="Times New Roman"/>
          <w:b/>
          <w:bCs/>
        </w:rPr>
        <w:t>、在子公司的所有者权益份额发生变化且仍控制子公司的交易</w:t>
      </w:r>
      <w:bookmarkEnd w:id="376"/>
    </w:p>
    <w:p w14:paraId="61E09881" w14:textId="77777777" w:rsidR="000309B5" w:rsidRPr="005A284F" w:rsidRDefault="00000000">
      <w:pPr>
        <w:pStyle w:val="a3"/>
        <w:divId w:val="2144806029"/>
        <w:rPr>
          <w:rFonts w:ascii="Times New Roman" w:hAnsi="Times New Roman" w:cs="Times New Roman"/>
          <w:sz w:val="18"/>
          <w:szCs w:val="18"/>
        </w:rPr>
      </w:pPr>
      <w:r w:rsidRPr="005A284F">
        <w:rPr>
          <w:rFonts w:ascii="Times New Roman" w:hAnsi="Times New Roman" w:cs="Times New Roman"/>
          <w:sz w:val="18"/>
          <w:szCs w:val="18"/>
        </w:rPr>
        <w:t>无</w:t>
      </w:r>
    </w:p>
    <w:p w14:paraId="00476848" w14:textId="77777777" w:rsidR="006C011D" w:rsidRPr="005A284F" w:rsidRDefault="00000000">
      <w:pPr>
        <w:pStyle w:val="3"/>
        <w:spacing w:line="280" w:lineRule="exact"/>
        <w:jc w:val="left"/>
        <w:rPr>
          <w:rFonts w:ascii="Times New Roman" w:hAnsi="Times New Roman" w:cs="Times New Roman"/>
          <w:b/>
          <w:bCs/>
        </w:rPr>
      </w:pPr>
      <w:bookmarkStart w:id="377" w:name="_Toc989322"/>
      <w:r w:rsidRPr="005A284F">
        <w:rPr>
          <w:rFonts w:ascii="Times New Roman" w:hAnsi="Times New Roman" w:cs="Times New Roman"/>
          <w:b/>
          <w:bCs/>
        </w:rPr>
        <w:t>3</w:t>
      </w:r>
      <w:r w:rsidRPr="005A284F">
        <w:rPr>
          <w:rFonts w:ascii="Times New Roman" w:hAnsi="Times New Roman" w:cs="Times New Roman"/>
          <w:b/>
          <w:bCs/>
        </w:rPr>
        <w:t>、在合营企业或联营企业中的权益</w:t>
      </w:r>
      <w:bookmarkEnd w:id="377"/>
    </w:p>
    <w:p w14:paraId="588D8CA9" w14:textId="77777777" w:rsidR="000309B5" w:rsidRPr="005A284F" w:rsidRDefault="00000000">
      <w:pPr>
        <w:pStyle w:val="a3"/>
        <w:divId w:val="1535535846"/>
        <w:rPr>
          <w:rFonts w:ascii="Times New Roman" w:hAnsi="Times New Roman" w:cs="Times New Roman"/>
          <w:sz w:val="18"/>
          <w:szCs w:val="18"/>
        </w:rPr>
      </w:pPr>
      <w:r w:rsidRPr="005A284F">
        <w:rPr>
          <w:rFonts w:ascii="Times New Roman" w:hAnsi="Times New Roman" w:cs="Times New Roman"/>
          <w:sz w:val="18"/>
          <w:szCs w:val="18"/>
        </w:rPr>
        <w:t>无</w:t>
      </w:r>
    </w:p>
    <w:p w14:paraId="495A1645" w14:textId="77777777" w:rsidR="006C011D" w:rsidRPr="005A284F" w:rsidRDefault="00000000">
      <w:pPr>
        <w:pStyle w:val="3"/>
        <w:spacing w:line="280" w:lineRule="exact"/>
        <w:jc w:val="left"/>
        <w:rPr>
          <w:rFonts w:ascii="Times New Roman" w:hAnsi="Times New Roman" w:cs="Times New Roman"/>
          <w:b/>
          <w:bCs/>
        </w:rPr>
      </w:pPr>
      <w:bookmarkStart w:id="378" w:name="_Toc989331"/>
      <w:r w:rsidRPr="005A284F">
        <w:rPr>
          <w:rFonts w:ascii="Times New Roman" w:hAnsi="Times New Roman" w:cs="Times New Roman"/>
          <w:b/>
          <w:bCs/>
        </w:rPr>
        <w:t>4</w:t>
      </w:r>
      <w:r w:rsidRPr="005A284F">
        <w:rPr>
          <w:rFonts w:ascii="Times New Roman" w:hAnsi="Times New Roman" w:cs="Times New Roman"/>
          <w:b/>
          <w:bCs/>
        </w:rPr>
        <w:t>、重要的共同经营</w:t>
      </w:r>
      <w:bookmarkEnd w:id="378"/>
    </w:p>
    <w:p w14:paraId="4E49D352" w14:textId="77777777" w:rsidR="000309B5" w:rsidRPr="005A284F" w:rsidRDefault="00000000">
      <w:pPr>
        <w:pStyle w:val="a3"/>
        <w:divId w:val="12076543"/>
        <w:rPr>
          <w:rFonts w:ascii="Times New Roman" w:hAnsi="Times New Roman" w:cs="Times New Roman"/>
          <w:sz w:val="18"/>
          <w:szCs w:val="18"/>
        </w:rPr>
      </w:pPr>
      <w:r w:rsidRPr="005A284F">
        <w:rPr>
          <w:rFonts w:ascii="Times New Roman" w:hAnsi="Times New Roman" w:cs="Times New Roman"/>
          <w:sz w:val="18"/>
          <w:szCs w:val="18"/>
        </w:rPr>
        <w:t>无</w:t>
      </w:r>
    </w:p>
    <w:p w14:paraId="013CC53D" w14:textId="77777777" w:rsidR="006C011D" w:rsidRPr="005A284F" w:rsidRDefault="00000000">
      <w:pPr>
        <w:pStyle w:val="3"/>
        <w:spacing w:line="280" w:lineRule="exact"/>
        <w:jc w:val="left"/>
        <w:rPr>
          <w:rFonts w:ascii="Times New Roman" w:hAnsi="Times New Roman" w:cs="Times New Roman"/>
          <w:b/>
          <w:bCs/>
        </w:rPr>
      </w:pPr>
      <w:bookmarkStart w:id="379" w:name="_Toc989332"/>
      <w:r w:rsidRPr="005A284F">
        <w:rPr>
          <w:rFonts w:ascii="Times New Roman" w:hAnsi="Times New Roman" w:cs="Times New Roman"/>
          <w:b/>
          <w:bCs/>
        </w:rPr>
        <w:t>5</w:t>
      </w:r>
      <w:r w:rsidRPr="005A284F">
        <w:rPr>
          <w:rFonts w:ascii="Times New Roman" w:hAnsi="Times New Roman" w:cs="Times New Roman"/>
          <w:b/>
          <w:bCs/>
        </w:rPr>
        <w:t>、在未纳入合并财务报表范围的结构化主体中的权益</w:t>
      </w:r>
      <w:bookmarkEnd w:id="379"/>
    </w:p>
    <w:p w14:paraId="7F79BA27" w14:textId="77777777" w:rsidR="000309B5" w:rsidRPr="005A284F" w:rsidRDefault="00000000">
      <w:pPr>
        <w:pStyle w:val="a3"/>
        <w:divId w:val="978657301"/>
        <w:rPr>
          <w:rFonts w:ascii="Times New Roman" w:hAnsi="Times New Roman" w:cs="Times New Roman"/>
          <w:sz w:val="18"/>
          <w:szCs w:val="18"/>
        </w:rPr>
      </w:pPr>
      <w:r w:rsidRPr="005A284F">
        <w:rPr>
          <w:rFonts w:ascii="Times New Roman" w:hAnsi="Times New Roman" w:cs="Times New Roman"/>
          <w:sz w:val="18"/>
          <w:szCs w:val="18"/>
        </w:rPr>
        <w:t>无</w:t>
      </w:r>
    </w:p>
    <w:p w14:paraId="7BE775A5" w14:textId="77777777" w:rsidR="006C011D" w:rsidRPr="005A284F" w:rsidRDefault="00000000">
      <w:pPr>
        <w:pStyle w:val="3"/>
        <w:spacing w:line="280" w:lineRule="exact"/>
        <w:jc w:val="left"/>
        <w:rPr>
          <w:rFonts w:ascii="Times New Roman" w:hAnsi="Times New Roman" w:cs="Times New Roman"/>
          <w:b/>
          <w:bCs/>
        </w:rPr>
      </w:pPr>
      <w:bookmarkStart w:id="380" w:name="_Toc989333"/>
      <w:r w:rsidRPr="005A284F">
        <w:rPr>
          <w:rFonts w:ascii="Times New Roman" w:hAnsi="Times New Roman" w:cs="Times New Roman"/>
          <w:b/>
          <w:bCs/>
        </w:rPr>
        <w:t>6</w:t>
      </w:r>
      <w:r w:rsidRPr="005A284F">
        <w:rPr>
          <w:rFonts w:ascii="Times New Roman" w:hAnsi="Times New Roman" w:cs="Times New Roman"/>
          <w:b/>
          <w:bCs/>
        </w:rPr>
        <w:t>、其他</w:t>
      </w:r>
      <w:bookmarkEnd w:id="380"/>
    </w:p>
    <w:p w14:paraId="79992CC1" w14:textId="77777777" w:rsidR="000309B5" w:rsidRPr="005A284F" w:rsidRDefault="00000000">
      <w:pPr>
        <w:pStyle w:val="a3"/>
        <w:divId w:val="930431090"/>
        <w:rPr>
          <w:rFonts w:ascii="Times New Roman" w:hAnsi="Times New Roman" w:cs="Times New Roman"/>
          <w:sz w:val="18"/>
          <w:szCs w:val="18"/>
        </w:rPr>
      </w:pPr>
      <w:r w:rsidRPr="005A284F">
        <w:rPr>
          <w:rFonts w:ascii="Times New Roman" w:hAnsi="Times New Roman" w:cs="Times New Roman"/>
          <w:sz w:val="18"/>
          <w:szCs w:val="18"/>
        </w:rPr>
        <w:t>无</w:t>
      </w:r>
    </w:p>
    <w:p w14:paraId="0456E506"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381" w:name="_Toc989334"/>
      <w:r w:rsidRPr="005A284F">
        <w:rPr>
          <w:rFonts w:ascii="Times New Roman" w:eastAsia="宋体" w:hAnsi="Times New Roman" w:cs="Times New Roman"/>
          <w:b/>
          <w:bCs/>
          <w:sz w:val="24"/>
          <w:szCs w:val="24"/>
        </w:rPr>
        <w:t>十一、政府补助</w:t>
      </w:r>
      <w:bookmarkEnd w:id="381"/>
    </w:p>
    <w:p w14:paraId="149CC2DE" w14:textId="77777777" w:rsidR="006C011D" w:rsidRPr="005A284F" w:rsidRDefault="00000000">
      <w:pPr>
        <w:pStyle w:val="3"/>
        <w:spacing w:line="280" w:lineRule="exact"/>
        <w:jc w:val="left"/>
        <w:rPr>
          <w:rFonts w:ascii="Times New Roman" w:hAnsi="Times New Roman" w:cs="Times New Roman"/>
          <w:b/>
          <w:bCs/>
        </w:rPr>
      </w:pPr>
      <w:bookmarkStart w:id="382" w:name="_Toc989335"/>
      <w:r w:rsidRPr="005A284F">
        <w:rPr>
          <w:rFonts w:ascii="Times New Roman" w:hAnsi="Times New Roman" w:cs="Times New Roman"/>
          <w:b/>
          <w:bCs/>
        </w:rPr>
        <w:t>1</w:t>
      </w:r>
      <w:r w:rsidRPr="005A284F">
        <w:rPr>
          <w:rFonts w:ascii="Times New Roman" w:hAnsi="Times New Roman" w:cs="Times New Roman"/>
          <w:b/>
          <w:bCs/>
        </w:rPr>
        <w:t>、报告期末按应收金额确认的政府补助</w:t>
      </w:r>
      <w:bookmarkEnd w:id="382"/>
    </w:p>
    <w:p w14:paraId="5CEC6E27" w14:textId="77777777" w:rsidR="006C011D" w:rsidRPr="003524E1" w:rsidRDefault="00000000">
      <w:pPr>
        <w:spacing w:before="100" w:after="100" w:line="240" w:lineRule="exact"/>
        <w:rPr>
          <w:rFonts w:ascii="宋体" w:eastAsia="宋体" w:hAnsi="宋体" w:cs="Times New Roman" w:hint="eastAsia"/>
          <w:sz w:val="18"/>
          <w:szCs w:val="18"/>
        </w:rPr>
      </w:pPr>
      <w:r w:rsidRPr="003524E1">
        <w:rPr>
          <w:rFonts w:ascii="宋体" w:eastAsia="宋体" w:hAnsi="宋体" w:cs="Times New Roman"/>
          <w:sz w:val="18"/>
          <w:szCs w:val="18"/>
        </w:rPr>
        <w:t xml:space="preserve">□适用 </w:t>
      </w:r>
      <w:r w:rsidRPr="003524E1">
        <w:rPr>
          <w:rFonts w:ascii="宋体" w:eastAsia="宋体" w:hAnsi="宋体" w:cs="Times New Roman"/>
          <w:sz w:val="18"/>
          <w:szCs w:val="18"/>
        </w:rPr>
        <w:sym w:font="Wingdings 2" w:char="F052"/>
      </w:r>
      <w:r w:rsidRPr="003524E1">
        <w:rPr>
          <w:rFonts w:ascii="宋体" w:eastAsia="宋体" w:hAnsi="宋体" w:cs="Times New Roman"/>
          <w:sz w:val="18"/>
          <w:szCs w:val="18"/>
        </w:rPr>
        <w:t>不适用</w:t>
      </w:r>
    </w:p>
    <w:p w14:paraId="754AAE2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未能在预计时点收到预计金额的政府补助的原因</w:t>
      </w:r>
    </w:p>
    <w:p w14:paraId="4D07DBCB" w14:textId="77777777" w:rsidR="006C011D" w:rsidRPr="003524E1" w:rsidRDefault="00000000">
      <w:pPr>
        <w:spacing w:before="100" w:after="100" w:line="240" w:lineRule="exact"/>
        <w:rPr>
          <w:rFonts w:ascii="宋体" w:eastAsia="宋体" w:hAnsi="宋体" w:cs="Times New Roman" w:hint="eastAsia"/>
          <w:sz w:val="18"/>
          <w:szCs w:val="18"/>
        </w:rPr>
      </w:pPr>
      <w:r w:rsidRPr="003524E1">
        <w:rPr>
          <w:rFonts w:ascii="宋体" w:eastAsia="宋体" w:hAnsi="宋体" w:cs="Times New Roman"/>
          <w:sz w:val="18"/>
          <w:szCs w:val="18"/>
        </w:rPr>
        <w:t xml:space="preserve">□适用 </w:t>
      </w:r>
      <w:r w:rsidRPr="003524E1">
        <w:rPr>
          <w:rFonts w:ascii="宋体" w:eastAsia="宋体" w:hAnsi="宋体" w:cs="Times New Roman"/>
          <w:sz w:val="18"/>
          <w:szCs w:val="18"/>
        </w:rPr>
        <w:sym w:font="Wingdings 2" w:char="F052"/>
      </w:r>
      <w:r w:rsidRPr="003524E1">
        <w:rPr>
          <w:rFonts w:ascii="宋体" w:eastAsia="宋体" w:hAnsi="宋体" w:cs="Times New Roman"/>
          <w:sz w:val="18"/>
          <w:szCs w:val="18"/>
        </w:rPr>
        <w:t>不适用</w:t>
      </w:r>
    </w:p>
    <w:p w14:paraId="4187DB7B" w14:textId="77777777" w:rsidR="006C011D" w:rsidRPr="005A284F" w:rsidRDefault="00000000">
      <w:pPr>
        <w:pStyle w:val="3"/>
        <w:spacing w:line="280" w:lineRule="exact"/>
        <w:jc w:val="left"/>
        <w:rPr>
          <w:rFonts w:ascii="Times New Roman" w:hAnsi="Times New Roman" w:cs="Times New Roman"/>
          <w:b/>
          <w:bCs/>
        </w:rPr>
      </w:pPr>
      <w:bookmarkStart w:id="383" w:name="_Toc989336"/>
      <w:r w:rsidRPr="005A284F">
        <w:rPr>
          <w:rFonts w:ascii="Times New Roman" w:hAnsi="Times New Roman" w:cs="Times New Roman"/>
          <w:b/>
          <w:bCs/>
        </w:rPr>
        <w:t>2</w:t>
      </w:r>
      <w:r w:rsidRPr="005A284F">
        <w:rPr>
          <w:rFonts w:ascii="Times New Roman" w:hAnsi="Times New Roman" w:cs="Times New Roman"/>
          <w:b/>
          <w:bCs/>
        </w:rPr>
        <w:t>、涉及政府补助的负债项目</w:t>
      </w:r>
      <w:bookmarkEnd w:id="383"/>
    </w:p>
    <w:p w14:paraId="13FBC445" w14:textId="77777777" w:rsidR="006C011D" w:rsidRPr="003524E1" w:rsidRDefault="00000000">
      <w:pPr>
        <w:spacing w:before="100" w:after="100" w:line="240" w:lineRule="exact"/>
        <w:rPr>
          <w:rFonts w:ascii="宋体" w:eastAsia="宋体" w:hAnsi="宋体" w:cs="Times New Roman" w:hint="eastAsia"/>
          <w:sz w:val="18"/>
          <w:szCs w:val="18"/>
        </w:rPr>
      </w:pPr>
      <w:r w:rsidRPr="003524E1">
        <w:rPr>
          <w:rFonts w:ascii="宋体" w:eastAsia="宋体" w:hAnsi="宋体" w:cs="Times New Roman"/>
          <w:sz w:val="18"/>
          <w:szCs w:val="18"/>
        </w:rPr>
        <w:sym w:font="Wingdings 2" w:char="F052"/>
      </w:r>
      <w:r w:rsidRPr="003524E1">
        <w:rPr>
          <w:rFonts w:ascii="宋体" w:eastAsia="宋体" w:hAnsi="宋体" w:cs="Times New Roman"/>
          <w:sz w:val="18"/>
          <w:szCs w:val="18"/>
        </w:rPr>
        <w:t>适用 □不适用</w:t>
      </w:r>
    </w:p>
    <w:p w14:paraId="3CA54297"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04"/>
        <w:gridCol w:w="1348"/>
        <w:gridCol w:w="1062"/>
        <w:gridCol w:w="1205"/>
        <w:gridCol w:w="1205"/>
        <w:gridCol w:w="1064"/>
        <w:gridCol w:w="1346"/>
        <w:gridCol w:w="1205"/>
      </w:tblGrid>
      <w:tr w:rsidR="006C011D" w:rsidRPr="005A284F" w14:paraId="71CCF21B" w14:textId="77777777" w:rsidTr="003524E1">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14:paraId="2AF8653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会计科目</w:t>
            </w:r>
          </w:p>
        </w:tc>
        <w:tc>
          <w:tcPr>
            <w:tcW w:w="1348" w:type="dxa"/>
            <w:tcBorders>
              <w:top w:val="single" w:sz="2" w:space="0" w:color="auto"/>
              <w:left w:val="single" w:sz="2" w:space="0" w:color="auto"/>
              <w:bottom w:val="single" w:sz="2" w:space="0" w:color="auto"/>
              <w:right w:val="single" w:sz="2" w:space="0" w:color="auto"/>
            </w:tcBorders>
            <w:shd w:val="clear" w:color="auto" w:fill="D3D3D3"/>
            <w:vAlign w:val="center"/>
          </w:tcPr>
          <w:p w14:paraId="164E9D1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c>
          <w:tcPr>
            <w:tcW w:w="1062" w:type="dxa"/>
            <w:tcBorders>
              <w:top w:val="single" w:sz="2" w:space="0" w:color="auto"/>
              <w:left w:val="single" w:sz="2" w:space="0" w:color="auto"/>
              <w:bottom w:val="single" w:sz="2" w:space="0" w:color="auto"/>
              <w:right w:val="single" w:sz="2" w:space="0" w:color="auto"/>
            </w:tcBorders>
            <w:shd w:val="clear" w:color="auto" w:fill="D3D3D3"/>
            <w:vAlign w:val="center"/>
          </w:tcPr>
          <w:p w14:paraId="60EDF74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本期新增补助金额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2433B91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本期计入营业外收入金额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6F510CA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本期转入其他收益金额</w:t>
            </w:r>
          </w:p>
        </w:tc>
        <w:tc>
          <w:tcPr>
            <w:tcW w:w="1064" w:type="dxa"/>
            <w:tcBorders>
              <w:top w:val="single" w:sz="2" w:space="0" w:color="auto"/>
              <w:left w:val="single" w:sz="2" w:space="0" w:color="auto"/>
              <w:bottom w:val="single" w:sz="2" w:space="0" w:color="auto"/>
              <w:right w:val="single" w:sz="2" w:space="0" w:color="auto"/>
            </w:tcBorders>
            <w:shd w:val="clear" w:color="auto" w:fill="D3D3D3"/>
            <w:vAlign w:val="center"/>
          </w:tcPr>
          <w:p w14:paraId="135E9C2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本期其他变动</w:t>
            </w:r>
          </w:p>
        </w:tc>
        <w:tc>
          <w:tcPr>
            <w:tcW w:w="1346" w:type="dxa"/>
            <w:tcBorders>
              <w:top w:val="single" w:sz="2" w:space="0" w:color="auto"/>
              <w:left w:val="single" w:sz="2" w:space="0" w:color="auto"/>
              <w:bottom w:val="single" w:sz="2" w:space="0" w:color="auto"/>
              <w:right w:val="single" w:sz="2" w:space="0" w:color="auto"/>
            </w:tcBorders>
            <w:shd w:val="clear" w:color="auto" w:fill="D3D3D3"/>
            <w:vAlign w:val="center"/>
          </w:tcPr>
          <w:p w14:paraId="2F99ADB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35AABAC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与资产</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收益相关</w:t>
            </w:r>
          </w:p>
        </w:tc>
      </w:tr>
      <w:tr w:rsidR="006C011D" w:rsidRPr="005A284F" w14:paraId="4F0D28F5" w14:textId="77777777" w:rsidTr="003524E1">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14:paraId="5E70F962"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递延收益</w:t>
            </w:r>
          </w:p>
        </w:tc>
        <w:tc>
          <w:tcPr>
            <w:tcW w:w="1348" w:type="dxa"/>
            <w:tcBorders>
              <w:top w:val="single" w:sz="2" w:space="0" w:color="auto"/>
              <w:left w:val="single" w:sz="2" w:space="0" w:color="auto"/>
              <w:bottom w:val="single" w:sz="2" w:space="0" w:color="auto"/>
              <w:right w:val="single" w:sz="2" w:space="0" w:color="auto"/>
            </w:tcBorders>
            <w:vAlign w:val="center"/>
          </w:tcPr>
          <w:p w14:paraId="2F1BFCF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47,454,260.66</w:t>
            </w:r>
          </w:p>
        </w:tc>
        <w:tc>
          <w:tcPr>
            <w:tcW w:w="1062" w:type="dxa"/>
            <w:tcBorders>
              <w:top w:val="single" w:sz="2" w:space="0" w:color="auto"/>
              <w:left w:val="single" w:sz="2" w:space="0" w:color="auto"/>
              <w:bottom w:val="single" w:sz="2" w:space="0" w:color="auto"/>
              <w:right w:val="single" w:sz="2" w:space="0" w:color="auto"/>
            </w:tcBorders>
            <w:vAlign w:val="center"/>
          </w:tcPr>
          <w:p w14:paraId="5FC3894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B777AC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1AE37C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2,176,715.37</w:t>
            </w:r>
          </w:p>
        </w:tc>
        <w:tc>
          <w:tcPr>
            <w:tcW w:w="1064" w:type="dxa"/>
            <w:tcBorders>
              <w:top w:val="single" w:sz="2" w:space="0" w:color="auto"/>
              <w:left w:val="single" w:sz="2" w:space="0" w:color="auto"/>
              <w:bottom w:val="single" w:sz="2" w:space="0" w:color="auto"/>
              <w:right w:val="single" w:sz="2" w:space="0" w:color="auto"/>
            </w:tcBorders>
            <w:vAlign w:val="center"/>
          </w:tcPr>
          <w:p w14:paraId="739DAC9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46" w:type="dxa"/>
            <w:tcBorders>
              <w:top w:val="single" w:sz="2" w:space="0" w:color="auto"/>
              <w:left w:val="single" w:sz="2" w:space="0" w:color="auto"/>
              <w:bottom w:val="single" w:sz="2" w:space="0" w:color="auto"/>
              <w:right w:val="single" w:sz="2" w:space="0" w:color="auto"/>
            </w:tcBorders>
            <w:vAlign w:val="center"/>
          </w:tcPr>
          <w:p w14:paraId="02F2457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45,277,545.29</w:t>
            </w:r>
          </w:p>
        </w:tc>
        <w:tc>
          <w:tcPr>
            <w:tcW w:w="1205" w:type="dxa"/>
            <w:tcBorders>
              <w:top w:val="single" w:sz="2" w:space="0" w:color="auto"/>
              <w:left w:val="single" w:sz="2" w:space="0" w:color="auto"/>
              <w:bottom w:val="single" w:sz="2" w:space="0" w:color="auto"/>
              <w:right w:val="single" w:sz="2" w:space="0" w:color="auto"/>
            </w:tcBorders>
            <w:vAlign w:val="center"/>
          </w:tcPr>
          <w:p w14:paraId="2360AE58" w14:textId="6506E833"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与资产相关</w:t>
            </w:r>
          </w:p>
        </w:tc>
      </w:tr>
    </w:tbl>
    <w:p w14:paraId="46E91851" w14:textId="77777777" w:rsidR="006C011D" w:rsidRPr="005A284F" w:rsidRDefault="00000000">
      <w:pPr>
        <w:pStyle w:val="3"/>
        <w:spacing w:line="280" w:lineRule="exact"/>
        <w:jc w:val="left"/>
        <w:rPr>
          <w:rFonts w:ascii="Times New Roman" w:hAnsi="Times New Roman" w:cs="Times New Roman"/>
          <w:b/>
          <w:bCs/>
        </w:rPr>
      </w:pPr>
      <w:bookmarkStart w:id="384" w:name="_Toc989337"/>
      <w:r w:rsidRPr="005A284F">
        <w:rPr>
          <w:rFonts w:ascii="Times New Roman" w:hAnsi="Times New Roman" w:cs="Times New Roman"/>
          <w:b/>
          <w:bCs/>
        </w:rPr>
        <w:t>3</w:t>
      </w:r>
      <w:r w:rsidRPr="005A284F">
        <w:rPr>
          <w:rFonts w:ascii="Times New Roman" w:hAnsi="Times New Roman" w:cs="Times New Roman"/>
          <w:b/>
          <w:bCs/>
        </w:rPr>
        <w:t>、计入当期损益的政府补助</w:t>
      </w:r>
      <w:bookmarkEnd w:id="384"/>
    </w:p>
    <w:p w14:paraId="7756C90B" w14:textId="77777777" w:rsidR="006C011D" w:rsidRPr="003524E1" w:rsidRDefault="00000000">
      <w:pPr>
        <w:spacing w:before="100" w:after="100" w:line="240" w:lineRule="exact"/>
        <w:rPr>
          <w:rFonts w:ascii="宋体" w:eastAsia="宋体" w:hAnsi="宋体" w:cs="Times New Roman" w:hint="eastAsia"/>
          <w:sz w:val="18"/>
          <w:szCs w:val="18"/>
        </w:rPr>
      </w:pPr>
      <w:r w:rsidRPr="003524E1">
        <w:rPr>
          <w:rFonts w:ascii="宋体" w:eastAsia="宋体" w:hAnsi="宋体" w:cs="Times New Roman"/>
          <w:sz w:val="18"/>
          <w:szCs w:val="18"/>
        </w:rPr>
        <w:sym w:font="Wingdings 2" w:char="F052"/>
      </w:r>
      <w:r w:rsidRPr="003524E1">
        <w:rPr>
          <w:rFonts w:ascii="宋体" w:eastAsia="宋体" w:hAnsi="宋体" w:cs="Times New Roman"/>
          <w:sz w:val="18"/>
          <w:szCs w:val="18"/>
        </w:rPr>
        <w:t>适用 □不适用</w:t>
      </w:r>
    </w:p>
    <w:p w14:paraId="576BA13B"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2E0554A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15468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会计科目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405B3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F7946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上期发生额</w:t>
            </w:r>
          </w:p>
        </w:tc>
      </w:tr>
      <w:tr w:rsidR="006C011D" w:rsidRPr="005A284F" w14:paraId="60CB6E3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D8DD36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其他收益</w:t>
            </w:r>
          </w:p>
        </w:tc>
        <w:tc>
          <w:tcPr>
            <w:tcW w:w="3213" w:type="dxa"/>
            <w:tcBorders>
              <w:top w:val="single" w:sz="2" w:space="0" w:color="auto"/>
              <w:left w:val="single" w:sz="2" w:space="0" w:color="auto"/>
              <w:bottom w:val="single" w:sz="2" w:space="0" w:color="auto"/>
              <w:right w:val="single" w:sz="2" w:space="0" w:color="auto"/>
            </w:tcBorders>
            <w:vAlign w:val="center"/>
          </w:tcPr>
          <w:p w14:paraId="64F3E17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4,239,031.26</w:t>
            </w:r>
          </w:p>
        </w:tc>
        <w:tc>
          <w:tcPr>
            <w:tcW w:w="3213" w:type="dxa"/>
            <w:tcBorders>
              <w:top w:val="single" w:sz="2" w:space="0" w:color="auto"/>
              <w:left w:val="single" w:sz="2" w:space="0" w:color="auto"/>
              <w:bottom w:val="single" w:sz="2" w:space="0" w:color="auto"/>
              <w:right w:val="single" w:sz="2" w:space="0" w:color="auto"/>
            </w:tcBorders>
            <w:vAlign w:val="center"/>
          </w:tcPr>
          <w:p w14:paraId="7B1E9F1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6,969,253.10</w:t>
            </w:r>
          </w:p>
        </w:tc>
      </w:tr>
    </w:tbl>
    <w:p w14:paraId="7750C4F1"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w:t>
      </w:r>
    </w:p>
    <w:p w14:paraId="70A046E3" w14:textId="77777777" w:rsidR="000309B5" w:rsidRPr="005A284F" w:rsidRDefault="00000000">
      <w:pPr>
        <w:pStyle w:val="a3"/>
        <w:divId w:val="934434085"/>
        <w:rPr>
          <w:rFonts w:ascii="Times New Roman" w:hAnsi="Times New Roman" w:cs="Times New Roman"/>
          <w:sz w:val="18"/>
          <w:szCs w:val="18"/>
        </w:rPr>
      </w:pPr>
      <w:r w:rsidRPr="005A284F">
        <w:rPr>
          <w:rFonts w:ascii="Times New Roman" w:hAnsi="Times New Roman" w:cs="Times New Roman"/>
          <w:sz w:val="18"/>
          <w:szCs w:val="18"/>
        </w:rPr>
        <w:t>无</w:t>
      </w:r>
    </w:p>
    <w:p w14:paraId="4FCC5DB0"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385" w:name="_Toc989338"/>
      <w:r w:rsidRPr="005A284F">
        <w:rPr>
          <w:rFonts w:ascii="Times New Roman" w:eastAsia="宋体" w:hAnsi="Times New Roman" w:cs="Times New Roman"/>
          <w:b/>
          <w:bCs/>
          <w:sz w:val="24"/>
          <w:szCs w:val="24"/>
        </w:rPr>
        <w:lastRenderedPageBreak/>
        <w:t>十二、与金融工具相关的风险</w:t>
      </w:r>
      <w:bookmarkEnd w:id="385"/>
    </w:p>
    <w:p w14:paraId="6E330014" w14:textId="77777777" w:rsidR="006C011D" w:rsidRPr="005A284F" w:rsidRDefault="00000000">
      <w:pPr>
        <w:pStyle w:val="3"/>
        <w:spacing w:line="280" w:lineRule="exact"/>
        <w:jc w:val="left"/>
        <w:rPr>
          <w:rFonts w:ascii="Times New Roman" w:hAnsi="Times New Roman" w:cs="Times New Roman"/>
          <w:b/>
          <w:bCs/>
        </w:rPr>
      </w:pPr>
      <w:bookmarkStart w:id="386" w:name="_Toc989339"/>
      <w:r w:rsidRPr="005A284F">
        <w:rPr>
          <w:rFonts w:ascii="Times New Roman" w:hAnsi="Times New Roman" w:cs="Times New Roman"/>
          <w:b/>
          <w:bCs/>
        </w:rPr>
        <w:t>1</w:t>
      </w:r>
      <w:r w:rsidRPr="005A284F">
        <w:rPr>
          <w:rFonts w:ascii="Times New Roman" w:hAnsi="Times New Roman" w:cs="Times New Roman"/>
          <w:b/>
          <w:bCs/>
        </w:rPr>
        <w:t>、金融工具产生的各类风险</w:t>
      </w:r>
      <w:bookmarkEnd w:id="386"/>
    </w:p>
    <w:p w14:paraId="3596E29F" w14:textId="77777777" w:rsidR="000309B5" w:rsidRPr="005A284F" w:rsidRDefault="00000000" w:rsidP="003524E1">
      <w:pPr>
        <w:pStyle w:val="a3"/>
        <w:spacing w:before="0" w:beforeAutospacing="0" w:after="0" w:afterAutospacing="0" w:line="276" w:lineRule="auto"/>
        <w:ind w:firstLineChars="200" w:firstLine="360"/>
        <w:jc w:val="both"/>
        <w:divId w:val="1904634617"/>
        <w:rPr>
          <w:rFonts w:ascii="Times New Roman" w:hAnsi="Times New Roman" w:cs="Times New Roman"/>
        </w:rPr>
      </w:pPr>
      <w:r w:rsidRPr="005A284F">
        <w:rPr>
          <w:rFonts w:ascii="Times New Roman" w:hAnsi="Times New Roman" w:cs="Times New Roman"/>
          <w:sz w:val="18"/>
          <w:szCs w:val="18"/>
        </w:rPr>
        <w:t>本集团的主要金融工具包括股权投资、债权投资、借款、应收款项、应付账款、可转换债券等，各项金融工具的详细情况说明见本附注六相关项目。本集团从事风险管理的目标是在风险和收益之间取得适当的平衡，将风险对本集团经营业绩的负面影响降低到最低水平，使股东及其他权益投资者的利益最大化。基于该风险管理目标，本集团风险管理的基本策略是确定和分析本集团所面临的各种风险，建立适当的风险承受底线和进行风险管理，并及时可靠地对各种风险进行监督，将风险控制在限定的范围之内。</w:t>
      </w:r>
    </w:p>
    <w:p w14:paraId="7880C234" w14:textId="77777777" w:rsidR="000309B5" w:rsidRPr="005A284F" w:rsidRDefault="00000000" w:rsidP="003524E1">
      <w:pPr>
        <w:pStyle w:val="a3"/>
        <w:spacing w:before="0" w:beforeAutospacing="0" w:after="0" w:afterAutospacing="0" w:line="276" w:lineRule="auto"/>
        <w:ind w:firstLineChars="200" w:firstLine="360"/>
        <w:jc w:val="both"/>
        <w:divId w:val="1904634617"/>
        <w:rPr>
          <w:rFonts w:ascii="Times New Roman" w:hAnsi="Times New Roman" w:cs="Times New Roman"/>
        </w:rPr>
      </w:pPr>
      <w:r w:rsidRPr="005A284F">
        <w:rPr>
          <w:rStyle w:val="15"/>
          <w:rFonts w:ascii="Times New Roman" w:hAnsi="Times New Roman" w:cs="Times New Roman"/>
          <w:sz w:val="18"/>
          <w:szCs w:val="18"/>
        </w:rPr>
        <w:t>市场风险</w:t>
      </w:r>
    </w:p>
    <w:p w14:paraId="7EA739ED" w14:textId="77777777" w:rsidR="000309B5" w:rsidRPr="005A284F" w:rsidRDefault="00000000" w:rsidP="003524E1">
      <w:pPr>
        <w:pStyle w:val="a3"/>
        <w:spacing w:before="0" w:beforeAutospacing="0" w:after="0" w:afterAutospacing="0" w:line="276" w:lineRule="auto"/>
        <w:ind w:firstLineChars="200" w:firstLine="360"/>
        <w:jc w:val="both"/>
        <w:divId w:val="1904634617"/>
        <w:rPr>
          <w:rFonts w:ascii="Times New Roman" w:hAnsi="Times New Roman" w:cs="Times New Roman"/>
        </w:rPr>
      </w:pPr>
      <w:r w:rsidRPr="005A284F">
        <w:rPr>
          <w:rFonts w:ascii="Times New Roman" w:hAnsi="Times New Roman" w:cs="Times New Roman"/>
          <w:sz w:val="18"/>
          <w:szCs w:val="18"/>
        </w:rPr>
        <w:t>金融工具的市场风险，是指金融工具的公允价值或未来现金流量因市场价格变动而发生波动的风险，包括汇率风险、利率风险和其他价格风险。</w:t>
      </w:r>
    </w:p>
    <w:p w14:paraId="70662ECF" w14:textId="77777777" w:rsidR="000309B5" w:rsidRPr="005A284F" w:rsidRDefault="00000000" w:rsidP="003524E1">
      <w:pPr>
        <w:pStyle w:val="a3"/>
        <w:spacing w:before="0" w:beforeAutospacing="0" w:after="0" w:afterAutospacing="0" w:line="276" w:lineRule="auto"/>
        <w:ind w:firstLineChars="200" w:firstLine="360"/>
        <w:jc w:val="both"/>
        <w:divId w:val="1904634617"/>
        <w:rPr>
          <w:rFonts w:ascii="Times New Roman" w:hAnsi="Times New Roman" w:cs="Times New Roman"/>
        </w:rPr>
      </w:pPr>
      <w:r w:rsidRPr="005A284F">
        <w:rPr>
          <w:rFonts w:ascii="Times New Roman" w:hAnsi="Times New Roman" w:cs="Times New Roman"/>
          <w:sz w:val="18"/>
          <w:szCs w:val="18"/>
        </w:rPr>
        <w:t>本集团采用敏感性分析技术分析市场风险相关变量的合理、可能变化对当期损益或股东权益可能产生的影响。由于任何风险变量很少孤立地发生变化，而变量之间存在的相关性对某一风险变量的变化的最终影响金额将产生重大作用，因此下述内容是在假设每一变量的变化是在独立的情况下进行的。</w:t>
      </w:r>
    </w:p>
    <w:p w14:paraId="1B1EA2D4" w14:textId="77777777" w:rsidR="000309B5" w:rsidRPr="005A284F" w:rsidRDefault="00000000" w:rsidP="00416EC4">
      <w:pPr>
        <w:pStyle w:val="a3"/>
        <w:spacing w:before="0" w:beforeAutospacing="0" w:after="0" w:afterAutospacing="0" w:line="276" w:lineRule="auto"/>
        <w:ind w:firstLineChars="200" w:firstLine="360"/>
        <w:divId w:val="1904634617"/>
        <w:rPr>
          <w:rFonts w:ascii="Times New Roman" w:hAnsi="Times New Roman" w:cs="Times New Roman"/>
          <w:sz w:val="22"/>
          <w:szCs w:val="22"/>
        </w:rPr>
      </w:pPr>
      <w:r w:rsidRPr="005A284F">
        <w:rPr>
          <w:rFonts w:ascii="Times New Roman" w:hAnsi="Times New Roman" w:cs="Times New Roman"/>
          <w:sz w:val="18"/>
          <w:szCs w:val="18"/>
        </w:rPr>
        <w:t>汇率风险</w:t>
      </w:r>
    </w:p>
    <w:p w14:paraId="01595A96" w14:textId="77777777" w:rsidR="000309B5" w:rsidRPr="005A284F" w:rsidRDefault="00000000" w:rsidP="003524E1">
      <w:pPr>
        <w:pStyle w:val="a3"/>
        <w:spacing w:before="0" w:beforeAutospacing="0" w:after="0" w:afterAutospacing="0" w:line="276" w:lineRule="auto"/>
        <w:ind w:firstLineChars="200" w:firstLine="360"/>
        <w:jc w:val="both"/>
        <w:divId w:val="1904634617"/>
        <w:rPr>
          <w:rFonts w:ascii="Times New Roman" w:hAnsi="Times New Roman" w:cs="Times New Roman"/>
        </w:rPr>
      </w:pPr>
      <w:r w:rsidRPr="005A284F">
        <w:rPr>
          <w:rFonts w:ascii="Times New Roman" w:hAnsi="Times New Roman" w:cs="Times New Roman"/>
          <w:sz w:val="18"/>
          <w:szCs w:val="18"/>
        </w:rPr>
        <w:t>汇率风险，是指金融工具的公允价值或未来现金流量因外汇汇率变动而发生波动的风险。本集团承受外汇风险主要与美元、欧元、日元有关，除本集团的几个下属子公司以美元、欧元、日元进行采购和销售外，本集团的其他主要业务活动以人民币计价结算。汇率风险对本集团的交易及境外经营的业绩均构成影响。于</w:t>
      </w:r>
      <w:r w:rsidRPr="005A284F">
        <w:rPr>
          <w:rFonts w:ascii="Times New Roman" w:hAnsi="Times New Roman" w:cs="Times New Roman"/>
          <w:sz w:val="18"/>
          <w:szCs w:val="18"/>
        </w:rPr>
        <w:t>2025</w:t>
      </w:r>
      <w:r w:rsidRPr="005A284F">
        <w:rPr>
          <w:rFonts w:ascii="Times New Roman" w:hAnsi="Times New Roman" w:cs="Times New Roman"/>
          <w:sz w:val="18"/>
          <w:szCs w:val="18"/>
        </w:rPr>
        <w:t>年</w:t>
      </w:r>
      <w:r w:rsidRPr="005A284F">
        <w:rPr>
          <w:rFonts w:ascii="Times New Roman" w:hAnsi="Times New Roman" w:cs="Times New Roman"/>
          <w:sz w:val="18"/>
          <w:szCs w:val="18"/>
        </w:rPr>
        <w:t>06</w:t>
      </w:r>
      <w:r w:rsidRPr="005A284F">
        <w:rPr>
          <w:rFonts w:ascii="Times New Roman" w:hAnsi="Times New Roman" w:cs="Times New Roman"/>
          <w:sz w:val="18"/>
          <w:szCs w:val="18"/>
        </w:rPr>
        <w:t>月</w:t>
      </w:r>
      <w:r w:rsidRPr="005A284F">
        <w:rPr>
          <w:rFonts w:ascii="Times New Roman" w:hAnsi="Times New Roman" w:cs="Times New Roman"/>
          <w:sz w:val="18"/>
          <w:szCs w:val="18"/>
        </w:rPr>
        <w:t>30</w:t>
      </w:r>
      <w:r w:rsidRPr="005A284F">
        <w:rPr>
          <w:rFonts w:ascii="Times New Roman" w:hAnsi="Times New Roman" w:cs="Times New Roman"/>
          <w:sz w:val="18"/>
          <w:szCs w:val="18"/>
        </w:rPr>
        <w:t>日，本集团的外币货币性项目余额参见本附注七、</w:t>
      </w:r>
      <w:r w:rsidRPr="005A284F">
        <w:rPr>
          <w:rFonts w:ascii="Times New Roman" w:hAnsi="Times New Roman" w:cs="Times New Roman"/>
          <w:sz w:val="18"/>
          <w:szCs w:val="18"/>
        </w:rPr>
        <w:t>81 “</w:t>
      </w:r>
      <w:r w:rsidRPr="005A284F">
        <w:rPr>
          <w:rFonts w:ascii="Times New Roman" w:hAnsi="Times New Roman" w:cs="Times New Roman"/>
          <w:sz w:val="18"/>
          <w:szCs w:val="18"/>
        </w:rPr>
        <w:t>外币货币性项目</w:t>
      </w:r>
      <w:r w:rsidRPr="005A284F">
        <w:rPr>
          <w:rFonts w:ascii="Times New Roman" w:hAnsi="Times New Roman" w:cs="Times New Roman"/>
          <w:sz w:val="18"/>
          <w:szCs w:val="18"/>
        </w:rPr>
        <w:t>”</w:t>
      </w:r>
      <w:r w:rsidRPr="005A284F">
        <w:rPr>
          <w:rFonts w:ascii="Times New Roman" w:hAnsi="Times New Roman" w:cs="Times New Roman"/>
          <w:sz w:val="18"/>
          <w:szCs w:val="18"/>
        </w:rPr>
        <w:t>。</w:t>
      </w:r>
    </w:p>
    <w:p w14:paraId="5BF4EF7A" w14:textId="77777777" w:rsidR="000309B5" w:rsidRPr="005A284F" w:rsidRDefault="00000000" w:rsidP="003524E1">
      <w:pPr>
        <w:pStyle w:val="a3"/>
        <w:spacing w:before="0" w:beforeAutospacing="0" w:after="0" w:afterAutospacing="0" w:line="276" w:lineRule="auto"/>
        <w:ind w:firstLineChars="200" w:firstLine="360"/>
        <w:jc w:val="both"/>
        <w:divId w:val="1904634617"/>
        <w:rPr>
          <w:rFonts w:ascii="Times New Roman" w:hAnsi="Times New Roman" w:cs="Times New Roman"/>
        </w:rPr>
      </w:pPr>
      <w:r w:rsidRPr="005A284F">
        <w:rPr>
          <w:rFonts w:ascii="Times New Roman" w:hAnsi="Times New Roman" w:cs="Times New Roman"/>
          <w:sz w:val="18"/>
          <w:szCs w:val="18"/>
        </w:rPr>
        <w:t>本集团密切关注汇率变动对本集团汇率风险的影响。本集团目前并未采取任何措施规避汇率风险。</w:t>
      </w:r>
    </w:p>
    <w:p w14:paraId="5E9403FF" w14:textId="77777777" w:rsidR="000309B5" w:rsidRPr="005A284F" w:rsidRDefault="00000000" w:rsidP="003524E1">
      <w:pPr>
        <w:pStyle w:val="a3"/>
        <w:spacing w:before="0" w:beforeAutospacing="0" w:after="0" w:afterAutospacing="0" w:line="276" w:lineRule="auto"/>
        <w:ind w:firstLineChars="200" w:firstLine="360"/>
        <w:jc w:val="both"/>
        <w:divId w:val="1904634617"/>
        <w:rPr>
          <w:rFonts w:ascii="Times New Roman" w:hAnsi="Times New Roman" w:cs="Times New Roman"/>
        </w:rPr>
      </w:pPr>
      <w:r w:rsidRPr="005A284F">
        <w:rPr>
          <w:rFonts w:ascii="Times New Roman" w:hAnsi="Times New Roman" w:cs="Times New Roman"/>
          <w:sz w:val="18"/>
          <w:szCs w:val="18"/>
        </w:rPr>
        <w:t>汇率风险的敏感性分析见下表，反映了在其他变量不变的假设下，以下所列外币汇率发生合理、可能的变动时，由于货币性资产和货币性负债的公允价值变化将对净利润和股东权益产生的影响。</w:t>
      </w:r>
    </w:p>
    <w:tbl>
      <w:tblPr>
        <w:tblW w:w="51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80"/>
        <w:gridCol w:w="1384"/>
        <w:gridCol w:w="1663"/>
        <w:gridCol w:w="1386"/>
        <w:gridCol w:w="1659"/>
      </w:tblGrid>
      <w:tr w:rsidR="003524E1" w:rsidRPr="003524E1" w14:paraId="09657642" w14:textId="77777777" w:rsidTr="003524E1">
        <w:trPr>
          <w:divId w:val="1904634617"/>
          <w:trHeight w:val="350"/>
          <w:jc w:val="center"/>
        </w:trPr>
        <w:tc>
          <w:tcPr>
            <w:tcW w:w="1945" w:type="pct"/>
            <w:vMerge w:val="restart"/>
            <w:tcMar>
              <w:top w:w="0" w:type="dxa"/>
              <w:left w:w="108" w:type="dxa"/>
              <w:bottom w:w="0" w:type="dxa"/>
              <w:right w:w="108" w:type="dxa"/>
            </w:tcMar>
            <w:vAlign w:val="center"/>
            <w:hideMark/>
          </w:tcPr>
          <w:p w14:paraId="6F6A296C" w14:textId="77777777" w:rsidR="000309B5" w:rsidRPr="003524E1" w:rsidRDefault="00000000">
            <w:pPr>
              <w:pStyle w:val="a3"/>
              <w:spacing w:before="0" w:beforeAutospacing="0" w:after="0" w:afterAutospacing="0" w:line="273" w:lineRule="auto"/>
              <w:jc w:val="center"/>
              <w:rPr>
                <w:rFonts w:ascii="Times New Roman" w:hAnsi="Times New Roman" w:cs="Times New Roman"/>
              </w:rPr>
            </w:pPr>
            <w:r w:rsidRPr="003524E1">
              <w:rPr>
                <w:rFonts w:ascii="Times New Roman" w:hAnsi="Times New Roman" w:cs="Times New Roman"/>
                <w:sz w:val="18"/>
                <w:szCs w:val="18"/>
              </w:rPr>
              <w:t>项目</w:t>
            </w:r>
          </w:p>
        </w:tc>
        <w:tc>
          <w:tcPr>
            <w:tcW w:w="1528" w:type="pct"/>
            <w:gridSpan w:val="2"/>
            <w:tcMar>
              <w:top w:w="0" w:type="dxa"/>
              <w:left w:w="108" w:type="dxa"/>
              <w:bottom w:w="0" w:type="dxa"/>
              <w:right w:w="108" w:type="dxa"/>
            </w:tcMar>
            <w:vAlign w:val="center"/>
            <w:hideMark/>
          </w:tcPr>
          <w:p w14:paraId="56C401A1" w14:textId="77777777" w:rsidR="000309B5" w:rsidRPr="003524E1" w:rsidRDefault="00000000">
            <w:pPr>
              <w:pStyle w:val="a3"/>
              <w:spacing w:before="0" w:beforeAutospacing="0" w:after="0" w:afterAutospacing="0" w:line="273" w:lineRule="auto"/>
              <w:jc w:val="center"/>
              <w:rPr>
                <w:rFonts w:ascii="Times New Roman" w:hAnsi="Times New Roman" w:cs="Times New Roman"/>
              </w:rPr>
            </w:pPr>
            <w:r w:rsidRPr="003524E1">
              <w:rPr>
                <w:rFonts w:ascii="Times New Roman" w:hAnsi="Times New Roman" w:cs="Times New Roman"/>
                <w:sz w:val="18"/>
                <w:szCs w:val="18"/>
              </w:rPr>
              <w:t>本年</w:t>
            </w:r>
          </w:p>
        </w:tc>
        <w:tc>
          <w:tcPr>
            <w:tcW w:w="1527" w:type="pct"/>
            <w:gridSpan w:val="2"/>
            <w:tcMar>
              <w:top w:w="0" w:type="dxa"/>
              <w:left w:w="108" w:type="dxa"/>
              <w:bottom w:w="0" w:type="dxa"/>
              <w:right w:w="108" w:type="dxa"/>
            </w:tcMar>
            <w:vAlign w:val="center"/>
            <w:hideMark/>
          </w:tcPr>
          <w:p w14:paraId="387F5ED2" w14:textId="77777777" w:rsidR="000309B5" w:rsidRPr="003524E1" w:rsidRDefault="00000000">
            <w:pPr>
              <w:pStyle w:val="a3"/>
              <w:spacing w:before="0" w:beforeAutospacing="0" w:after="0" w:afterAutospacing="0" w:line="273" w:lineRule="auto"/>
              <w:jc w:val="center"/>
              <w:rPr>
                <w:rFonts w:ascii="Times New Roman" w:hAnsi="Times New Roman" w:cs="Times New Roman"/>
              </w:rPr>
            </w:pPr>
            <w:r w:rsidRPr="003524E1">
              <w:rPr>
                <w:rFonts w:ascii="Times New Roman" w:hAnsi="Times New Roman" w:cs="Times New Roman"/>
                <w:sz w:val="18"/>
                <w:szCs w:val="18"/>
              </w:rPr>
              <w:t>上年</w:t>
            </w:r>
          </w:p>
        </w:tc>
      </w:tr>
      <w:tr w:rsidR="003524E1" w:rsidRPr="003524E1" w14:paraId="3874CF9C" w14:textId="77777777" w:rsidTr="003524E1">
        <w:trPr>
          <w:divId w:val="1904634617"/>
          <w:trHeight w:val="350"/>
          <w:jc w:val="center"/>
        </w:trPr>
        <w:tc>
          <w:tcPr>
            <w:tcW w:w="1945" w:type="pct"/>
            <w:vMerge/>
            <w:vAlign w:val="center"/>
            <w:hideMark/>
          </w:tcPr>
          <w:p w14:paraId="14767EE5" w14:textId="77777777" w:rsidR="000309B5" w:rsidRPr="003524E1" w:rsidRDefault="000309B5">
            <w:pPr>
              <w:rPr>
                <w:rFonts w:ascii="Times New Roman" w:eastAsia="宋体" w:hAnsi="Times New Roman" w:cs="Times New Roman"/>
                <w:sz w:val="24"/>
              </w:rPr>
            </w:pPr>
          </w:p>
        </w:tc>
        <w:tc>
          <w:tcPr>
            <w:tcW w:w="694" w:type="pct"/>
            <w:tcMar>
              <w:top w:w="0" w:type="dxa"/>
              <w:left w:w="108" w:type="dxa"/>
              <w:bottom w:w="0" w:type="dxa"/>
              <w:right w:w="108" w:type="dxa"/>
            </w:tcMar>
            <w:vAlign w:val="center"/>
            <w:hideMark/>
          </w:tcPr>
          <w:p w14:paraId="20EEE485" w14:textId="77777777" w:rsidR="000309B5" w:rsidRPr="003524E1" w:rsidRDefault="00000000">
            <w:pPr>
              <w:pStyle w:val="a3"/>
              <w:spacing w:before="0" w:beforeAutospacing="0" w:after="0" w:afterAutospacing="0" w:line="273" w:lineRule="auto"/>
              <w:jc w:val="center"/>
              <w:rPr>
                <w:rFonts w:ascii="Times New Roman" w:hAnsi="Times New Roman" w:cs="Times New Roman"/>
              </w:rPr>
            </w:pPr>
            <w:r w:rsidRPr="003524E1">
              <w:rPr>
                <w:rFonts w:ascii="Times New Roman" w:hAnsi="Times New Roman" w:cs="Times New Roman"/>
                <w:sz w:val="18"/>
                <w:szCs w:val="18"/>
              </w:rPr>
              <w:t>对利润的影响</w:t>
            </w:r>
          </w:p>
        </w:tc>
        <w:tc>
          <w:tcPr>
            <w:tcW w:w="833" w:type="pct"/>
            <w:tcMar>
              <w:top w:w="0" w:type="dxa"/>
              <w:left w:w="108" w:type="dxa"/>
              <w:bottom w:w="0" w:type="dxa"/>
              <w:right w:w="108" w:type="dxa"/>
            </w:tcMar>
            <w:vAlign w:val="center"/>
            <w:hideMark/>
          </w:tcPr>
          <w:p w14:paraId="07C1872E" w14:textId="77777777" w:rsidR="000309B5" w:rsidRPr="003524E1" w:rsidRDefault="00000000">
            <w:pPr>
              <w:pStyle w:val="a3"/>
              <w:spacing w:before="0" w:beforeAutospacing="0" w:after="0" w:afterAutospacing="0" w:line="273" w:lineRule="auto"/>
              <w:jc w:val="center"/>
              <w:rPr>
                <w:rFonts w:ascii="Times New Roman" w:hAnsi="Times New Roman" w:cs="Times New Roman"/>
              </w:rPr>
            </w:pPr>
            <w:r w:rsidRPr="003524E1">
              <w:rPr>
                <w:rFonts w:ascii="Times New Roman" w:hAnsi="Times New Roman" w:cs="Times New Roman"/>
                <w:sz w:val="18"/>
                <w:szCs w:val="18"/>
              </w:rPr>
              <w:t>对股东权益的影响</w:t>
            </w:r>
          </w:p>
        </w:tc>
        <w:tc>
          <w:tcPr>
            <w:tcW w:w="695" w:type="pct"/>
            <w:tcMar>
              <w:top w:w="0" w:type="dxa"/>
              <w:left w:w="108" w:type="dxa"/>
              <w:bottom w:w="0" w:type="dxa"/>
              <w:right w:w="108" w:type="dxa"/>
            </w:tcMar>
            <w:vAlign w:val="center"/>
            <w:hideMark/>
          </w:tcPr>
          <w:p w14:paraId="266BA06B" w14:textId="77777777" w:rsidR="000309B5" w:rsidRPr="003524E1" w:rsidRDefault="00000000">
            <w:pPr>
              <w:pStyle w:val="a3"/>
              <w:spacing w:before="0" w:beforeAutospacing="0" w:after="0" w:afterAutospacing="0" w:line="273" w:lineRule="auto"/>
              <w:jc w:val="center"/>
              <w:rPr>
                <w:rFonts w:ascii="Times New Roman" w:hAnsi="Times New Roman" w:cs="Times New Roman"/>
              </w:rPr>
            </w:pPr>
            <w:r w:rsidRPr="003524E1">
              <w:rPr>
                <w:rFonts w:ascii="Times New Roman" w:hAnsi="Times New Roman" w:cs="Times New Roman"/>
                <w:sz w:val="18"/>
                <w:szCs w:val="18"/>
              </w:rPr>
              <w:t>对利润的影响</w:t>
            </w:r>
          </w:p>
        </w:tc>
        <w:tc>
          <w:tcPr>
            <w:tcW w:w="832" w:type="pct"/>
            <w:tcMar>
              <w:top w:w="0" w:type="dxa"/>
              <w:left w:w="108" w:type="dxa"/>
              <w:bottom w:w="0" w:type="dxa"/>
              <w:right w:w="108" w:type="dxa"/>
            </w:tcMar>
            <w:vAlign w:val="center"/>
            <w:hideMark/>
          </w:tcPr>
          <w:p w14:paraId="09F5DEE6" w14:textId="77777777" w:rsidR="000309B5" w:rsidRPr="003524E1" w:rsidRDefault="00000000">
            <w:pPr>
              <w:pStyle w:val="a3"/>
              <w:spacing w:before="0" w:beforeAutospacing="0" w:after="0" w:afterAutospacing="0" w:line="273" w:lineRule="auto"/>
              <w:jc w:val="center"/>
              <w:rPr>
                <w:rFonts w:ascii="Times New Roman" w:hAnsi="Times New Roman" w:cs="Times New Roman"/>
              </w:rPr>
            </w:pPr>
            <w:r w:rsidRPr="003524E1">
              <w:rPr>
                <w:rFonts w:ascii="Times New Roman" w:hAnsi="Times New Roman" w:cs="Times New Roman"/>
                <w:sz w:val="18"/>
                <w:szCs w:val="18"/>
              </w:rPr>
              <w:t>对股东权益的影响</w:t>
            </w:r>
          </w:p>
        </w:tc>
      </w:tr>
      <w:tr w:rsidR="003524E1" w:rsidRPr="003524E1" w14:paraId="76484F7F" w14:textId="77777777" w:rsidTr="003524E1">
        <w:trPr>
          <w:divId w:val="1904634617"/>
          <w:trHeight w:val="350"/>
          <w:jc w:val="center"/>
        </w:trPr>
        <w:tc>
          <w:tcPr>
            <w:tcW w:w="1945" w:type="pct"/>
            <w:tcMar>
              <w:top w:w="0" w:type="dxa"/>
              <w:left w:w="108" w:type="dxa"/>
              <w:bottom w:w="0" w:type="dxa"/>
              <w:right w:w="108" w:type="dxa"/>
            </w:tcMar>
            <w:vAlign w:val="center"/>
            <w:hideMark/>
          </w:tcPr>
          <w:p w14:paraId="744D5408" w14:textId="77777777" w:rsidR="000309B5" w:rsidRPr="003524E1" w:rsidRDefault="00000000">
            <w:pPr>
              <w:pStyle w:val="a3"/>
              <w:spacing w:before="0" w:beforeAutospacing="0" w:after="0" w:afterAutospacing="0" w:line="273" w:lineRule="auto"/>
              <w:jc w:val="both"/>
              <w:rPr>
                <w:rFonts w:ascii="Times New Roman" w:hAnsi="Times New Roman" w:cs="Times New Roman"/>
              </w:rPr>
            </w:pPr>
            <w:r w:rsidRPr="003524E1">
              <w:rPr>
                <w:rFonts w:ascii="Times New Roman" w:hAnsi="Times New Roman" w:cs="Times New Roman"/>
                <w:sz w:val="18"/>
                <w:szCs w:val="18"/>
              </w:rPr>
              <w:t>人民币对美元汇率增加</w:t>
            </w:r>
            <w:r w:rsidRPr="003524E1">
              <w:rPr>
                <w:rFonts w:ascii="Times New Roman" w:hAnsi="Times New Roman" w:cs="Times New Roman"/>
                <w:sz w:val="18"/>
                <w:szCs w:val="18"/>
              </w:rPr>
              <w:t>100</w:t>
            </w:r>
            <w:r w:rsidRPr="003524E1">
              <w:rPr>
                <w:rFonts w:ascii="Times New Roman" w:hAnsi="Times New Roman" w:cs="Times New Roman"/>
                <w:sz w:val="18"/>
                <w:szCs w:val="18"/>
              </w:rPr>
              <w:t>个基准点</w:t>
            </w:r>
          </w:p>
        </w:tc>
        <w:tc>
          <w:tcPr>
            <w:tcW w:w="694" w:type="pct"/>
            <w:tcMar>
              <w:top w:w="0" w:type="dxa"/>
              <w:left w:w="108" w:type="dxa"/>
              <w:bottom w:w="0" w:type="dxa"/>
              <w:right w:w="108" w:type="dxa"/>
            </w:tcMar>
            <w:vAlign w:val="center"/>
            <w:hideMark/>
          </w:tcPr>
          <w:p w14:paraId="559DB83B" w14:textId="4F522448" w:rsidR="000309B5" w:rsidRPr="003524E1" w:rsidRDefault="00000000">
            <w:pPr>
              <w:pStyle w:val="a3"/>
              <w:spacing w:after="160" w:afterAutospacing="0" w:line="276" w:lineRule="auto"/>
              <w:jc w:val="right"/>
              <w:textAlignment w:val="center"/>
              <w:rPr>
                <w:rFonts w:ascii="Times New Roman" w:hAnsi="Times New Roman" w:cs="Times New Roman"/>
                <w:sz w:val="18"/>
                <w:szCs w:val="18"/>
              </w:rPr>
            </w:pPr>
            <w:r w:rsidRPr="003524E1">
              <w:rPr>
                <w:rFonts w:ascii="Times New Roman" w:hAnsi="Times New Roman" w:cs="Times New Roman"/>
                <w:sz w:val="18"/>
                <w:szCs w:val="18"/>
              </w:rPr>
              <w:t xml:space="preserve">2,296.26 </w:t>
            </w:r>
          </w:p>
        </w:tc>
        <w:tc>
          <w:tcPr>
            <w:tcW w:w="833" w:type="pct"/>
            <w:tcMar>
              <w:top w:w="0" w:type="dxa"/>
              <w:left w:w="108" w:type="dxa"/>
              <w:bottom w:w="0" w:type="dxa"/>
              <w:right w:w="108" w:type="dxa"/>
            </w:tcMar>
            <w:vAlign w:val="center"/>
            <w:hideMark/>
          </w:tcPr>
          <w:p w14:paraId="1EB19D0E" w14:textId="41A76ECA" w:rsidR="000309B5" w:rsidRPr="003524E1" w:rsidRDefault="00000000">
            <w:pPr>
              <w:pStyle w:val="a3"/>
              <w:spacing w:after="160" w:afterAutospacing="0" w:line="276" w:lineRule="auto"/>
              <w:jc w:val="right"/>
              <w:textAlignment w:val="center"/>
              <w:rPr>
                <w:rFonts w:ascii="Times New Roman" w:hAnsi="Times New Roman" w:cs="Times New Roman"/>
                <w:sz w:val="18"/>
                <w:szCs w:val="18"/>
              </w:rPr>
            </w:pPr>
            <w:r w:rsidRPr="003524E1">
              <w:rPr>
                <w:rFonts w:ascii="Times New Roman" w:hAnsi="Times New Roman" w:cs="Times New Roman"/>
                <w:sz w:val="18"/>
                <w:szCs w:val="18"/>
              </w:rPr>
              <w:t xml:space="preserve">2,296.26 </w:t>
            </w:r>
          </w:p>
        </w:tc>
        <w:tc>
          <w:tcPr>
            <w:tcW w:w="695" w:type="pct"/>
            <w:tcMar>
              <w:top w:w="0" w:type="dxa"/>
              <w:left w:w="108" w:type="dxa"/>
              <w:bottom w:w="0" w:type="dxa"/>
              <w:right w:w="108" w:type="dxa"/>
            </w:tcMar>
            <w:hideMark/>
          </w:tcPr>
          <w:p w14:paraId="1EE2F1F6" w14:textId="77777777" w:rsidR="000309B5" w:rsidRPr="003524E1" w:rsidRDefault="00000000">
            <w:pPr>
              <w:pStyle w:val="a3"/>
              <w:spacing w:before="0" w:beforeAutospacing="0" w:after="0" w:afterAutospacing="0"/>
              <w:jc w:val="right"/>
              <w:rPr>
                <w:rFonts w:ascii="Times New Roman" w:hAnsi="Times New Roman" w:cs="Times New Roman"/>
                <w:sz w:val="18"/>
                <w:szCs w:val="18"/>
              </w:rPr>
            </w:pPr>
            <w:r w:rsidRPr="003524E1">
              <w:rPr>
                <w:rFonts w:ascii="Times New Roman" w:hAnsi="Times New Roman" w:cs="Times New Roman"/>
                <w:sz w:val="18"/>
                <w:szCs w:val="18"/>
              </w:rPr>
              <w:t>994.00</w:t>
            </w:r>
          </w:p>
        </w:tc>
        <w:tc>
          <w:tcPr>
            <w:tcW w:w="832" w:type="pct"/>
            <w:tcMar>
              <w:top w:w="0" w:type="dxa"/>
              <w:left w:w="108" w:type="dxa"/>
              <w:bottom w:w="0" w:type="dxa"/>
              <w:right w:w="108" w:type="dxa"/>
            </w:tcMar>
            <w:hideMark/>
          </w:tcPr>
          <w:p w14:paraId="036935F9" w14:textId="77777777" w:rsidR="000309B5" w:rsidRPr="003524E1" w:rsidRDefault="00000000">
            <w:pPr>
              <w:pStyle w:val="a3"/>
              <w:spacing w:before="0" w:beforeAutospacing="0" w:after="0" w:afterAutospacing="0"/>
              <w:jc w:val="right"/>
              <w:rPr>
                <w:rFonts w:ascii="Times New Roman" w:hAnsi="Times New Roman" w:cs="Times New Roman"/>
              </w:rPr>
            </w:pPr>
            <w:r w:rsidRPr="003524E1">
              <w:rPr>
                <w:rFonts w:ascii="Times New Roman" w:hAnsi="Times New Roman" w:cs="Times New Roman"/>
                <w:sz w:val="18"/>
                <w:szCs w:val="18"/>
              </w:rPr>
              <w:t>994.00</w:t>
            </w:r>
          </w:p>
        </w:tc>
      </w:tr>
      <w:tr w:rsidR="003524E1" w:rsidRPr="003524E1" w14:paraId="0620809B" w14:textId="77777777" w:rsidTr="003524E1">
        <w:trPr>
          <w:divId w:val="1904634617"/>
          <w:trHeight w:val="350"/>
          <w:jc w:val="center"/>
        </w:trPr>
        <w:tc>
          <w:tcPr>
            <w:tcW w:w="1945" w:type="pct"/>
            <w:tcMar>
              <w:top w:w="0" w:type="dxa"/>
              <w:left w:w="108" w:type="dxa"/>
              <w:bottom w:w="0" w:type="dxa"/>
              <w:right w:w="108" w:type="dxa"/>
            </w:tcMar>
            <w:vAlign w:val="center"/>
            <w:hideMark/>
          </w:tcPr>
          <w:p w14:paraId="4F1EA443" w14:textId="77777777" w:rsidR="000309B5" w:rsidRPr="003524E1" w:rsidRDefault="00000000">
            <w:pPr>
              <w:pStyle w:val="a3"/>
              <w:spacing w:before="0" w:beforeAutospacing="0" w:after="0" w:afterAutospacing="0" w:line="273" w:lineRule="auto"/>
              <w:jc w:val="both"/>
              <w:rPr>
                <w:rFonts w:ascii="Times New Roman" w:hAnsi="Times New Roman" w:cs="Times New Roman"/>
              </w:rPr>
            </w:pPr>
            <w:r w:rsidRPr="003524E1">
              <w:rPr>
                <w:rFonts w:ascii="Times New Roman" w:hAnsi="Times New Roman" w:cs="Times New Roman"/>
                <w:sz w:val="18"/>
                <w:szCs w:val="18"/>
              </w:rPr>
              <w:t>人民币对欧元汇率增加</w:t>
            </w:r>
            <w:r w:rsidRPr="003524E1">
              <w:rPr>
                <w:rFonts w:ascii="Times New Roman" w:hAnsi="Times New Roman" w:cs="Times New Roman"/>
                <w:sz w:val="18"/>
                <w:szCs w:val="18"/>
              </w:rPr>
              <w:t>100</w:t>
            </w:r>
            <w:r w:rsidRPr="003524E1">
              <w:rPr>
                <w:rFonts w:ascii="Times New Roman" w:hAnsi="Times New Roman" w:cs="Times New Roman"/>
                <w:sz w:val="18"/>
                <w:szCs w:val="18"/>
              </w:rPr>
              <w:t>个基准点</w:t>
            </w:r>
          </w:p>
        </w:tc>
        <w:tc>
          <w:tcPr>
            <w:tcW w:w="694" w:type="pct"/>
            <w:tcMar>
              <w:top w:w="0" w:type="dxa"/>
              <w:left w:w="108" w:type="dxa"/>
              <w:bottom w:w="0" w:type="dxa"/>
              <w:right w:w="108" w:type="dxa"/>
            </w:tcMar>
            <w:vAlign w:val="center"/>
            <w:hideMark/>
          </w:tcPr>
          <w:p w14:paraId="6590722F" w14:textId="53D9D924" w:rsidR="000309B5" w:rsidRPr="003524E1" w:rsidRDefault="000309B5" w:rsidP="003524E1">
            <w:pPr>
              <w:pStyle w:val="a3"/>
              <w:spacing w:before="0" w:beforeAutospacing="0" w:after="0" w:afterAutospacing="0" w:line="273" w:lineRule="auto"/>
              <w:ind w:right="210"/>
              <w:jc w:val="right"/>
              <w:rPr>
                <w:rFonts w:ascii="Times New Roman" w:hAnsi="Times New Roman" w:cs="Times New Roman"/>
              </w:rPr>
            </w:pPr>
          </w:p>
        </w:tc>
        <w:tc>
          <w:tcPr>
            <w:tcW w:w="833" w:type="pct"/>
            <w:tcMar>
              <w:top w:w="0" w:type="dxa"/>
              <w:left w:w="108" w:type="dxa"/>
              <w:bottom w:w="0" w:type="dxa"/>
              <w:right w:w="108" w:type="dxa"/>
            </w:tcMar>
            <w:vAlign w:val="center"/>
            <w:hideMark/>
          </w:tcPr>
          <w:p w14:paraId="717958BA" w14:textId="39DFFD8D" w:rsidR="000309B5" w:rsidRPr="003524E1" w:rsidRDefault="000309B5">
            <w:pPr>
              <w:pStyle w:val="a3"/>
              <w:spacing w:before="0" w:beforeAutospacing="0" w:after="0" w:afterAutospacing="0" w:line="273" w:lineRule="auto"/>
              <w:jc w:val="right"/>
              <w:rPr>
                <w:rFonts w:ascii="Times New Roman" w:hAnsi="Times New Roman" w:cs="Times New Roman"/>
              </w:rPr>
            </w:pPr>
          </w:p>
        </w:tc>
        <w:tc>
          <w:tcPr>
            <w:tcW w:w="695" w:type="pct"/>
            <w:tcMar>
              <w:top w:w="0" w:type="dxa"/>
              <w:left w:w="108" w:type="dxa"/>
              <w:bottom w:w="0" w:type="dxa"/>
              <w:right w:w="108" w:type="dxa"/>
            </w:tcMar>
            <w:hideMark/>
          </w:tcPr>
          <w:p w14:paraId="574DC7BD" w14:textId="77777777" w:rsidR="000309B5" w:rsidRPr="003524E1" w:rsidRDefault="00000000">
            <w:pPr>
              <w:pStyle w:val="a3"/>
              <w:spacing w:before="0" w:beforeAutospacing="0" w:after="0" w:afterAutospacing="0"/>
              <w:jc w:val="right"/>
              <w:rPr>
                <w:rFonts w:ascii="Times New Roman" w:hAnsi="Times New Roman" w:cs="Times New Roman"/>
              </w:rPr>
            </w:pPr>
            <w:r w:rsidRPr="003524E1">
              <w:rPr>
                <w:rFonts w:ascii="Times New Roman" w:hAnsi="Times New Roman" w:cs="Times New Roman"/>
                <w:sz w:val="18"/>
                <w:szCs w:val="18"/>
              </w:rPr>
              <w:t>0.00</w:t>
            </w:r>
          </w:p>
        </w:tc>
        <w:tc>
          <w:tcPr>
            <w:tcW w:w="832" w:type="pct"/>
            <w:tcMar>
              <w:top w:w="0" w:type="dxa"/>
              <w:left w:w="108" w:type="dxa"/>
              <w:bottom w:w="0" w:type="dxa"/>
              <w:right w:w="108" w:type="dxa"/>
            </w:tcMar>
            <w:hideMark/>
          </w:tcPr>
          <w:p w14:paraId="5DF4745A" w14:textId="77777777" w:rsidR="000309B5" w:rsidRPr="003524E1" w:rsidRDefault="00000000">
            <w:pPr>
              <w:pStyle w:val="a3"/>
              <w:spacing w:before="0" w:beforeAutospacing="0" w:after="0" w:afterAutospacing="0"/>
              <w:jc w:val="right"/>
              <w:rPr>
                <w:rFonts w:ascii="Times New Roman" w:hAnsi="Times New Roman" w:cs="Times New Roman"/>
              </w:rPr>
            </w:pPr>
            <w:r w:rsidRPr="003524E1">
              <w:rPr>
                <w:rFonts w:ascii="Times New Roman" w:hAnsi="Times New Roman" w:cs="Times New Roman"/>
                <w:sz w:val="18"/>
                <w:szCs w:val="18"/>
              </w:rPr>
              <w:t>0.00</w:t>
            </w:r>
          </w:p>
        </w:tc>
      </w:tr>
      <w:tr w:rsidR="003524E1" w:rsidRPr="003524E1" w14:paraId="6F4C1C22" w14:textId="77777777" w:rsidTr="003524E1">
        <w:trPr>
          <w:divId w:val="1904634617"/>
          <w:trHeight w:val="350"/>
          <w:jc w:val="center"/>
        </w:trPr>
        <w:tc>
          <w:tcPr>
            <w:tcW w:w="1945" w:type="pct"/>
            <w:tcMar>
              <w:top w:w="0" w:type="dxa"/>
              <w:left w:w="108" w:type="dxa"/>
              <w:bottom w:w="0" w:type="dxa"/>
              <w:right w:w="108" w:type="dxa"/>
            </w:tcMar>
            <w:vAlign w:val="center"/>
            <w:hideMark/>
          </w:tcPr>
          <w:p w14:paraId="27F280F8" w14:textId="77777777" w:rsidR="000309B5" w:rsidRPr="003524E1" w:rsidRDefault="00000000">
            <w:pPr>
              <w:pStyle w:val="a3"/>
              <w:spacing w:before="0" w:beforeAutospacing="0" w:after="0" w:afterAutospacing="0" w:line="273" w:lineRule="auto"/>
              <w:jc w:val="both"/>
              <w:rPr>
                <w:rFonts w:ascii="Times New Roman" w:hAnsi="Times New Roman" w:cs="Times New Roman"/>
              </w:rPr>
            </w:pPr>
            <w:r w:rsidRPr="003524E1">
              <w:rPr>
                <w:rFonts w:ascii="Times New Roman" w:hAnsi="Times New Roman" w:cs="Times New Roman"/>
                <w:sz w:val="18"/>
                <w:szCs w:val="18"/>
              </w:rPr>
              <w:t>人民币对日元汇率增加</w:t>
            </w:r>
            <w:r w:rsidRPr="003524E1">
              <w:rPr>
                <w:rFonts w:ascii="Times New Roman" w:hAnsi="Times New Roman" w:cs="Times New Roman"/>
                <w:sz w:val="18"/>
                <w:szCs w:val="18"/>
              </w:rPr>
              <w:t>100</w:t>
            </w:r>
            <w:r w:rsidRPr="003524E1">
              <w:rPr>
                <w:rFonts w:ascii="Times New Roman" w:hAnsi="Times New Roman" w:cs="Times New Roman"/>
                <w:sz w:val="18"/>
                <w:szCs w:val="18"/>
              </w:rPr>
              <w:t>个基准点</w:t>
            </w:r>
          </w:p>
        </w:tc>
        <w:tc>
          <w:tcPr>
            <w:tcW w:w="694" w:type="pct"/>
            <w:tcMar>
              <w:top w:w="0" w:type="dxa"/>
              <w:left w:w="108" w:type="dxa"/>
              <w:bottom w:w="0" w:type="dxa"/>
              <w:right w:w="108" w:type="dxa"/>
            </w:tcMar>
            <w:vAlign w:val="center"/>
            <w:hideMark/>
          </w:tcPr>
          <w:p w14:paraId="1D4A6896" w14:textId="676C1EA1" w:rsidR="000309B5" w:rsidRPr="003524E1" w:rsidRDefault="000309B5">
            <w:pPr>
              <w:pStyle w:val="a3"/>
              <w:spacing w:before="0" w:beforeAutospacing="0" w:after="0" w:afterAutospacing="0" w:line="273" w:lineRule="auto"/>
              <w:jc w:val="right"/>
              <w:rPr>
                <w:rFonts w:ascii="Times New Roman" w:hAnsi="Times New Roman" w:cs="Times New Roman"/>
              </w:rPr>
            </w:pPr>
          </w:p>
        </w:tc>
        <w:tc>
          <w:tcPr>
            <w:tcW w:w="833" w:type="pct"/>
            <w:tcMar>
              <w:top w:w="0" w:type="dxa"/>
              <w:left w:w="108" w:type="dxa"/>
              <w:bottom w:w="0" w:type="dxa"/>
              <w:right w:w="108" w:type="dxa"/>
            </w:tcMar>
            <w:vAlign w:val="center"/>
            <w:hideMark/>
          </w:tcPr>
          <w:p w14:paraId="4A9B08B3" w14:textId="610ED5C0" w:rsidR="000309B5" w:rsidRPr="003524E1" w:rsidRDefault="000309B5">
            <w:pPr>
              <w:pStyle w:val="a3"/>
              <w:spacing w:before="0" w:beforeAutospacing="0" w:after="0" w:afterAutospacing="0" w:line="273" w:lineRule="auto"/>
              <w:jc w:val="right"/>
              <w:rPr>
                <w:rFonts w:ascii="Times New Roman" w:hAnsi="Times New Roman" w:cs="Times New Roman"/>
              </w:rPr>
            </w:pPr>
          </w:p>
        </w:tc>
        <w:tc>
          <w:tcPr>
            <w:tcW w:w="695" w:type="pct"/>
            <w:tcMar>
              <w:top w:w="0" w:type="dxa"/>
              <w:left w:w="108" w:type="dxa"/>
              <w:bottom w:w="0" w:type="dxa"/>
              <w:right w:w="108" w:type="dxa"/>
            </w:tcMar>
            <w:hideMark/>
          </w:tcPr>
          <w:p w14:paraId="38A99C6F" w14:textId="77777777" w:rsidR="000309B5" w:rsidRPr="003524E1" w:rsidRDefault="00000000">
            <w:pPr>
              <w:pStyle w:val="a3"/>
              <w:spacing w:before="0" w:beforeAutospacing="0" w:after="0" w:afterAutospacing="0"/>
              <w:jc w:val="right"/>
              <w:rPr>
                <w:rFonts w:ascii="Times New Roman" w:hAnsi="Times New Roman" w:cs="Times New Roman"/>
              </w:rPr>
            </w:pPr>
            <w:r w:rsidRPr="003524E1">
              <w:rPr>
                <w:rFonts w:ascii="Times New Roman" w:hAnsi="Times New Roman" w:cs="Times New Roman"/>
                <w:sz w:val="18"/>
                <w:szCs w:val="18"/>
              </w:rPr>
              <w:t>0.00</w:t>
            </w:r>
          </w:p>
        </w:tc>
        <w:tc>
          <w:tcPr>
            <w:tcW w:w="832" w:type="pct"/>
            <w:tcMar>
              <w:top w:w="0" w:type="dxa"/>
              <w:left w:w="108" w:type="dxa"/>
              <w:bottom w:w="0" w:type="dxa"/>
              <w:right w:w="108" w:type="dxa"/>
            </w:tcMar>
            <w:hideMark/>
          </w:tcPr>
          <w:p w14:paraId="5DE32D42" w14:textId="77777777" w:rsidR="000309B5" w:rsidRPr="003524E1" w:rsidRDefault="00000000">
            <w:pPr>
              <w:pStyle w:val="a3"/>
              <w:spacing w:before="0" w:beforeAutospacing="0" w:after="0" w:afterAutospacing="0"/>
              <w:jc w:val="right"/>
              <w:rPr>
                <w:rFonts w:ascii="Times New Roman" w:hAnsi="Times New Roman" w:cs="Times New Roman"/>
              </w:rPr>
            </w:pPr>
            <w:r w:rsidRPr="003524E1">
              <w:rPr>
                <w:rFonts w:ascii="Times New Roman" w:hAnsi="Times New Roman" w:cs="Times New Roman"/>
                <w:sz w:val="18"/>
                <w:szCs w:val="18"/>
              </w:rPr>
              <w:t>0.00</w:t>
            </w:r>
          </w:p>
        </w:tc>
      </w:tr>
    </w:tbl>
    <w:p w14:paraId="55E0386A" w14:textId="77777777" w:rsidR="000309B5" w:rsidRPr="005A284F" w:rsidRDefault="00000000">
      <w:pPr>
        <w:pStyle w:val="17"/>
        <w:spacing w:before="0" w:beforeAutospacing="0" w:after="0" w:afterAutospacing="0" w:line="273" w:lineRule="auto"/>
        <w:ind w:firstLine="360"/>
        <w:divId w:val="1904634617"/>
        <w:rPr>
          <w:rFonts w:ascii="Times New Roman" w:hAnsi="Times New Roman" w:cs="Times New Roman"/>
          <w:sz w:val="18"/>
          <w:szCs w:val="18"/>
        </w:rPr>
      </w:pPr>
      <w:r w:rsidRPr="005A284F">
        <w:rPr>
          <w:rFonts w:ascii="Times New Roman" w:hAnsi="Times New Roman" w:cs="Times New Roman"/>
          <w:sz w:val="18"/>
          <w:szCs w:val="18"/>
        </w:rPr>
        <w:t>注</w:t>
      </w:r>
      <w:r w:rsidRPr="005A284F">
        <w:rPr>
          <w:rFonts w:ascii="Times New Roman" w:hAnsi="Times New Roman" w:cs="Times New Roman"/>
          <w:sz w:val="18"/>
          <w:szCs w:val="18"/>
        </w:rPr>
        <w:t>1</w:t>
      </w:r>
      <w:r w:rsidRPr="005A284F">
        <w:rPr>
          <w:rFonts w:ascii="Times New Roman" w:hAnsi="Times New Roman" w:cs="Times New Roman"/>
          <w:sz w:val="18"/>
          <w:szCs w:val="18"/>
        </w:rPr>
        <w:t>：上表以正数表示增加，以负数表示减少。</w:t>
      </w:r>
    </w:p>
    <w:p w14:paraId="15E12249" w14:textId="77777777" w:rsidR="000309B5" w:rsidRPr="005A284F" w:rsidRDefault="00000000">
      <w:pPr>
        <w:pStyle w:val="17"/>
        <w:spacing w:before="0" w:beforeAutospacing="0" w:after="0" w:afterAutospacing="0" w:line="273" w:lineRule="auto"/>
        <w:ind w:firstLine="360"/>
        <w:divId w:val="1904634617"/>
        <w:rPr>
          <w:rFonts w:ascii="Times New Roman" w:hAnsi="Times New Roman" w:cs="Times New Roman"/>
          <w:sz w:val="18"/>
          <w:szCs w:val="18"/>
        </w:rPr>
      </w:pPr>
      <w:r w:rsidRPr="005A284F">
        <w:rPr>
          <w:rFonts w:ascii="Times New Roman" w:hAnsi="Times New Roman" w:cs="Times New Roman"/>
          <w:sz w:val="18"/>
          <w:szCs w:val="18"/>
        </w:rPr>
        <w:t>注</w:t>
      </w:r>
      <w:r w:rsidRPr="005A284F">
        <w:rPr>
          <w:rFonts w:ascii="Times New Roman" w:hAnsi="Times New Roman" w:cs="Times New Roman"/>
          <w:sz w:val="18"/>
          <w:szCs w:val="18"/>
        </w:rPr>
        <w:t>2</w:t>
      </w:r>
      <w:r w:rsidRPr="005A284F">
        <w:rPr>
          <w:rFonts w:ascii="Times New Roman" w:hAnsi="Times New Roman" w:cs="Times New Roman"/>
          <w:sz w:val="18"/>
          <w:szCs w:val="18"/>
        </w:rPr>
        <w:t>：上表的股东权益变动不包括留存收益。</w:t>
      </w:r>
    </w:p>
    <w:p w14:paraId="78ED13F2" w14:textId="77777777" w:rsidR="000309B5" w:rsidRPr="005A284F" w:rsidRDefault="00000000">
      <w:pPr>
        <w:pStyle w:val="a3"/>
        <w:spacing w:after="0" w:afterAutospacing="0" w:line="273" w:lineRule="auto"/>
        <w:ind w:left="360"/>
        <w:divId w:val="1904634617"/>
        <w:rPr>
          <w:rFonts w:ascii="Times New Roman" w:hAnsi="Times New Roman" w:cs="Times New Roman"/>
          <w:sz w:val="22"/>
          <w:szCs w:val="22"/>
        </w:rPr>
      </w:pPr>
      <w:r w:rsidRPr="005A284F">
        <w:rPr>
          <w:rFonts w:ascii="Times New Roman" w:hAnsi="Times New Roman" w:cs="Times New Roman"/>
          <w:sz w:val="18"/>
          <w:szCs w:val="18"/>
        </w:rPr>
        <w:t>利率风险</w:t>
      </w:r>
    </w:p>
    <w:p w14:paraId="3A232B6B" w14:textId="77777777" w:rsidR="000309B5" w:rsidRPr="005A284F" w:rsidRDefault="00000000">
      <w:pPr>
        <w:pStyle w:val="a3"/>
        <w:spacing w:before="0" w:beforeAutospacing="0" w:after="0" w:afterAutospacing="0" w:line="273" w:lineRule="auto"/>
        <w:ind w:firstLine="360"/>
        <w:jc w:val="both"/>
        <w:divId w:val="1904634617"/>
        <w:rPr>
          <w:rFonts w:ascii="Times New Roman" w:hAnsi="Times New Roman" w:cs="Times New Roman"/>
        </w:rPr>
      </w:pPr>
      <w:r w:rsidRPr="005A284F">
        <w:rPr>
          <w:rFonts w:ascii="Times New Roman" w:hAnsi="Times New Roman" w:cs="Times New Roman"/>
          <w:sz w:val="18"/>
          <w:szCs w:val="18"/>
        </w:rPr>
        <w:t>利率风险，是指金融工具的公允价值或未来现金流量因市场利率变动而发生波动的风险。本集团的利率风险产生于银行借款及应付债券等带息债务。浮动利率的金融负债使本集团面临现金流量利率风险，固定利率的金融负债使本集团面临公允价值利率风险。本集团根据当时的市场环境来决定固定利率及浮动利率合同的相对比例。</w:t>
      </w:r>
    </w:p>
    <w:p w14:paraId="1DF901B0" w14:textId="7EF04E16" w:rsidR="000309B5" w:rsidRPr="005A284F" w:rsidRDefault="00000000" w:rsidP="003524E1">
      <w:pPr>
        <w:pStyle w:val="a3"/>
        <w:spacing w:before="0" w:beforeAutospacing="0" w:after="0" w:afterAutospacing="0" w:line="273" w:lineRule="auto"/>
        <w:ind w:firstLine="360"/>
        <w:jc w:val="both"/>
        <w:divId w:val="1904634617"/>
        <w:rPr>
          <w:rFonts w:ascii="Times New Roman" w:hAnsi="Times New Roman" w:cs="Times New Roman"/>
        </w:rPr>
      </w:pPr>
      <w:r w:rsidRPr="005A284F">
        <w:rPr>
          <w:rFonts w:ascii="Times New Roman" w:hAnsi="Times New Roman" w:cs="Times New Roman"/>
          <w:sz w:val="18"/>
          <w:szCs w:val="18"/>
        </w:rPr>
        <w:t>利率风险的敏感性分析见下表，反映了在其他变量不变的假设下，浮动利率金融资产和负债的利率发生合理、可能的变动时，将对净利润和股东权益产生的影响。</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52"/>
        <w:gridCol w:w="1385"/>
        <w:gridCol w:w="1662"/>
        <w:gridCol w:w="1524"/>
        <w:gridCol w:w="1840"/>
      </w:tblGrid>
      <w:tr w:rsidR="003524E1" w:rsidRPr="003524E1" w14:paraId="0DEBB376" w14:textId="77777777" w:rsidTr="003524E1">
        <w:trPr>
          <w:divId w:val="1904634617"/>
          <w:trHeight w:val="340"/>
        </w:trPr>
        <w:tc>
          <w:tcPr>
            <w:tcW w:w="1648" w:type="pct"/>
            <w:vMerge w:val="restart"/>
            <w:tcMar>
              <w:top w:w="0" w:type="dxa"/>
              <w:left w:w="108" w:type="dxa"/>
              <w:bottom w:w="0" w:type="dxa"/>
              <w:right w:w="108" w:type="dxa"/>
            </w:tcMar>
            <w:vAlign w:val="center"/>
            <w:hideMark/>
          </w:tcPr>
          <w:p w14:paraId="74C27E6C" w14:textId="77777777" w:rsidR="000309B5" w:rsidRPr="003524E1" w:rsidRDefault="00000000">
            <w:pPr>
              <w:pStyle w:val="a3"/>
              <w:spacing w:before="0" w:beforeAutospacing="0" w:after="0" w:afterAutospacing="0" w:line="273" w:lineRule="auto"/>
              <w:jc w:val="center"/>
              <w:rPr>
                <w:rFonts w:ascii="Times New Roman" w:hAnsi="Times New Roman" w:cs="Times New Roman"/>
              </w:rPr>
            </w:pPr>
            <w:r w:rsidRPr="003524E1">
              <w:rPr>
                <w:rFonts w:ascii="Times New Roman" w:hAnsi="Times New Roman" w:cs="Times New Roman"/>
                <w:sz w:val="18"/>
                <w:szCs w:val="18"/>
              </w:rPr>
              <w:t>项目</w:t>
            </w:r>
          </w:p>
        </w:tc>
        <w:tc>
          <w:tcPr>
            <w:tcW w:w="1593" w:type="pct"/>
            <w:gridSpan w:val="2"/>
            <w:tcMar>
              <w:top w:w="0" w:type="dxa"/>
              <w:left w:w="108" w:type="dxa"/>
              <w:bottom w:w="0" w:type="dxa"/>
              <w:right w:w="108" w:type="dxa"/>
            </w:tcMar>
            <w:vAlign w:val="center"/>
            <w:hideMark/>
          </w:tcPr>
          <w:p w14:paraId="6478EBFE" w14:textId="77777777" w:rsidR="000309B5" w:rsidRPr="003524E1" w:rsidRDefault="00000000">
            <w:pPr>
              <w:pStyle w:val="a3"/>
              <w:spacing w:before="0" w:beforeAutospacing="0" w:after="0" w:afterAutospacing="0" w:line="273" w:lineRule="auto"/>
              <w:jc w:val="center"/>
              <w:rPr>
                <w:rFonts w:ascii="Times New Roman" w:hAnsi="Times New Roman" w:cs="Times New Roman"/>
              </w:rPr>
            </w:pPr>
            <w:r w:rsidRPr="003524E1">
              <w:rPr>
                <w:rFonts w:ascii="Times New Roman" w:hAnsi="Times New Roman" w:cs="Times New Roman"/>
                <w:sz w:val="18"/>
                <w:szCs w:val="18"/>
              </w:rPr>
              <w:t>本年</w:t>
            </w:r>
          </w:p>
        </w:tc>
        <w:tc>
          <w:tcPr>
            <w:tcW w:w="1759" w:type="pct"/>
            <w:gridSpan w:val="2"/>
            <w:tcMar>
              <w:top w:w="0" w:type="dxa"/>
              <w:left w:w="108" w:type="dxa"/>
              <w:bottom w:w="0" w:type="dxa"/>
              <w:right w:w="108" w:type="dxa"/>
            </w:tcMar>
            <w:vAlign w:val="center"/>
            <w:hideMark/>
          </w:tcPr>
          <w:p w14:paraId="0E026BBC" w14:textId="77777777" w:rsidR="000309B5" w:rsidRPr="003524E1" w:rsidRDefault="00000000">
            <w:pPr>
              <w:pStyle w:val="a3"/>
              <w:spacing w:before="0" w:beforeAutospacing="0" w:after="0" w:afterAutospacing="0" w:line="273" w:lineRule="auto"/>
              <w:jc w:val="center"/>
              <w:rPr>
                <w:rFonts w:ascii="Times New Roman" w:hAnsi="Times New Roman" w:cs="Times New Roman"/>
              </w:rPr>
            </w:pPr>
            <w:r w:rsidRPr="003524E1">
              <w:rPr>
                <w:rFonts w:ascii="Times New Roman" w:hAnsi="Times New Roman" w:cs="Times New Roman"/>
                <w:sz w:val="18"/>
                <w:szCs w:val="18"/>
              </w:rPr>
              <w:t>上年</w:t>
            </w:r>
          </w:p>
        </w:tc>
      </w:tr>
      <w:tr w:rsidR="003524E1" w:rsidRPr="003524E1" w14:paraId="4CC09C26" w14:textId="77777777" w:rsidTr="003524E1">
        <w:trPr>
          <w:divId w:val="1904634617"/>
          <w:trHeight w:val="340"/>
        </w:trPr>
        <w:tc>
          <w:tcPr>
            <w:tcW w:w="1648" w:type="pct"/>
            <w:vMerge/>
            <w:vAlign w:val="center"/>
            <w:hideMark/>
          </w:tcPr>
          <w:p w14:paraId="26507722" w14:textId="77777777" w:rsidR="000309B5" w:rsidRPr="003524E1" w:rsidRDefault="000309B5">
            <w:pPr>
              <w:rPr>
                <w:rFonts w:ascii="Times New Roman" w:eastAsia="宋体" w:hAnsi="Times New Roman" w:cs="Times New Roman"/>
                <w:sz w:val="24"/>
              </w:rPr>
            </w:pPr>
          </w:p>
        </w:tc>
        <w:tc>
          <w:tcPr>
            <w:tcW w:w="724" w:type="pct"/>
            <w:tcMar>
              <w:top w:w="0" w:type="dxa"/>
              <w:left w:w="108" w:type="dxa"/>
              <w:bottom w:w="0" w:type="dxa"/>
              <w:right w:w="108" w:type="dxa"/>
            </w:tcMar>
            <w:vAlign w:val="center"/>
            <w:hideMark/>
          </w:tcPr>
          <w:p w14:paraId="77F70ED7" w14:textId="77777777" w:rsidR="000309B5" w:rsidRPr="003524E1" w:rsidRDefault="00000000">
            <w:pPr>
              <w:pStyle w:val="a3"/>
              <w:spacing w:before="0" w:beforeAutospacing="0" w:after="0" w:afterAutospacing="0" w:line="273" w:lineRule="auto"/>
              <w:jc w:val="center"/>
              <w:rPr>
                <w:rFonts w:ascii="Times New Roman" w:hAnsi="Times New Roman" w:cs="Times New Roman"/>
              </w:rPr>
            </w:pPr>
            <w:r w:rsidRPr="003524E1">
              <w:rPr>
                <w:rFonts w:ascii="Times New Roman" w:hAnsi="Times New Roman" w:cs="Times New Roman"/>
                <w:sz w:val="18"/>
                <w:szCs w:val="18"/>
              </w:rPr>
              <w:t>对利润的影响</w:t>
            </w:r>
          </w:p>
        </w:tc>
        <w:tc>
          <w:tcPr>
            <w:tcW w:w="869" w:type="pct"/>
            <w:tcMar>
              <w:top w:w="0" w:type="dxa"/>
              <w:left w:w="108" w:type="dxa"/>
              <w:bottom w:w="0" w:type="dxa"/>
              <w:right w:w="108" w:type="dxa"/>
            </w:tcMar>
            <w:vAlign w:val="center"/>
            <w:hideMark/>
          </w:tcPr>
          <w:p w14:paraId="5C0156D9" w14:textId="77777777" w:rsidR="000309B5" w:rsidRPr="003524E1" w:rsidRDefault="00000000">
            <w:pPr>
              <w:pStyle w:val="a3"/>
              <w:spacing w:before="0" w:beforeAutospacing="0" w:after="0" w:afterAutospacing="0" w:line="273" w:lineRule="auto"/>
              <w:jc w:val="center"/>
              <w:rPr>
                <w:rFonts w:ascii="Times New Roman" w:hAnsi="Times New Roman" w:cs="Times New Roman"/>
              </w:rPr>
            </w:pPr>
            <w:r w:rsidRPr="003524E1">
              <w:rPr>
                <w:rFonts w:ascii="Times New Roman" w:hAnsi="Times New Roman" w:cs="Times New Roman"/>
                <w:sz w:val="18"/>
                <w:szCs w:val="18"/>
              </w:rPr>
              <w:t>对股东权益的影响</w:t>
            </w:r>
          </w:p>
        </w:tc>
        <w:tc>
          <w:tcPr>
            <w:tcW w:w="797" w:type="pct"/>
            <w:tcMar>
              <w:top w:w="0" w:type="dxa"/>
              <w:left w:w="108" w:type="dxa"/>
              <w:bottom w:w="0" w:type="dxa"/>
              <w:right w:w="108" w:type="dxa"/>
            </w:tcMar>
            <w:vAlign w:val="center"/>
            <w:hideMark/>
          </w:tcPr>
          <w:p w14:paraId="3A6DAFB4" w14:textId="77777777" w:rsidR="000309B5" w:rsidRPr="003524E1" w:rsidRDefault="00000000">
            <w:pPr>
              <w:pStyle w:val="a3"/>
              <w:spacing w:before="0" w:beforeAutospacing="0" w:after="0" w:afterAutospacing="0" w:line="273" w:lineRule="auto"/>
              <w:jc w:val="center"/>
              <w:rPr>
                <w:rFonts w:ascii="Times New Roman" w:hAnsi="Times New Roman" w:cs="Times New Roman"/>
              </w:rPr>
            </w:pPr>
            <w:r w:rsidRPr="003524E1">
              <w:rPr>
                <w:rFonts w:ascii="Times New Roman" w:hAnsi="Times New Roman" w:cs="Times New Roman"/>
                <w:sz w:val="18"/>
                <w:szCs w:val="18"/>
              </w:rPr>
              <w:t>对利润的影响</w:t>
            </w:r>
          </w:p>
        </w:tc>
        <w:tc>
          <w:tcPr>
            <w:tcW w:w="962" w:type="pct"/>
            <w:tcMar>
              <w:top w:w="0" w:type="dxa"/>
              <w:left w:w="108" w:type="dxa"/>
              <w:bottom w:w="0" w:type="dxa"/>
              <w:right w:w="108" w:type="dxa"/>
            </w:tcMar>
            <w:vAlign w:val="center"/>
            <w:hideMark/>
          </w:tcPr>
          <w:p w14:paraId="1CFA634F" w14:textId="77777777" w:rsidR="000309B5" w:rsidRPr="003524E1" w:rsidRDefault="00000000">
            <w:pPr>
              <w:pStyle w:val="a3"/>
              <w:spacing w:before="0" w:beforeAutospacing="0" w:after="0" w:afterAutospacing="0" w:line="273" w:lineRule="auto"/>
              <w:jc w:val="center"/>
              <w:rPr>
                <w:rFonts w:ascii="Times New Roman" w:hAnsi="Times New Roman" w:cs="Times New Roman"/>
              </w:rPr>
            </w:pPr>
            <w:r w:rsidRPr="003524E1">
              <w:rPr>
                <w:rFonts w:ascii="Times New Roman" w:hAnsi="Times New Roman" w:cs="Times New Roman"/>
                <w:sz w:val="18"/>
                <w:szCs w:val="18"/>
              </w:rPr>
              <w:t>对股东权益的影响</w:t>
            </w:r>
          </w:p>
        </w:tc>
      </w:tr>
      <w:tr w:rsidR="003524E1" w:rsidRPr="003524E1" w14:paraId="21264D1E" w14:textId="77777777" w:rsidTr="003524E1">
        <w:trPr>
          <w:divId w:val="1904634617"/>
          <w:trHeight w:val="340"/>
        </w:trPr>
        <w:tc>
          <w:tcPr>
            <w:tcW w:w="1648" w:type="pct"/>
            <w:tcMar>
              <w:top w:w="0" w:type="dxa"/>
              <w:left w:w="108" w:type="dxa"/>
              <w:bottom w:w="0" w:type="dxa"/>
              <w:right w:w="108" w:type="dxa"/>
            </w:tcMar>
            <w:vAlign w:val="center"/>
            <w:hideMark/>
          </w:tcPr>
          <w:p w14:paraId="14333E77" w14:textId="77777777" w:rsidR="000309B5" w:rsidRPr="003524E1" w:rsidRDefault="00000000">
            <w:pPr>
              <w:pStyle w:val="a3"/>
              <w:spacing w:before="0" w:beforeAutospacing="0" w:after="0" w:afterAutospacing="0" w:line="273" w:lineRule="auto"/>
              <w:jc w:val="both"/>
              <w:rPr>
                <w:rFonts w:ascii="Times New Roman" w:hAnsi="Times New Roman" w:cs="Times New Roman"/>
                <w:sz w:val="18"/>
                <w:szCs w:val="18"/>
              </w:rPr>
            </w:pPr>
            <w:r w:rsidRPr="003524E1">
              <w:rPr>
                <w:rFonts w:ascii="Times New Roman" w:hAnsi="Times New Roman" w:cs="Times New Roman"/>
                <w:sz w:val="18"/>
                <w:szCs w:val="18"/>
              </w:rPr>
              <w:lastRenderedPageBreak/>
              <w:t>人民币基准利率增加</w:t>
            </w:r>
            <w:r w:rsidRPr="003524E1">
              <w:rPr>
                <w:rFonts w:ascii="Times New Roman" w:hAnsi="Times New Roman" w:cs="Times New Roman"/>
                <w:sz w:val="18"/>
                <w:szCs w:val="18"/>
              </w:rPr>
              <w:t>25</w:t>
            </w:r>
            <w:r w:rsidRPr="003524E1">
              <w:rPr>
                <w:rFonts w:ascii="Times New Roman" w:hAnsi="Times New Roman" w:cs="Times New Roman"/>
                <w:sz w:val="18"/>
                <w:szCs w:val="18"/>
              </w:rPr>
              <w:t>个基准点</w:t>
            </w:r>
          </w:p>
        </w:tc>
        <w:tc>
          <w:tcPr>
            <w:tcW w:w="724" w:type="pct"/>
            <w:tcMar>
              <w:top w:w="0" w:type="dxa"/>
              <w:left w:w="108" w:type="dxa"/>
              <w:bottom w:w="0" w:type="dxa"/>
              <w:right w:w="108" w:type="dxa"/>
            </w:tcMar>
            <w:vAlign w:val="bottom"/>
            <w:hideMark/>
          </w:tcPr>
          <w:p w14:paraId="0CF01AD9" w14:textId="76105977" w:rsidR="000309B5" w:rsidRPr="003524E1" w:rsidRDefault="00000000" w:rsidP="003524E1">
            <w:pPr>
              <w:pStyle w:val="a3"/>
              <w:spacing w:after="160" w:afterAutospacing="0" w:line="276" w:lineRule="auto"/>
              <w:jc w:val="center"/>
              <w:textAlignment w:val="center"/>
              <w:rPr>
                <w:rFonts w:ascii="Times New Roman" w:hAnsi="Times New Roman" w:cs="Times New Roman"/>
                <w:sz w:val="18"/>
                <w:szCs w:val="18"/>
              </w:rPr>
            </w:pPr>
            <w:r w:rsidRPr="003524E1">
              <w:rPr>
                <w:rFonts w:ascii="Times New Roman" w:hAnsi="Times New Roman" w:cs="Times New Roman"/>
                <w:sz w:val="18"/>
                <w:szCs w:val="18"/>
              </w:rPr>
              <w:t>-986,843.85</w:t>
            </w:r>
          </w:p>
        </w:tc>
        <w:tc>
          <w:tcPr>
            <w:tcW w:w="869" w:type="pct"/>
            <w:tcMar>
              <w:top w:w="0" w:type="dxa"/>
              <w:left w:w="108" w:type="dxa"/>
              <w:bottom w:w="0" w:type="dxa"/>
              <w:right w:w="108" w:type="dxa"/>
            </w:tcMar>
            <w:vAlign w:val="bottom"/>
            <w:hideMark/>
          </w:tcPr>
          <w:p w14:paraId="7242B279" w14:textId="6C4532BF" w:rsidR="000309B5" w:rsidRPr="003524E1" w:rsidRDefault="00000000" w:rsidP="003524E1">
            <w:pPr>
              <w:pStyle w:val="a3"/>
              <w:spacing w:after="160" w:afterAutospacing="0" w:line="276" w:lineRule="auto"/>
              <w:jc w:val="center"/>
              <w:textAlignment w:val="center"/>
              <w:rPr>
                <w:rFonts w:ascii="Times New Roman" w:hAnsi="Times New Roman" w:cs="Times New Roman"/>
                <w:sz w:val="18"/>
                <w:szCs w:val="18"/>
              </w:rPr>
            </w:pPr>
            <w:r w:rsidRPr="003524E1">
              <w:rPr>
                <w:rFonts w:ascii="Times New Roman" w:hAnsi="Times New Roman" w:cs="Times New Roman"/>
                <w:sz w:val="18"/>
                <w:szCs w:val="18"/>
              </w:rPr>
              <w:t>-986,843.85</w:t>
            </w:r>
          </w:p>
        </w:tc>
        <w:tc>
          <w:tcPr>
            <w:tcW w:w="797" w:type="pct"/>
            <w:tcMar>
              <w:top w:w="0" w:type="dxa"/>
              <w:left w:w="108" w:type="dxa"/>
              <w:bottom w:w="0" w:type="dxa"/>
              <w:right w:w="108" w:type="dxa"/>
            </w:tcMar>
            <w:vAlign w:val="center"/>
            <w:hideMark/>
          </w:tcPr>
          <w:p w14:paraId="03C5BC47" w14:textId="35B8C7CB" w:rsidR="000309B5" w:rsidRPr="003524E1" w:rsidRDefault="00000000" w:rsidP="003524E1">
            <w:pPr>
              <w:pStyle w:val="a3"/>
              <w:spacing w:before="0" w:beforeAutospacing="0" w:after="0" w:afterAutospacing="0"/>
              <w:jc w:val="right"/>
              <w:rPr>
                <w:rFonts w:ascii="Times New Roman" w:hAnsi="Times New Roman" w:cs="Times New Roman"/>
                <w:sz w:val="18"/>
                <w:szCs w:val="18"/>
              </w:rPr>
            </w:pPr>
            <w:r w:rsidRPr="003524E1">
              <w:rPr>
                <w:rFonts w:ascii="Times New Roman" w:hAnsi="Times New Roman" w:cs="Times New Roman"/>
                <w:sz w:val="18"/>
                <w:szCs w:val="18"/>
              </w:rPr>
              <w:t>-1,011,511.15</w:t>
            </w:r>
          </w:p>
        </w:tc>
        <w:tc>
          <w:tcPr>
            <w:tcW w:w="962" w:type="pct"/>
            <w:tcMar>
              <w:top w:w="0" w:type="dxa"/>
              <w:left w:w="108" w:type="dxa"/>
              <w:bottom w:w="0" w:type="dxa"/>
              <w:right w:w="108" w:type="dxa"/>
            </w:tcMar>
            <w:vAlign w:val="center"/>
            <w:hideMark/>
          </w:tcPr>
          <w:p w14:paraId="53D4AE0F" w14:textId="00B56CBC" w:rsidR="000309B5" w:rsidRPr="003524E1" w:rsidRDefault="00000000" w:rsidP="003524E1">
            <w:pPr>
              <w:pStyle w:val="a3"/>
              <w:spacing w:before="0" w:beforeAutospacing="0" w:after="0" w:afterAutospacing="0"/>
              <w:ind w:right="20"/>
              <w:jc w:val="right"/>
              <w:textAlignment w:val="center"/>
              <w:rPr>
                <w:rFonts w:ascii="Times New Roman" w:hAnsi="Times New Roman" w:cs="Times New Roman"/>
                <w:sz w:val="18"/>
                <w:szCs w:val="18"/>
              </w:rPr>
            </w:pPr>
            <w:r w:rsidRPr="003524E1">
              <w:rPr>
                <w:rFonts w:ascii="Times New Roman" w:hAnsi="Times New Roman" w:cs="Times New Roman"/>
                <w:sz w:val="18"/>
                <w:szCs w:val="18"/>
              </w:rPr>
              <w:t>-1,011,511.15</w:t>
            </w:r>
          </w:p>
        </w:tc>
      </w:tr>
      <w:tr w:rsidR="003524E1" w:rsidRPr="003524E1" w14:paraId="411521FE" w14:textId="77777777" w:rsidTr="003524E1">
        <w:trPr>
          <w:divId w:val="1904634617"/>
          <w:trHeight w:val="340"/>
        </w:trPr>
        <w:tc>
          <w:tcPr>
            <w:tcW w:w="1648" w:type="pct"/>
            <w:tcMar>
              <w:top w:w="0" w:type="dxa"/>
              <w:left w:w="108" w:type="dxa"/>
              <w:bottom w:w="0" w:type="dxa"/>
              <w:right w:w="108" w:type="dxa"/>
            </w:tcMar>
            <w:vAlign w:val="center"/>
            <w:hideMark/>
          </w:tcPr>
          <w:p w14:paraId="55693F4E" w14:textId="77777777" w:rsidR="000309B5" w:rsidRPr="003524E1" w:rsidRDefault="00000000">
            <w:pPr>
              <w:pStyle w:val="a3"/>
              <w:spacing w:before="0" w:beforeAutospacing="0" w:after="0" w:afterAutospacing="0" w:line="273" w:lineRule="auto"/>
              <w:jc w:val="both"/>
              <w:rPr>
                <w:rFonts w:ascii="Times New Roman" w:hAnsi="Times New Roman" w:cs="Times New Roman"/>
                <w:sz w:val="18"/>
                <w:szCs w:val="18"/>
              </w:rPr>
            </w:pPr>
            <w:r w:rsidRPr="003524E1">
              <w:rPr>
                <w:rFonts w:ascii="Times New Roman" w:hAnsi="Times New Roman" w:cs="Times New Roman"/>
                <w:sz w:val="18"/>
                <w:szCs w:val="18"/>
              </w:rPr>
              <w:t>人民币基准利率降低</w:t>
            </w:r>
            <w:r w:rsidRPr="003524E1">
              <w:rPr>
                <w:rFonts w:ascii="Times New Roman" w:hAnsi="Times New Roman" w:cs="Times New Roman"/>
                <w:sz w:val="18"/>
                <w:szCs w:val="18"/>
              </w:rPr>
              <w:t>25</w:t>
            </w:r>
            <w:r w:rsidRPr="003524E1">
              <w:rPr>
                <w:rFonts w:ascii="Times New Roman" w:hAnsi="Times New Roman" w:cs="Times New Roman"/>
                <w:sz w:val="18"/>
                <w:szCs w:val="18"/>
              </w:rPr>
              <w:t>个基准点</w:t>
            </w:r>
          </w:p>
        </w:tc>
        <w:tc>
          <w:tcPr>
            <w:tcW w:w="724" w:type="pct"/>
            <w:tcMar>
              <w:top w:w="0" w:type="dxa"/>
              <w:left w:w="108" w:type="dxa"/>
              <w:bottom w:w="0" w:type="dxa"/>
              <w:right w:w="108" w:type="dxa"/>
            </w:tcMar>
            <w:vAlign w:val="bottom"/>
            <w:hideMark/>
          </w:tcPr>
          <w:p w14:paraId="41AE7125" w14:textId="0CD57AB6" w:rsidR="000309B5" w:rsidRPr="003524E1" w:rsidRDefault="00000000" w:rsidP="003524E1">
            <w:pPr>
              <w:pStyle w:val="a3"/>
              <w:spacing w:after="160" w:afterAutospacing="0" w:line="276" w:lineRule="auto"/>
              <w:jc w:val="center"/>
              <w:textAlignment w:val="center"/>
              <w:rPr>
                <w:rFonts w:ascii="Times New Roman" w:hAnsi="Times New Roman" w:cs="Times New Roman"/>
                <w:sz w:val="18"/>
                <w:szCs w:val="18"/>
              </w:rPr>
            </w:pPr>
            <w:r w:rsidRPr="003524E1">
              <w:rPr>
                <w:rFonts w:ascii="Times New Roman" w:hAnsi="Times New Roman" w:cs="Times New Roman"/>
                <w:sz w:val="18"/>
                <w:szCs w:val="18"/>
              </w:rPr>
              <w:t>986,843.85</w:t>
            </w:r>
          </w:p>
        </w:tc>
        <w:tc>
          <w:tcPr>
            <w:tcW w:w="869" w:type="pct"/>
            <w:tcMar>
              <w:top w:w="0" w:type="dxa"/>
              <w:left w:w="108" w:type="dxa"/>
              <w:bottom w:w="0" w:type="dxa"/>
              <w:right w:w="108" w:type="dxa"/>
            </w:tcMar>
            <w:vAlign w:val="bottom"/>
            <w:hideMark/>
          </w:tcPr>
          <w:p w14:paraId="5C37822A" w14:textId="74D141ED" w:rsidR="000309B5" w:rsidRPr="003524E1" w:rsidRDefault="00000000" w:rsidP="003524E1">
            <w:pPr>
              <w:pStyle w:val="a3"/>
              <w:spacing w:after="160" w:afterAutospacing="0" w:line="276" w:lineRule="auto"/>
              <w:jc w:val="center"/>
              <w:textAlignment w:val="center"/>
              <w:rPr>
                <w:rFonts w:ascii="Times New Roman" w:hAnsi="Times New Roman" w:cs="Times New Roman"/>
                <w:sz w:val="18"/>
                <w:szCs w:val="18"/>
              </w:rPr>
            </w:pPr>
            <w:r w:rsidRPr="003524E1">
              <w:rPr>
                <w:rFonts w:ascii="Times New Roman" w:hAnsi="Times New Roman" w:cs="Times New Roman"/>
                <w:sz w:val="18"/>
                <w:szCs w:val="18"/>
              </w:rPr>
              <w:t>986,843.85</w:t>
            </w:r>
          </w:p>
        </w:tc>
        <w:tc>
          <w:tcPr>
            <w:tcW w:w="797" w:type="pct"/>
            <w:tcMar>
              <w:top w:w="0" w:type="dxa"/>
              <w:left w:w="108" w:type="dxa"/>
              <w:bottom w:w="0" w:type="dxa"/>
              <w:right w:w="108" w:type="dxa"/>
            </w:tcMar>
            <w:vAlign w:val="center"/>
            <w:hideMark/>
          </w:tcPr>
          <w:p w14:paraId="58896A69" w14:textId="1ADB0894" w:rsidR="000309B5" w:rsidRPr="003524E1" w:rsidRDefault="00000000" w:rsidP="003524E1">
            <w:pPr>
              <w:pStyle w:val="a3"/>
              <w:spacing w:before="0" w:beforeAutospacing="0" w:after="0" w:afterAutospacing="0"/>
              <w:jc w:val="right"/>
              <w:textAlignment w:val="center"/>
              <w:rPr>
                <w:rFonts w:ascii="Times New Roman" w:hAnsi="Times New Roman" w:cs="Times New Roman"/>
                <w:sz w:val="18"/>
                <w:szCs w:val="18"/>
              </w:rPr>
            </w:pPr>
            <w:r w:rsidRPr="003524E1">
              <w:rPr>
                <w:rFonts w:ascii="Times New Roman" w:hAnsi="Times New Roman" w:cs="Times New Roman"/>
                <w:sz w:val="18"/>
                <w:szCs w:val="18"/>
              </w:rPr>
              <w:t>1,011,511.15</w:t>
            </w:r>
          </w:p>
        </w:tc>
        <w:tc>
          <w:tcPr>
            <w:tcW w:w="962" w:type="pct"/>
            <w:tcMar>
              <w:top w:w="0" w:type="dxa"/>
              <w:left w:w="108" w:type="dxa"/>
              <w:bottom w:w="0" w:type="dxa"/>
              <w:right w:w="108" w:type="dxa"/>
            </w:tcMar>
            <w:vAlign w:val="center"/>
            <w:hideMark/>
          </w:tcPr>
          <w:p w14:paraId="2AC4203A" w14:textId="5FE4C365" w:rsidR="000309B5" w:rsidRPr="003524E1" w:rsidRDefault="00000000" w:rsidP="003524E1">
            <w:pPr>
              <w:pStyle w:val="a3"/>
              <w:spacing w:before="0" w:beforeAutospacing="0" w:after="0" w:afterAutospacing="0"/>
              <w:jc w:val="right"/>
              <w:textAlignment w:val="center"/>
              <w:rPr>
                <w:rFonts w:ascii="Times New Roman" w:hAnsi="Times New Roman" w:cs="Times New Roman"/>
                <w:sz w:val="18"/>
                <w:szCs w:val="18"/>
              </w:rPr>
            </w:pPr>
            <w:r w:rsidRPr="003524E1">
              <w:rPr>
                <w:rFonts w:ascii="Times New Roman" w:hAnsi="Times New Roman" w:cs="Times New Roman"/>
                <w:sz w:val="18"/>
                <w:szCs w:val="18"/>
              </w:rPr>
              <w:t>1,011,511.15</w:t>
            </w:r>
          </w:p>
        </w:tc>
      </w:tr>
    </w:tbl>
    <w:p w14:paraId="62C5EDB4" w14:textId="77777777" w:rsidR="000309B5" w:rsidRPr="005A284F" w:rsidRDefault="00000000">
      <w:pPr>
        <w:pStyle w:val="17"/>
        <w:spacing w:before="0" w:beforeAutospacing="0" w:after="0" w:afterAutospacing="0" w:line="273" w:lineRule="auto"/>
        <w:ind w:firstLine="360"/>
        <w:divId w:val="1904634617"/>
        <w:rPr>
          <w:rFonts w:ascii="Times New Roman" w:hAnsi="Times New Roman" w:cs="Times New Roman"/>
          <w:sz w:val="18"/>
          <w:szCs w:val="18"/>
        </w:rPr>
      </w:pPr>
      <w:r w:rsidRPr="005A284F">
        <w:rPr>
          <w:rFonts w:ascii="Times New Roman" w:hAnsi="Times New Roman" w:cs="Times New Roman"/>
          <w:sz w:val="18"/>
          <w:szCs w:val="18"/>
        </w:rPr>
        <w:t>注</w:t>
      </w:r>
      <w:r w:rsidRPr="005A284F">
        <w:rPr>
          <w:rFonts w:ascii="Times New Roman" w:hAnsi="Times New Roman" w:cs="Times New Roman"/>
          <w:sz w:val="18"/>
          <w:szCs w:val="18"/>
        </w:rPr>
        <w:t>1</w:t>
      </w:r>
      <w:r w:rsidRPr="005A284F">
        <w:rPr>
          <w:rFonts w:ascii="Times New Roman" w:hAnsi="Times New Roman" w:cs="Times New Roman"/>
          <w:sz w:val="18"/>
          <w:szCs w:val="18"/>
        </w:rPr>
        <w:t>：上表以正数表示增加，以负数表示减少。</w:t>
      </w:r>
    </w:p>
    <w:p w14:paraId="5E3D09D3" w14:textId="77777777" w:rsidR="000309B5" w:rsidRPr="005A284F" w:rsidRDefault="00000000">
      <w:pPr>
        <w:pStyle w:val="17"/>
        <w:spacing w:before="0" w:beforeAutospacing="0" w:after="0" w:afterAutospacing="0" w:line="273" w:lineRule="auto"/>
        <w:ind w:firstLine="360"/>
        <w:divId w:val="1904634617"/>
        <w:rPr>
          <w:rFonts w:ascii="Times New Roman" w:hAnsi="Times New Roman" w:cs="Times New Roman"/>
          <w:sz w:val="18"/>
          <w:szCs w:val="18"/>
        </w:rPr>
      </w:pPr>
      <w:r w:rsidRPr="005A284F">
        <w:rPr>
          <w:rFonts w:ascii="Times New Roman" w:hAnsi="Times New Roman" w:cs="Times New Roman"/>
          <w:sz w:val="18"/>
          <w:szCs w:val="18"/>
        </w:rPr>
        <w:t>注</w:t>
      </w:r>
      <w:r w:rsidRPr="005A284F">
        <w:rPr>
          <w:rFonts w:ascii="Times New Roman" w:hAnsi="Times New Roman" w:cs="Times New Roman"/>
          <w:sz w:val="18"/>
          <w:szCs w:val="18"/>
        </w:rPr>
        <w:t>2</w:t>
      </w:r>
      <w:r w:rsidRPr="005A284F">
        <w:rPr>
          <w:rFonts w:ascii="Times New Roman" w:hAnsi="Times New Roman" w:cs="Times New Roman"/>
          <w:sz w:val="18"/>
          <w:szCs w:val="18"/>
        </w:rPr>
        <w:t>：上表的股东权益变动不包括留存收益。</w:t>
      </w:r>
    </w:p>
    <w:p w14:paraId="66AED205" w14:textId="77777777" w:rsidR="000309B5" w:rsidRPr="005A284F" w:rsidRDefault="00000000">
      <w:pPr>
        <w:pStyle w:val="a3"/>
        <w:spacing w:before="0" w:beforeAutospacing="0" w:after="0" w:afterAutospacing="0" w:line="273" w:lineRule="auto"/>
        <w:ind w:firstLine="360"/>
        <w:jc w:val="both"/>
        <w:divId w:val="1904634617"/>
        <w:rPr>
          <w:rFonts w:ascii="Times New Roman" w:hAnsi="Times New Roman" w:cs="Times New Roman"/>
        </w:rPr>
      </w:pPr>
      <w:r w:rsidRPr="005A284F">
        <w:rPr>
          <w:rFonts w:ascii="Times New Roman" w:hAnsi="Times New Roman" w:cs="Times New Roman"/>
          <w:sz w:val="18"/>
          <w:szCs w:val="18"/>
        </w:rPr>
        <w:t>其他价格风险，是指金融工具的公允价值或未来现金流量因汇率风险和利率风险以外的市场价格变动而发生波动的风险，无论这些变动是由于与单项金融工具或其发行方有关的因素而引起的，还是由于与市场内交易的所有类似金融工具有关的因素而引起的。本集团持有的分类为以公允价值计量且其变动计入当期损益、以公允价值计量且其变动计入其他综合收益的金融资产的投资在资产负债表日以公允价值计量。因此，本集团承担着证券市场价格变动的风险。本集团采取持有多种权益证券组合的方式降低权益证券投资的价格风险。</w:t>
      </w:r>
    </w:p>
    <w:p w14:paraId="5BBBF902" w14:textId="77777777" w:rsidR="000309B5" w:rsidRPr="005A284F" w:rsidRDefault="00000000">
      <w:pPr>
        <w:pStyle w:val="a3"/>
        <w:spacing w:after="160" w:afterAutospacing="0" w:line="276" w:lineRule="auto"/>
        <w:divId w:val="1904634617"/>
        <w:rPr>
          <w:rFonts w:ascii="Times New Roman" w:hAnsi="Times New Roman" w:cs="Times New Roman"/>
          <w:sz w:val="22"/>
          <w:szCs w:val="22"/>
        </w:rPr>
      </w:pPr>
      <w:r w:rsidRPr="005A284F">
        <w:rPr>
          <w:rFonts w:ascii="Times New Roman" w:hAnsi="Times New Roman" w:cs="Times New Roman"/>
          <w:sz w:val="18"/>
          <w:szCs w:val="18"/>
        </w:rPr>
        <w:t>本集团无高风险投资，无重大的其他市场风险。</w:t>
      </w:r>
    </w:p>
    <w:p w14:paraId="554CB0D8" w14:textId="77777777" w:rsidR="006C011D" w:rsidRPr="005A284F" w:rsidRDefault="00000000">
      <w:pPr>
        <w:pStyle w:val="3"/>
        <w:spacing w:line="280" w:lineRule="exact"/>
        <w:jc w:val="left"/>
        <w:rPr>
          <w:rFonts w:ascii="Times New Roman" w:hAnsi="Times New Roman" w:cs="Times New Roman"/>
          <w:b/>
          <w:bCs/>
        </w:rPr>
      </w:pPr>
      <w:bookmarkStart w:id="387" w:name="_Toc989340"/>
      <w:r w:rsidRPr="005A284F">
        <w:rPr>
          <w:rFonts w:ascii="Times New Roman" w:hAnsi="Times New Roman" w:cs="Times New Roman"/>
          <w:b/>
          <w:bCs/>
        </w:rPr>
        <w:t>2</w:t>
      </w:r>
      <w:r w:rsidRPr="005A284F">
        <w:rPr>
          <w:rFonts w:ascii="Times New Roman" w:hAnsi="Times New Roman" w:cs="Times New Roman"/>
          <w:b/>
          <w:bCs/>
        </w:rPr>
        <w:t>、套期</w:t>
      </w:r>
      <w:bookmarkEnd w:id="387"/>
    </w:p>
    <w:p w14:paraId="7A29369E" w14:textId="2A8E624C" w:rsidR="006C011D" w:rsidRPr="005A284F" w:rsidRDefault="00000000">
      <w:pPr>
        <w:keepNext/>
        <w:keepLines/>
        <w:spacing w:before="300" w:after="300" w:line="280" w:lineRule="exact"/>
        <w:outlineLvl w:val="3"/>
        <w:rPr>
          <w:rFonts w:ascii="Times New Roman" w:eastAsia="宋体" w:hAnsi="Times New Roman" w:cs="Times New Roman"/>
          <w:b/>
          <w:bCs/>
          <w:sz w:val="18"/>
          <w:szCs w:val="18"/>
        </w:rPr>
      </w:pPr>
      <w:bookmarkStart w:id="388" w:name="_Toc989341"/>
      <w:r w:rsidRPr="005A284F">
        <w:rPr>
          <w:rFonts w:ascii="Times New Roman" w:eastAsia="宋体" w:hAnsi="Times New Roman" w:cs="Times New Roman"/>
          <w:b/>
          <w:bCs/>
          <w:sz w:val="18"/>
          <w:szCs w:val="18"/>
        </w:rPr>
        <w:t>（</w:t>
      </w:r>
      <w:r w:rsidRPr="005A284F">
        <w:rPr>
          <w:rFonts w:ascii="Times New Roman" w:eastAsia="宋体" w:hAnsi="Times New Roman" w:cs="Times New Roman"/>
          <w:b/>
          <w:bCs/>
          <w:sz w:val="18"/>
          <w:szCs w:val="18"/>
        </w:rPr>
        <w:t>1</w:t>
      </w:r>
      <w:r w:rsidRPr="005A284F">
        <w:rPr>
          <w:rFonts w:ascii="Times New Roman" w:eastAsia="宋体" w:hAnsi="Times New Roman" w:cs="Times New Roman"/>
          <w:b/>
          <w:bCs/>
          <w:sz w:val="18"/>
          <w:szCs w:val="18"/>
        </w:rPr>
        <w:t>）公司开展套期业务进行风险管理</w:t>
      </w:r>
      <w:bookmarkEnd w:id="388"/>
    </w:p>
    <w:p w14:paraId="1A2137AC" w14:textId="77777777" w:rsidR="006C011D" w:rsidRPr="003524E1" w:rsidRDefault="00000000">
      <w:pPr>
        <w:spacing w:before="100" w:after="100" w:line="240" w:lineRule="exact"/>
        <w:rPr>
          <w:rFonts w:ascii="宋体" w:eastAsia="宋体" w:hAnsi="宋体" w:cs="Times New Roman" w:hint="eastAsia"/>
          <w:sz w:val="18"/>
          <w:szCs w:val="18"/>
        </w:rPr>
      </w:pPr>
      <w:r w:rsidRPr="003524E1">
        <w:rPr>
          <w:rFonts w:ascii="宋体" w:eastAsia="宋体" w:hAnsi="宋体" w:cs="Times New Roman"/>
          <w:sz w:val="18"/>
          <w:szCs w:val="18"/>
        </w:rPr>
        <w:t xml:space="preserve">□适用 </w:t>
      </w:r>
      <w:r w:rsidRPr="003524E1">
        <w:rPr>
          <w:rFonts w:ascii="宋体" w:eastAsia="宋体" w:hAnsi="宋体" w:cs="Times New Roman"/>
          <w:sz w:val="18"/>
          <w:szCs w:val="18"/>
        </w:rPr>
        <w:sym w:font="Wingdings 2" w:char="F052"/>
      </w:r>
      <w:r w:rsidRPr="003524E1">
        <w:rPr>
          <w:rFonts w:ascii="宋体" w:eastAsia="宋体" w:hAnsi="宋体" w:cs="Times New Roman"/>
          <w:sz w:val="18"/>
          <w:szCs w:val="18"/>
        </w:rPr>
        <w:t>不适用</w:t>
      </w:r>
    </w:p>
    <w:p w14:paraId="07618719" w14:textId="36CCDDB8" w:rsidR="006C011D" w:rsidRPr="005A284F" w:rsidRDefault="00000000">
      <w:pPr>
        <w:keepNext/>
        <w:keepLines/>
        <w:spacing w:before="300" w:after="300" w:line="280" w:lineRule="exact"/>
        <w:outlineLvl w:val="3"/>
        <w:rPr>
          <w:rFonts w:ascii="Times New Roman" w:eastAsia="宋体" w:hAnsi="Times New Roman" w:cs="Times New Roman"/>
          <w:b/>
          <w:bCs/>
          <w:sz w:val="18"/>
          <w:szCs w:val="18"/>
        </w:rPr>
      </w:pPr>
      <w:bookmarkStart w:id="389" w:name="_Toc989342"/>
      <w:r w:rsidRPr="005A284F">
        <w:rPr>
          <w:rFonts w:ascii="Times New Roman" w:eastAsia="宋体" w:hAnsi="Times New Roman" w:cs="Times New Roman"/>
          <w:b/>
          <w:bCs/>
          <w:sz w:val="18"/>
          <w:szCs w:val="18"/>
        </w:rPr>
        <w:t>（</w:t>
      </w:r>
      <w:r w:rsidRPr="005A284F">
        <w:rPr>
          <w:rFonts w:ascii="Times New Roman" w:eastAsia="宋体" w:hAnsi="Times New Roman" w:cs="Times New Roman"/>
          <w:b/>
          <w:bCs/>
          <w:sz w:val="18"/>
          <w:szCs w:val="18"/>
        </w:rPr>
        <w:t>2</w:t>
      </w:r>
      <w:r w:rsidRPr="005A284F">
        <w:rPr>
          <w:rFonts w:ascii="Times New Roman" w:eastAsia="宋体" w:hAnsi="Times New Roman" w:cs="Times New Roman"/>
          <w:b/>
          <w:bCs/>
          <w:sz w:val="18"/>
          <w:szCs w:val="18"/>
        </w:rPr>
        <w:t>）公司开展符合条件套期业务并应用套期会计</w:t>
      </w:r>
      <w:bookmarkEnd w:id="389"/>
    </w:p>
    <w:p w14:paraId="0EA0E207" w14:textId="77777777" w:rsidR="000309B5" w:rsidRPr="005A284F" w:rsidRDefault="00000000">
      <w:pPr>
        <w:pStyle w:val="a3"/>
        <w:divId w:val="636303603"/>
        <w:rPr>
          <w:rFonts w:ascii="Times New Roman" w:hAnsi="Times New Roman" w:cs="Times New Roman"/>
          <w:sz w:val="18"/>
          <w:szCs w:val="18"/>
        </w:rPr>
      </w:pPr>
      <w:r w:rsidRPr="005A284F">
        <w:rPr>
          <w:rFonts w:ascii="Times New Roman" w:hAnsi="Times New Roman" w:cs="Times New Roman"/>
          <w:sz w:val="18"/>
          <w:szCs w:val="18"/>
        </w:rPr>
        <w:t>无</w:t>
      </w:r>
    </w:p>
    <w:p w14:paraId="4D0BD5D2" w14:textId="6C62BD40" w:rsidR="006C011D" w:rsidRPr="005A284F" w:rsidRDefault="00000000">
      <w:pPr>
        <w:keepNext/>
        <w:keepLines/>
        <w:spacing w:before="300" w:after="300" w:line="280" w:lineRule="exact"/>
        <w:outlineLvl w:val="3"/>
        <w:rPr>
          <w:rFonts w:ascii="Times New Roman" w:eastAsia="宋体" w:hAnsi="Times New Roman" w:cs="Times New Roman"/>
          <w:b/>
          <w:bCs/>
          <w:sz w:val="18"/>
          <w:szCs w:val="18"/>
        </w:rPr>
      </w:pPr>
      <w:bookmarkStart w:id="390" w:name="_Toc989343"/>
      <w:r w:rsidRPr="005A284F">
        <w:rPr>
          <w:rFonts w:ascii="Times New Roman" w:eastAsia="宋体" w:hAnsi="Times New Roman" w:cs="Times New Roman"/>
          <w:b/>
          <w:bCs/>
          <w:sz w:val="18"/>
          <w:szCs w:val="18"/>
        </w:rPr>
        <w:t>（</w:t>
      </w:r>
      <w:r w:rsidRPr="005A284F">
        <w:rPr>
          <w:rFonts w:ascii="Times New Roman" w:eastAsia="宋体" w:hAnsi="Times New Roman" w:cs="Times New Roman"/>
          <w:b/>
          <w:bCs/>
          <w:sz w:val="18"/>
          <w:szCs w:val="18"/>
        </w:rPr>
        <w:t>3</w:t>
      </w:r>
      <w:r w:rsidRPr="005A284F">
        <w:rPr>
          <w:rFonts w:ascii="Times New Roman" w:eastAsia="宋体" w:hAnsi="Times New Roman" w:cs="Times New Roman"/>
          <w:b/>
          <w:bCs/>
          <w:sz w:val="18"/>
          <w:szCs w:val="18"/>
        </w:rPr>
        <w:t>）公司开展套期业务进行风险管理、预期能实现风险管理目标但未应用套期会计</w:t>
      </w:r>
      <w:bookmarkEnd w:id="390"/>
    </w:p>
    <w:p w14:paraId="5A16CABB" w14:textId="77777777" w:rsidR="006C011D" w:rsidRPr="003524E1" w:rsidRDefault="00000000">
      <w:pPr>
        <w:spacing w:before="100" w:after="100" w:line="240" w:lineRule="exact"/>
        <w:rPr>
          <w:rFonts w:ascii="宋体" w:eastAsia="宋体" w:hAnsi="宋体" w:cs="Times New Roman" w:hint="eastAsia"/>
          <w:sz w:val="18"/>
          <w:szCs w:val="18"/>
        </w:rPr>
      </w:pPr>
      <w:r w:rsidRPr="003524E1">
        <w:rPr>
          <w:rFonts w:ascii="宋体" w:eastAsia="宋体" w:hAnsi="宋体" w:cs="Times New Roman"/>
          <w:sz w:val="18"/>
          <w:szCs w:val="18"/>
        </w:rPr>
        <w:t xml:space="preserve">□适用 </w:t>
      </w:r>
      <w:r w:rsidRPr="003524E1">
        <w:rPr>
          <w:rFonts w:ascii="宋体" w:eastAsia="宋体" w:hAnsi="宋体" w:cs="Times New Roman"/>
          <w:sz w:val="18"/>
          <w:szCs w:val="18"/>
        </w:rPr>
        <w:sym w:font="Wingdings 2" w:char="F052"/>
      </w:r>
      <w:r w:rsidRPr="003524E1">
        <w:rPr>
          <w:rFonts w:ascii="宋体" w:eastAsia="宋体" w:hAnsi="宋体" w:cs="Times New Roman"/>
          <w:sz w:val="18"/>
          <w:szCs w:val="18"/>
        </w:rPr>
        <w:t>不适用</w:t>
      </w:r>
    </w:p>
    <w:p w14:paraId="376C41EC" w14:textId="77777777" w:rsidR="006C011D" w:rsidRPr="005A284F" w:rsidRDefault="00000000">
      <w:pPr>
        <w:pStyle w:val="3"/>
        <w:spacing w:line="280" w:lineRule="exact"/>
        <w:jc w:val="left"/>
        <w:rPr>
          <w:rFonts w:ascii="Times New Roman" w:hAnsi="Times New Roman" w:cs="Times New Roman"/>
          <w:b/>
          <w:bCs/>
        </w:rPr>
      </w:pPr>
      <w:bookmarkStart w:id="391" w:name="_Toc989344"/>
      <w:r w:rsidRPr="005A284F">
        <w:rPr>
          <w:rFonts w:ascii="Times New Roman" w:hAnsi="Times New Roman" w:cs="Times New Roman"/>
          <w:b/>
          <w:bCs/>
        </w:rPr>
        <w:t>3</w:t>
      </w:r>
      <w:r w:rsidRPr="005A284F">
        <w:rPr>
          <w:rFonts w:ascii="Times New Roman" w:hAnsi="Times New Roman" w:cs="Times New Roman"/>
          <w:b/>
          <w:bCs/>
        </w:rPr>
        <w:t>、金融资产</w:t>
      </w:r>
      <w:bookmarkEnd w:id="391"/>
    </w:p>
    <w:p w14:paraId="4F29DA58" w14:textId="23C84089" w:rsidR="006C011D" w:rsidRPr="005A284F" w:rsidRDefault="00000000">
      <w:pPr>
        <w:keepNext/>
        <w:keepLines/>
        <w:spacing w:before="300" w:after="300" w:line="280" w:lineRule="exact"/>
        <w:outlineLvl w:val="3"/>
        <w:rPr>
          <w:rFonts w:ascii="Times New Roman" w:eastAsia="宋体" w:hAnsi="Times New Roman" w:cs="Times New Roman"/>
          <w:b/>
          <w:bCs/>
          <w:sz w:val="18"/>
          <w:szCs w:val="18"/>
        </w:rPr>
      </w:pPr>
      <w:bookmarkStart w:id="392" w:name="_Toc989345"/>
      <w:r w:rsidRPr="005A284F">
        <w:rPr>
          <w:rFonts w:ascii="Times New Roman" w:eastAsia="宋体" w:hAnsi="Times New Roman" w:cs="Times New Roman"/>
          <w:b/>
          <w:bCs/>
          <w:sz w:val="18"/>
          <w:szCs w:val="18"/>
        </w:rPr>
        <w:t>（</w:t>
      </w:r>
      <w:r w:rsidRPr="005A284F">
        <w:rPr>
          <w:rFonts w:ascii="Times New Roman" w:eastAsia="宋体" w:hAnsi="Times New Roman" w:cs="Times New Roman"/>
          <w:b/>
          <w:bCs/>
          <w:sz w:val="18"/>
          <w:szCs w:val="18"/>
        </w:rPr>
        <w:t>1</w:t>
      </w:r>
      <w:r w:rsidRPr="005A284F">
        <w:rPr>
          <w:rFonts w:ascii="Times New Roman" w:eastAsia="宋体" w:hAnsi="Times New Roman" w:cs="Times New Roman"/>
          <w:b/>
          <w:bCs/>
          <w:sz w:val="18"/>
          <w:szCs w:val="18"/>
        </w:rPr>
        <w:t>）转移方式分类</w:t>
      </w:r>
      <w:bookmarkEnd w:id="392"/>
    </w:p>
    <w:p w14:paraId="13AA331E" w14:textId="77777777" w:rsidR="006C011D" w:rsidRPr="003524E1" w:rsidRDefault="00000000">
      <w:pPr>
        <w:spacing w:before="100" w:after="100" w:line="240" w:lineRule="exact"/>
        <w:rPr>
          <w:rFonts w:ascii="宋体" w:eastAsia="宋体" w:hAnsi="宋体" w:cs="Times New Roman" w:hint="eastAsia"/>
          <w:sz w:val="18"/>
          <w:szCs w:val="18"/>
        </w:rPr>
      </w:pPr>
      <w:r w:rsidRPr="003524E1">
        <w:rPr>
          <w:rFonts w:ascii="宋体" w:eastAsia="宋体" w:hAnsi="宋体" w:cs="Times New Roman"/>
          <w:sz w:val="18"/>
          <w:szCs w:val="18"/>
        </w:rPr>
        <w:t xml:space="preserve">□适用 </w:t>
      </w:r>
      <w:r w:rsidRPr="003524E1">
        <w:rPr>
          <w:rFonts w:ascii="宋体" w:eastAsia="宋体" w:hAnsi="宋体" w:cs="Times New Roman"/>
          <w:sz w:val="18"/>
          <w:szCs w:val="18"/>
        </w:rPr>
        <w:sym w:font="Wingdings 2" w:char="F052"/>
      </w:r>
      <w:r w:rsidRPr="003524E1">
        <w:rPr>
          <w:rFonts w:ascii="宋体" w:eastAsia="宋体" w:hAnsi="宋体" w:cs="Times New Roman"/>
          <w:sz w:val="18"/>
          <w:szCs w:val="18"/>
        </w:rPr>
        <w:t>不适用</w:t>
      </w:r>
    </w:p>
    <w:p w14:paraId="0377D4E0" w14:textId="5460A009" w:rsidR="006C011D" w:rsidRPr="005A284F" w:rsidRDefault="00000000">
      <w:pPr>
        <w:keepNext/>
        <w:keepLines/>
        <w:spacing w:before="300" w:after="300" w:line="280" w:lineRule="exact"/>
        <w:outlineLvl w:val="3"/>
        <w:rPr>
          <w:rFonts w:ascii="Times New Roman" w:eastAsia="宋体" w:hAnsi="Times New Roman" w:cs="Times New Roman"/>
          <w:b/>
          <w:bCs/>
          <w:sz w:val="18"/>
          <w:szCs w:val="18"/>
        </w:rPr>
      </w:pPr>
      <w:bookmarkStart w:id="393" w:name="_Toc989346"/>
      <w:r w:rsidRPr="005A284F">
        <w:rPr>
          <w:rFonts w:ascii="Times New Roman" w:eastAsia="宋体" w:hAnsi="Times New Roman" w:cs="Times New Roman"/>
          <w:b/>
          <w:bCs/>
          <w:sz w:val="18"/>
          <w:szCs w:val="18"/>
        </w:rPr>
        <w:t>（</w:t>
      </w:r>
      <w:r w:rsidRPr="005A284F">
        <w:rPr>
          <w:rFonts w:ascii="Times New Roman" w:eastAsia="宋体" w:hAnsi="Times New Roman" w:cs="Times New Roman"/>
          <w:b/>
          <w:bCs/>
          <w:sz w:val="18"/>
          <w:szCs w:val="18"/>
        </w:rPr>
        <w:t>2</w:t>
      </w:r>
      <w:r w:rsidRPr="005A284F">
        <w:rPr>
          <w:rFonts w:ascii="Times New Roman" w:eastAsia="宋体" w:hAnsi="Times New Roman" w:cs="Times New Roman"/>
          <w:b/>
          <w:bCs/>
          <w:sz w:val="18"/>
          <w:szCs w:val="18"/>
        </w:rPr>
        <w:t>）因转移而终止确认的金融资产</w:t>
      </w:r>
      <w:bookmarkEnd w:id="393"/>
    </w:p>
    <w:p w14:paraId="272E5A16" w14:textId="77777777" w:rsidR="006C011D" w:rsidRPr="003524E1" w:rsidRDefault="00000000">
      <w:pPr>
        <w:spacing w:before="100" w:after="100" w:line="240" w:lineRule="exact"/>
        <w:rPr>
          <w:rFonts w:ascii="宋体" w:eastAsia="宋体" w:hAnsi="宋体" w:cs="Times New Roman" w:hint="eastAsia"/>
          <w:sz w:val="18"/>
          <w:szCs w:val="18"/>
        </w:rPr>
      </w:pPr>
      <w:r w:rsidRPr="003524E1">
        <w:rPr>
          <w:rFonts w:ascii="宋体" w:eastAsia="宋体" w:hAnsi="宋体" w:cs="Times New Roman"/>
          <w:sz w:val="18"/>
          <w:szCs w:val="18"/>
        </w:rPr>
        <w:t xml:space="preserve">□适用 </w:t>
      </w:r>
      <w:r w:rsidRPr="003524E1">
        <w:rPr>
          <w:rFonts w:ascii="宋体" w:eastAsia="宋体" w:hAnsi="宋体" w:cs="Times New Roman"/>
          <w:sz w:val="18"/>
          <w:szCs w:val="18"/>
        </w:rPr>
        <w:sym w:font="Wingdings 2" w:char="F052"/>
      </w:r>
      <w:r w:rsidRPr="003524E1">
        <w:rPr>
          <w:rFonts w:ascii="宋体" w:eastAsia="宋体" w:hAnsi="宋体" w:cs="Times New Roman"/>
          <w:sz w:val="18"/>
          <w:szCs w:val="18"/>
        </w:rPr>
        <w:t>不适用</w:t>
      </w:r>
    </w:p>
    <w:p w14:paraId="3842C71F" w14:textId="19E85210" w:rsidR="006C011D" w:rsidRPr="005A284F" w:rsidRDefault="00000000">
      <w:pPr>
        <w:keepNext/>
        <w:keepLines/>
        <w:spacing w:before="300" w:after="300" w:line="280" w:lineRule="exact"/>
        <w:outlineLvl w:val="3"/>
        <w:rPr>
          <w:rFonts w:ascii="Times New Roman" w:eastAsia="宋体" w:hAnsi="Times New Roman" w:cs="Times New Roman"/>
          <w:b/>
          <w:bCs/>
          <w:sz w:val="18"/>
          <w:szCs w:val="18"/>
        </w:rPr>
      </w:pPr>
      <w:bookmarkStart w:id="394" w:name="_Toc989347"/>
      <w:r w:rsidRPr="005A284F">
        <w:rPr>
          <w:rFonts w:ascii="Times New Roman" w:eastAsia="宋体" w:hAnsi="Times New Roman" w:cs="Times New Roman"/>
          <w:b/>
          <w:bCs/>
          <w:sz w:val="18"/>
          <w:szCs w:val="18"/>
        </w:rPr>
        <w:t>（</w:t>
      </w:r>
      <w:r w:rsidRPr="005A284F">
        <w:rPr>
          <w:rFonts w:ascii="Times New Roman" w:eastAsia="宋体" w:hAnsi="Times New Roman" w:cs="Times New Roman"/>
          <w:b/>
          <w:bCs/>
          <w:sz w:val="18"/>
          <w:szCs w:val="18"/>
        </w:rPr>
        <w:t>3</w:t>
      </w:r>
      <w:r w:rsidRPr="005A284F">
        <w:rPr>
          <w:rFonts w:ascii="Times New Roman" w:eastAsia="宋体" w:hAnsi="Times New Roman" w:cs="Times New Roman"/>
          <w:b/>
          <w:bCs/>
          <w:sz w:val="18"/>
          <w:szCs w:val="18"/>
        </w:rPr>
        <w:t>）继续涉入的资产转移金融资产</w:t>
      </w:r>
      <w:bookmarkEnd w:id="394"/>
    </w:p>
    <w:p w14:paraId="74DDD4E3" w14:textId="77777777" w:rsidR="006C011D" w:rsidRPr="003524E1" w:rsidRDefault="00000000">
      <w:pPr>
        <w:spacing w:before="100" w:after="100" w:line="240" w:lineRule="exact"/>
        <w:rPr>
          <w:rFonts w:ascii="宋体" w:eastAsia="宋体" w:hAnsi="宋体" w:cs="Times New Roman" w:hint="eastAsia"/>
          <w:sz w:val="18"/>
          <w:szCs w:val="18"/>
        </w:rPr>
      </w:pPr>
      <w:r w:rsidRPr="003524E1">
        <w:rPr>
          <w:rFonts w:ascii="宋体" w:eastAsia="宋体" w:hAnsi="宋体" w:cs="Times New Roman"/>
          <w:sz w:val="18"/>
          <w:szCs w:val="18"/>
        </w:rPr>
        <w:t xml:space="preserve">□适用 </w:t>
      </w:r>
      <w:r w:rsidRPr="003524E1">
        <w:rPr>
          <w:rFonts w:ascii="宋体" w:eastAsia="宋体" w:hAnsi="宋体" w:cs="Times New Roman"/>
          <w:sz w:val="18"/>
          <w:szCs w:val="18"/>
        </w:rPr>
        <w:sym w:font="Wingdings 2" w:char="F052"/>
      </w:r>
      <w:r w:rsidRPr="003524E1">
        <w:rPr>
          <w:rFonts w:ascii="宋体" w:eastAsia="宋体" w:hAnsi="宋体" w:cs="Times New Roman"/>
          <w:sz w:val="18"/>
          <w:szCs w:val="18"/>
        </w:rPr>
        <w:t>不适用</w:t>
      </w:r>
    </w:p>
    <w:p w14:paraId="7D3D067E"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w:t>
      </w:r>
    </w:p>
    <w:p w14:paraId="292EFDB2" w14:textId="77777777" w:rsidR="000309B5" w:rsidRPr="005A284F" w:rsidRDefault="00000000">
      <w:pPr>
        <w:pStyle w:val="a3"/>
        <w:divId w:val="1490092201"/>
        <w:rPr>
          <w:rFonts w:ascii="Times New Roman" w:hAnsi="Times New Roman" w:cs="Times New Roman"/>
          <w:sz w:val="18"/>
          <w:szCs w:val="18"/>
        </w:rPr>
      </w:pPr>
      <w:r w:rsidRPr="005A284F">
        <w:rPr>
          <w:rFonts w:ascii="Times New Roman" w:hAnsi="Times New Roman" w:cs="Times New Roman"/>
          <w:sz w:val="18"/>
          <w:szCs w:val="18"/>
        </w:rPr>
        <w:t>无</w:t>
      </w:r>
    </w:p>
    <w:p w14:paraId="0AC75B20"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395" w:name="_Toc989348"/>
      <w:r w:rsidRPr="005A284F">
        <w:rPr>
          <w:rFonts w:ascii="Times New Roman" w:eastAsia="宋体" w:hAnsi="Times New Roman" w:cs="Times New Roman"/>
          <w:b/>
          <w:bCs/>
          <w:sz w:val="24"/>
          <w:szCs w:val="24"/>
        </w:rPr>
        <w:lastRenderedPageBreak/>
        <w:t>十三、公允价值的披露</w:t>
      </w:r>
      <w:bookmarkEnd w:id="395"/>
    </w:p>
    <w:p w14:paraId="1CFF9CB7" w14:textId="77777777" w:rsidR="006C011D" w:rsidRPr="005A284F" w:rsidRDefault="00000000">
      <w:pPr>
        <w:pStyle w:val="3"/>
        <w:spacing w:line="280" w:lineRule="exact"/>
        <w:jc w:val="left"/>
        <w:rPr>
          <w:rFonts w:ascii="Times New Roman" w:hAnsi="Times New Roman" w:cs="Times New Roman"/>
          <w:b/>
          <w:bCs/>
        </w:rPr>
      </w:pPr>
      <w:bookmarkStart w:id="396" w:name="_Toc989349"/>
      <w:r w:rsidRPr="005A284F">
        <w:rPr>
          <w:rFonts w:ascii="Times New Roman" w:hAnsi="Times New Roman" w:cs="Times New Roman"/>
          <w:b/>
          <w:bCs/>
        </w:rPr>
        <w:t>1</w:t>
      </w:r>
      <w:r w:rsidRPr="005A284F">
        <w:rPr>
          <w:rFonts w:ascii="Times New Roman" w:hAnsi="Times New Roman" w:cs="Times New Roman"/>
          <w:b/>
          <w:bCs/>
        </w:rPr>
        <w:t>、以公允价值计量的资产和负债的期末公允价值</w:t>
      </w:r>
      <w:bookmarkEnd w:id="396"/>
    </w:p>
    <w:p w14:paraId="152BD3E7"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C011D" w:rsidRPr="005A284F" w14:paraId="6BE7D4E0" w14:textId="7777777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D6CF9F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7711"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68BE69A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期末公允价值</w:t>
            </w:r>
          </w:p>
        </w:tc>
      </w:tr>
      <w:tr w:rsidR="006C011D" w:rsidRPr="005A284F" w14:paraId="2D87C4F0" w14:textId="7777777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7DE91D5" w14:textId="77777777" w:rsidR="006C011D" w:rsidRPr="005A284F" w:rsidRDefault="006C011D">
            <w:pPr>
              <w:rPr>
                <w:rFonts w:ascii="Times New Roman" w:eastAsia="宋体" w:hAnsi="Times New Roman" w:cs="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08D66F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第一层次公允价值计量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BB4736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第二层次公允价值计量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4BC873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第三层次公允价值计量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F9D385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r>
      <w:tr w:rsidR="006C011D" w:rsidRPr="005A284F" w14:paraId="64923BB2"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C9B08C6"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一、持续的公允价值计量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2AC68B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B3B58E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ECE76F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1B62AB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w:t>
            </w:r>
          </w:p>
        </w:tc>
      </w:tr>
      <w:tr w:rsidR="006C011D" w:rsidRPr="005A284F" w14:paraId="6772EA06"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9090DDB"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二、非持续的公允价值计量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B655D8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AC0FAA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85BA10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E3D0EF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w:t>
            </w:r>
          </w:p>
        </w:tc>
      </w:tr>
    </w:tbl>
    <w:p w14:paraId="3E88C40B" w14:textId="77777777" w:rsidR="006C011D" w:rsidRPr="005A284F" w:rsidRDefault="00000000">
      <w:pPr>
        <w:pStyle w:val="3"/>
        <w:spacing w:line="280" w:lineRule="exact"/>
        <w:jc w:val="left"/>
        <w:rPr>
          <w:rFonts w:ascii="Times New Roman" w:hAnsi="Times New Roman" w:cs="Times New Roman"/>
          <w:b/>
          <w:bCs/>
        </w:rPr>
      </w:pPr>
      <w:bookmarkStart w:id="397" w:name="_Toc989350"/>
      <w:r w:rsidRPr="005A284F">
        <w:rPr>
          <w:rFonts w:ascii="Times New Roman" w:hAnsi="Times New Roman" w:cs="Times New Roman"/>
          <w:b/>
          <w:bCs/>
        </w:rPr>
        <w:t>2</w:t>
      </w:r>
      <w:r w:rsidRPr="005A284F">
        <w:rPr>
          <w:rFonts w:ascii="Times New Roman" w:hAnsi="Times New Roman" w:cs="Times New Roman"/>
          <w:b/>
          <w:bCs/>
        </w:rPr>
        <w:t>、持续和非持续第一层次公允价值计量项目市价的确定依据</w:t>
      </w:r>
      <w:bookmarkEnd w:id="397"/>
    </w:p>
    <w:p w14:paraId="1FD5A800" w14:textId="77777777" w:rsidR="000309B5" w:rsidRPr="005A284F" w:rsidRDefault="00000000">
      <w:pPr>
        <w:pStyle w:val="a3"/>
        <w:spacing w:before="0" w:beforeAutospacing="0" w:after="0" w:afterAutospacing="0" w:line="273" w:lineRule="auto"/>
        <w:ind w:firstLine="360"/>
        <w:jc w:val="both"/>
        <w:divId w:val="478426674"/>
        <w:rPr>
          <w:rFonts w:ascii="Times New Roman" w:hAnsi="Times New Roman" w:cs="Times New Roman"/>
        </w:rPr>
      </w:pPr>
      <w:r w:rsidRPr="005A284F">
        <w:rPr>
          <w:rFonts w:ascii="Times New Roman" w:hAnsi="Times New Roman" w:cs="Times New Roman"/>
          <w:sz w:val="18"/>
          <w:szCs w:val="18"/>
        </w:rPr>
        <w:t>本公司第一层次公允价值计量的交易性金融资产系本公司持有的上市公司股票。按股票的收盘价作为公允价值。</w:t>
      </w:r>
    </w:p>
    <w:p w14:paraId="629ABED9" w14:textId="77777777" w:rsidR="006C011D" w:rsidRPr="005A284F" w:rsidRDefault="00000000">
      <w:pPr>
        <w:pStyle w:val="3"/>
        <w:spacing w:line="280" w:lineRule="exact"/>
        <w:jc w:val="left"/>
        <w:rPr>
          <w:rFonts w:ascii="Times New Roman" w:hAnsi="Times New Roman" w:cs="Times New Roman"/>
          <w:b/>
          <w:bCs/>
        </w:rPr>
      </w:pPr>
      <w:bookmarkStart w:id="398" w:name="_Toc989351"/>
      <w:r w:rsidRPr="005A284F">
        <w:rPr>
          <w:rFonts w:ascii="Times New Roman" w:hAnsi="Times New Roman" w:cs="Times New Roman"/>
          <w:b/>
          <w:bCs/>
        </w:rPr>
        <w:t>3</w:t>
      </w:r>
      <w:r w:rsidRPr="005A284F">
        <w:rPr>
          <w:rFonts w:ascii="Times New Roman" w:hAnsi="Times New Roman" w:cs="Times New Roman"/>
          <w:b/>
          <w:bCs/>
        </w:rPr>
        <w:t>、持续和非持续第二层次公允价值计量项目，采用的估值技术和重要参数的定性及定量信息</w:t>
      </w:r>
      <w:bookmarkEnd w:id="398"/>
    </w:p>
    <w:p w14:paraId="6598632C" w14:textId="77777777" w:rsidR="000309B5" w:rsidRPr="005A284F" w:rsidRDefault="00000000">
      <w:pPr>
        <w:pStyle w:val="a3"/>
        <w:divId w:val="801389815"/>
        <w:rPr>
          <w:rFonts w:ascii="Times New Roman" w:hAnsi="Times New Roman" w:cs="Times New Roman"/>
          <w:sz w:val="18"/>
          <w:szCs w:val="18"/>
        </w:rPr>
      </w:pPr>
      <w:r w:rsidRPr="005A284F">
        <w:rPr>
          <w:rFonts w:ascii="Times New Roman" w:hAnsi="Times New Roman" w:cs="Times New Roman"/>
          <w:sz w:val="18"/>
          <w:szCs w:val="18"/>
        </w:rPr>
        <w:t>无</w:t>
      </w:r>
    </w:p>
    <w:p w14:paraId="22216EBF" w14:textId="77777777" w:rsidR="006C011D" w:rsidRPr="005A284F" w:rsidRDefault="00000000">
      <w:pPr>
        <w:pStyle w:val="3"/>
        <w:spacing w:line="280" w:lineRule="exact"/>
        <w:jc w:val="left"/>
        <w:rPr>
          <w:rFonts w:ascii="Times New Roman" w:hAnsi="Times New Roman" w:cs="Times New Roman"/>
          <w:b/>
          <w:bCs/>
        </w:rPr>
      </w:pPr>
      <w:bookmarkStart w:id="399" w:name="_Toc989352"/>
      <w:r w:rsidRPr="005A284F">
        <w:rPr>
          <w:rFonts w:ascii="Times New Roman" w:hAnsi="Times New Roman" w:cs="Times New Roman"/>
          <w:b/>
          <w:bCs/>
        </w:rPr>
        <w:t>4</w:t>
      </w:r>
      <w:r w:rsidRPr="005A284F">
        <w:rPr>
          <w:rFonts w:ascii="Times New Roman" w:hAnsi="Times New Roman" w:cs="Times New Roman"/>
          <w:b/>
          <w:bCs/>
        </w:rPr>
        <w:t>、持续和非持续第三层次公允价值计量项目，采用的估值技术和重要参数的定性及定量信息</w:t>
      </w:r>
      <w:bookmarkEnd w:id="399"/>
    </w:p>
    <w:p w14:paraId="77A24E1B" w14:textId="77777777" w:rsidR="000309B5" w:rsidRPr="005A284F" w:rsidRDefault="00000000">
      <w:pPr>
        <w:pStyle w:val="a3"/>
        <w:spacing w:before="0" w:beforeAutospacing="0" w:after="0" w:afterAutospacing="0" w:line="273" w:lineRule="auto"/>
        <w:ind w:firstLine="360"/>
        <w:jc w:val="both"/>
        <w:divId w:val="1150901440"/>
        <w:rPr>
          <w:rFonts w:ascii="Times New Roman" w:hAnsi="Times New Roman" w:cs="Times New Roman"/>
        </w:rPr>
      </w:pPr>
      <w:r w:rsidRPr="005A284F">
        <w:rPr>
          <w:rFonts w:ascii="Times New Roman" w:hAnsi="Times New Roman" w:cs="Times New Roman"/>
          <w:sz w:val="18"/>
          <w:szCs w:val="18"/>
        </w:rPr>
        <w:t>本公司第三层次公允价值计量的其他权益工具投资系本公司持有的非上市公司股权。被投资企业经营环境和经营情况、财务状况未发生重大变化，所以公司按持股比例计算被投资单位账面权益核算金额作为公允价值的合理估计进行计量。</w:t>
      </w:r>
    </w:p>
    <w:p w14:paraId="289B4EE8" w14:textId="77777777" w:rsidR="006C011D" w:rsidRPr="005A284F" w:rsidRDefault="00000000">
      <w:pPr>
        <w:pStyle w:val="3"/>
        <w:spacing w:line="280" w:lineRule="exact"/>
        <w:jc w:val="left"/>
        <w:rPr>
          <w:rFonts w:ascii="Times New Roman" w:hAnsi="Times New Roman" w:cs="Times New Roman"/>
          <w:b/>
          <w:bCs/>
        </w:rPr>
      </w:pPr>
      <w:bookmarkStart w:id="400" w:name="_Toc989353"/>
      <w:r w:rsidRPr="005A284F">
        <w:rPr>
          <w:rFonts w:ascii="Times New Roman" w:hAnsi="Times New Roman" w:cs="Times New Roman"/>
          <w:b/>
          <w:bCs/>
        </w:rPr>
        <w:t>5</w:t>
      </w:r>
      <w:r w:rsidRPr="005A284F">
        <w:rPr>
          <w:rFonts w:ascii="Times New Roman" w:hAnsi="Times New Roman" w:cs="Times New Roman"/>
          <w:b/>
          <w:bCs/>
        </w:rPr>
        <w:t>、持续的第三层次公允价值计量项目，期初与期末账面价值间的调节信息及不可观察参数敏感性分析</w:t>
      </w:r>
      <w:bookmarkEnd w:id="400"/>
    </w:p>
    <w:p w14:paraId="692EDFBD" w14:textId="77777777" w:rsidR="000309B5" w:rsidRPr="005A284F" w:rsidRDefault="00000000">
      <w:pPr>
        <w:pStyle w:val="a3"/>
        <w:divId w:val="648366051"/>
        <w:rPr>
          <w:rFonts w:ascii="Times New Roman" w:hAnsi="Times New Roman" w:cs="Times New Roman"/>
          <w:sz w:val="18"/>
          <w:szCs w:val="18"/>
        </w:rPr>
      </w:pPr>
      <w:r w:rsidRPr="005A284F">
        <w:rPr>
          <w:rFonts w:ascii="Times New Roman" w:hAnsi="Times New Roman" w:cs="Times New Roman"/>
          <w:sz w:val="18"/>
          <w:szCs w:val="18"/>
        </w:rPr>
        <w:t>无</w:t>
      </w:r>
    </w:p>
    <w:p w14:paraId="464A3E1C" w14:textId="77777777" w:rsidR="006C011D" w:rsidRPr="005A284F" w:rsidRDefault="00000000">
      <w:pPr>
        <w:pStyle w:val="3"/>
        <w:spacing w:line="280" w:lineRule="exact"/>
        <w:jc w:val="left"/>
        <w:rPr>
          <w:rFonts w:ascii="Times New Roman" w:hAnsi="Times New Roman" w:cs="Times New Roman"/>
          <w:b/>
          <w:bCs/>
        </w:rPr>
      </w:pPr>
      <w:bookmarkStart w:id="401" w:name="_Toc989354"/>
      <w:r w:rsidRPr="005A284F">
        <w:rPr>
          <w:rFonts w:ascii="Times New Roman" w:hAnsi="Times New Roman" w:cs="Times New Roman"/>
          <w:b/>
          <w:bCs/>
        </w:rPr>
        <w:t>6</w:t>
      </w:r>
      <w:r w:rsidRPr="005A284F">
        <w:rPr>
          <w:rFonts w:ascii="Times New Roman" w:hAnsi="Times New Roman" w:cs="Times New Roman"/>
          <w:b/>
          <w:bCs/>
        </w:rPr>
        <w:t>、持续的公允价值计量项目，本期内发生各层级之间转换的，转换的原因及确定转换时点的政策</w:t>
      </w:r>
      <w:bookmarkEnd w:id="401"/>
    </w:p>
    <w:p w14:paraId="293D99F4" w14:textId="77777777" w:rsidR="000309B5" w:rsidRPr="005A284F" w:rsidRDefault="00000000">
      <w:pPr>
        <w:pStyle w:val="a3"/>
        <w:divId w:val="869102744"/>
        <w:rPr>
          <w:rFonts w:ascii="Times New Roman" w:hAnsi="Times New Roman" w:cs="Times New Roman"/>
          <w:sz w:val="18"/>
          <w:szCs w:val="18"/>
        </w:rPr>
      </w:pPr>
      <w:r w:rsidRPr="005A284F">
        <w:rPr>
          <w:rFonts w:ascii="Times New Roman" w:hAnsi="Times New Roman" w:cs="Times New Roman"/>
          <w:sz w:val="18"/>
          <w:szCs w:val="18"/>
        </w:rPr>
        <w:t>无</w:t>
      </w:r>
    </w:p>
    <w:p w14:paraId="3B48010E" w14:textId="77777777" w:rsidR="006C011D" w:rsidRPr="005A284F" w:rsidRDefault="00000000">
      <w:pPr>
        <w:pStyle w:val="3"/>
        <w:spacing w:line="280" w:lineRule="exact"/>
        <w:jc w:val="left"/>
        <w:rPr>
          <w:rFonts w:ascii="Times New Roman" w:hAnsi="Times New Roman" w:cs="Times New Roman"/>
          <w:b/>
          <w:bCs/>
        </w:rPr>
      </w:pPr>
      <w:bookmarkStart w:id="402" w:name="_Toc989355"/>
      <w:r w:rsidRPr="005A284F">
        <w:rPr>
          <w:rFonts w:ascii="Times New Roman" w:hAnsi="Times New Roman" w:cs="Times New Roman"/>
          <w:b/>
          <w:bCs/>
        </w:rPr>
        <w:t>7</w:t>
      </w:r>
      <w:r w:rsidRPr="005A284F">
        <w:rPr>
          <w:rFonts w:ascii="Times New Roman" w:hAnsi="Times New Roman" w:cs="Times New Roman"/>
          <w:b/>
          <w:bCs/>
        </w:rPr>
        <w:t>、本期内发生的估值技术变更及变更原因</w:t>
      </w:r>
      <w:bookmarkEnd w:id="402"/>
    </w:p>
    <w:p w14:paraId="545D40A4" w14:textId="77777777" w:rsidR="000309B5" w:rsidRPr="005A284F" w:rsidRDefault="00000000">
      <w:pPr>
        <w:pStyle w:val="a3"/>
        <w:divId w:val="1106317043"/>
        <w:rPr>
          <w:rFonts w:ascii="Times New Roman" w:hAnsi="Times New Roman" w:cs="Times New Roman"/>
          <w:sz w:val="18"/>
          <w:szCs w:val="18"/>
        </w:rPr>
      </w:pPr>
      <w:r w:rsidRPr="005A284F">
        <w:rPr>
          <w:rFonts w:ascii="Times New Roman" w:hAnsi="Times New Roman" w:cs="Times New Roman"/>
          <w:sz w:val="18"/>
          <w:szCs w:val="18"/>
        </w:rPr>
        <w:t>无</w:t>
      </w:r>
    </w:p>
    <w:p w14:paraId="1885A328" w14:textId="77777777" w:rsidR="006C011D" w:rsidRPr="005A284F" w:rsidRDefault="00000000">
      <w:pPr>
        <w:pStyle w:val="3"/>
        <w:spacing w:line="280" w:lineRule="exact"/>
        <w:jc w:val="left"/>
        <w:rPr>
          <w:rFonts w:ascii="Times New Roman" w:hAnsi="Times New Roman" w:cs="Times New Roman"/>
          <w:b/>
          <w:bCs/>
        </w:rPr>
      </w:pPr>
      <w:bookmarkStart w:id="403" w:name="_Toc989356"/>
      <w:r w:rsidRPr="005A284F">
        <w:rPr>
          <w:rFonts w:ascii="Times New Roman" w:hAnsi="Times New Roman" w:cs="Times New Roman"/>
          <w:b/>
          <w:bCs/>
        </w:rPr>
        <w:t>8</w:t>
      </w:r>
      <w:r w:rsidRPr="005A284F">
        <w:rPr>
          <w:rFonts w:ascii="Times New Roman" w:hAnsi="Times New Roman" w:cs="Times New Roman"/>
          <w:b/>
          <w:bCs/>
        </w:rPr>
        <w:t>、不以公允价值计量的金融资产和金融负债的公允价值情况</w:t>
      </w:r>
      <w:bookmarkEnd w:id="403"/>
    </w:p>
    <w:p w14:paraId="59D0E542" w14:textId="77777777" w:rsidR="000309B5" w:rsidRPr="005A284F" w:rsidRDefault="00000000">
      <w:pPr>
        <w:pStyle w:val="a3"/>
        <w:divId w:val="1732533834"/>
        <w:rPr>
          <w:rFonts w:ascii="Times New Roman" w:hAnsi="Times New Roman" w:cs="Times New Roman"/>
          <w:sz w:val="18"/>
          <w:szCs w:val="18"/>
        </w:rPr>
      </w:pPr>
      <w:r w:rsidRPr="005A284F">
        <w:rPr>
          <w:rFonts w:ascii="Times New Roman" w:hAnsi="Times New Roman" w:cs="Times New Roman"/>
          <w:sz w:val="18"/>
          <w:szCs w:val="18"/>
        </w:rPr>
        <w:t>无</w:t>
      </w:r>
    </w:p>
    <w:p w14:paraId="3DF809DD" w14:textId="77777777" w:rsidR="006C011D" w:rsidRPr="005A284F" w:rsidRDefault="00000000">
      <w:pPr>
        <w:pStyle w:val="3"/>
        <w:spacing w:line="280" w:lineRule="exact"/>
        <w:jc w:val="left"/>
        <w:rPr>
          <w:rFonts w:ascii="Times New Roman" w:hAnsi="Times New Roman" w:cs="Times New Roman"/>
          <w:b/>
          <w:bCs/>
        </w:rPr>
      </w:pPr>
      <w:bookmarkStart w:id="404" w:name="_Toc989357"/>
      <w:r w:rsidRPr="005A284F">
        <w:rPr>
          <w:rFonts w:ascii="Times New Roman" w:hAnsi="Times New Roman" w:cs="Times New Roman"/>
          <w:b/>
          <w:bCs/>
        </w:rPr>
        <w:t>9</w:t>
      </w:r>
      <w:r w:rsidRPr="005A284F">
        <w:rPr>
          <w:rFonts w:ascii="Times New Roman" w:hAnsi="Times New Roman" w:cs="Times New Roman"/>
          <w:b/>
          <w:bCs/>
        </w:rPr>
        <w:t>、其他</w:t>
      </w:r>
      <w:bookmarkEnd w:id="404"/>
    </w:p>
    <w:p w14:paraId="6F9F4AE9" w14:textId="77777777" w:rsidR="000309B5" w:rsidRPr="005A284F" w:rsidRDefault="00000000">
      <w:pPr>
        <w:pStyle w:val="a3"/>
        <w:divId w:val="1980912321"/>
        <w:rPr>
          <w:rFonts w:ascii="Times New Roman" w:hAnsi="Times New Roman" w:cs="Times New Roman"/>
          <w:sz w:val="18"/>
          <w:szCs w:val="18"/>
        </w:rPr>
      </w:pPr>
      <w:r w:rsidRPr="005A284F">
        <w:rPr>
          <w:rFonts w:ascii="Times New Roman" w:hAnsi="Times New Roman" w:cs="Times New Roman"/>
          <w:sz w:val="18"/>
          <w:szCs w:val="18"/>
        </w:rPr>
        <w:t>无</w:t>
      </w:r>
    </w:p>
    <w:p w14:paraId="4D09AE80"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405" w:name="_Toc989358"/>
      <w:r w:rsidRPr="005A284F">
        <w:rPr>
          <w:rFonts w:ascii="Times New Roman" w:eastAsia="宋体" w:hAnsi="Times New Roman" w:cs="Times New Roman"/>
          <w:b/>
          <w:bCs/>
          <w:sz w:val="24"/>
          <w:szCs w:val="24"/>
        </w:rPr>
        <w:lastRenderedPageBreak/>
        <w:t>十四、关联方及关联交易</w:t>
      </w:r>
      <w:bookmarkEnd w:id="405"/>
    </w:p>
    <w:p w14:paraId="07784709" w14:textId="77777777" w:rsidR="006C011D" w:rsidRPr="005A284F" w:rsidRDefault="00000000">
      <w:pPr>
        <w:pStyle w:val="3"/>
        <w:spacing w:line="280" w:lineRule="exact"/>
        <w:jc w:val="left"/>
        <w:rPr>
          <w:rFonts w:ascii="Times New Roman" w:hAnsi="Times New Roman" w:cs="Times New Roman"/>
          <w:b/>
          <w:bCs/>
        </w:rPr>
      </w:pPr>
      <w:bookmarkStart w:id="406" w:name="_Toc989359"/>
      <w:r w:rsidRPr="005A284F">
        <w:rPr>
          <w:rFonts w:ascii="Times New Roman" w:hAnsi="Times New Roman" w:cs="Times New Roman"/>
          <w:b/>
          <w:bCs/>
        </w:rPr>
        <w:t>1</w:t>
      </w:r>
      <w:r w:rsidRPr="005A284F">
        <w:rPr>
          <w:rFonts w:ascii="Times New Roman" w:hAnsi="Times New Roman" w:cs="Times New Roman"/>
          <w:b/>
          <w:bCs/>
        </w:rPr>
        <w:t>、本企业的母公司情况</w:t>
      </w:r>
      <w:bookmarkEnd w:id="406"/>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6C011D" w:rsidRPr="005A284F" w14:paraId="2FA47EA0"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C49D24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母公司名称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714B58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注册地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083C2D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业务性质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9D5CB8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注册资本</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9EDE0B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母公司对本企业的持股比例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5D1E0A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母公司对本企业的表决权比例</w:t>
            </w:r>
          </w:p>
        </w:tc>
      </w:tr>
      <w:tr w:rsidR="006C011D" w:rsidRPr="005A284F" w14:paraId="17148F53"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49A81B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466E144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深圳</w:t>
            </w:r>
          </w:p>
        </w:tc>
        <w:tc>
          <w:tcPr>
            <w:tcW w:w="1606" w:type="dxa"/>
            <w:tcBorders>
              <w:top w:val="single" w:sz="2" w:space="0" w:color="auto"/>
              <w:left w:val="single" w:sz="2" w:space="0" w:color="auto"/>
              <w:bottom w:val="single" w:sz="2" w:space="0" w:color="auto"/>
              <w:right w:val="single" w:sz="2" w:space="0" w:color="auto"/>
            </w:tcBorders>
            <w:vAlign w:val="center"/>
          </w:tcPr>
          <w:p w14:paraId="080DC63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投资</w:t>
            </w:r>
          </w:p>
        </w:tc>
        <w:tc>
          <w:tcPr>
            <w:tcW w:w="1606" w:type="dxa"/>
            <w:tcBorders>
              <w:top w:val="single" w:sz="2" w:space="0" w:color="auto"/>
              <w:left w:val="single" w:sz="2" w:space="0" w:color="auto"/>
              <w:bottom w:val="single" w:sz="2" w:space="0" w:color="auto"/>
              <w:right w:val="single" w:sz="2" w:space="0" w:color="auto"/>
            </w:tcBorders>
            <w:vAlign w:val="center"/>
          </w:tcPr>
          <w:p w14:paraId="137AB3B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666,700.00</w:t>
            </w:r>
            <w:r w:rsidRPr="005A284F">
              <w:rPr>
                <w:rFonts w:ascii="Times New Roman" w:eastAsia="宋体" w:hAnsi="Times New Roman" w:cs="Times New Roman"/>
                <w:sz w:val="18"/>
                <w:szCs w:val="18"/>
              </w:rPr>
              <w:t>万元</w:t>
            </w:r>
          </w:p>
        </w:tc>
        <w:tc>
          <w:tcPr>
            <w:tcW w:w="1606" w:type="dxa"/>
            <w:tcBorders>
              <w:top w:val="single" w:sz="2" w:space="0" w:color="auto"/>
              <w:left w:val="single" w:sz="2" w:space="0" w:color="auto"/>
              <w:bottom w:val="single" w:sz="2" w:space="0" w:color="auto"/>
              <w:right w:val="single" w:sz="2" w:space="0" w:color="auto"/>
            </w:tcBorders>
            <w:vAlign w:val="center"/>
          </w:tcPr>
          <w:p w14:paraId="654DCEC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27.23%</w:t>
            </w:r>
          </w:p>
        </w:tc>
        <w:tc>
          <w:tcPr>
            <w:tcW w:w="1606" w:type="dxa"/>
            <w:tcBorders>
              <w:top w:val="single" w:sz="2" w:space="0" w:color="auto"/>
              <w:left w:val="single" w:sz="2" w:space="0" w:color="auto"/>
              <w:bottom w:val="single" w:sz="2" w:space="0" w:color="auto"/>
              <w:right w:val="single" w:sz="2" w:space="0" w:color="auto"/>
            </w:tcBorders>
            <w:vAlign w:val="center"/>
          </w:tcPr>
          <w:p w14:paraId="750334F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27.23%</w:t>
            </w:r>
          </w:p>
        </w:tc>
      </w:tr>
    </w:tbl>
    <w:p w14:paraId="0ACB2CA9"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本企业的母公司情况的说明</w:t>
      </w:r>
    </w:p>
    <w:p w14:paraId="2F7D0A24" w14:textId="77777777" w:rsidR="000309B5" w:rsidRPr="005A284F" w:rsidRDefault="00000000">
      <w:pPr>
        <w:pStyle w:val="a3"/>
        <w:divId w:val="1771971958"/>
        <w:rPr>
          <w:rFonts w:ascii="Times New Roman" w:hAnsi="Times New Roman" w:cs="Times New Roman"/>
          <w:sz w:val="18"/>
          <w:szCs w:val="18"/>
        </w:rPr>
      </w:pPr>
      <w:r w:rsidRPr="005A284F">
        <w:rPr>
          <w:rFonts w:ascii="Times New Roman" w:hAnsi="Times New Roman" w:cs="Times New Roman"/>
          <w:sz w:val="18"/>
          <w:szCs w:val="18"/>
        </w:rPr>
        <w:t>无</w:t>
      </w:r>
    </w:p>
    <w:p w14:paraId="6AFACA23"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本企业最终控制方是戴学斌、董翔。</w:t>
      </w:r>
    </w:p>
    <w:p w14:paraId="3229905C"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w:t>
      </w:r>
    </w:p>
    <w:p w14:paraId="7F93E5C5" w14:textId="77777777" w:rsidR="000309B5" w:rsidRPr="005A284F" w:rsidRDefault="00000000">
      <w:pPr>
        <w:pStyle w:val="a3"/>
        <w:divId w:val="66732101"/>
        <w:rPr>
          <w:rFonts w:ascii="Times New Roman" w:hAnsi="Times New Roman" w:cs="Times New Roman"/>
          <w:sz w:val="18"/>
          <w:szCs w:val="18"/>
        </w:rPr>
      </w:pPr>
      <w:r w:rsidRPr="005A284F">
        <w:rPr>
          <w:rFonts w:ascii="Times New Roman" w:hAnsi="Times New Roman" w:cs="Times New Roman"/>
          <w:sz w:val="18"/>
          <w:szCs w:val="18"/>
        </w:rPr>
        <w:t>无</w:t>
      </w:r>
    </w:p>
    <w:p w14:paraId="67E2BA4A" w14:textId="77777777" w:rsidR="006C011D" w:rsidRPr="005A284F" w:rsidRDefault="00000000">
      <w:pPr>
        <w:pStyle w:val="3"/>
        <w:spacing w:line="280" w:lineRule="exact"/>
        <w:jc w:val="left"/>
        <w:rPr>
          <w:rFonts w:ascii="Times New Roman" w:hAnsi="Times New Roman" w:cs="Times New Roman"/>
          <w:b/>
          <w:bCs/>
        </w:rPr>
      </w:pPr>
      <w:bookmarkStart w:id="407" w:name="_Toc989360"/>
      <w:r w:rsidRPr="005A284F">
        <w:rPr>
          <w:rFonts w:ascii="Times New Roman" w:hAnsi="Times New Roman" w:cs="Times New Roman"/>
          <w:b/>
          <w:bCs/>
        </w:rPr>
        <w:t>2</w:t>
      </w:r>
      <w:r w:rsidRPr="005A284F">
        <w:rPr>
          <w:rFonts w:ascii="Times New Roman" w:hAnsi="Times New Roman" w:cs="Times New Roman"/>
          <w:b/>
          <w:bCs/>
        </w:rPr>
        <w:t>、本企业的子公司情况</w:t>
      </w:r>
      <w:bookmarkEnd w:id="407"/>
    </w:p>
    <w:p w14:paraId="00118F50" w14:textId="2CC1DC86"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本企业子公司的情况详见附注十、</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、在子公司中的权益。</w:t>
      </w:r>
    </w:p>
    <w:p w14:paraId="3CB3AF27" w14:textId="77777777" w:rsidR="006C011D" w:rsidRPr="005A284F" w:rsidRDefault="00000000">
      <w:pPr>
        <w:pStyle w:val="3"/>
        <w:spacing w:line="280" w:lineRule="exact"/>
        <w:jc w:val="left"/>
        <w:rPr>
          <w:rFonts w:ascii="Times New Roman" w:hAnsi="Times New Roman" w:cs="Times New Roman"/>
          <w:b/>
          <w:bCs/>
        </w:rPr>
      </w:pPr>
      <w:bookmarkStart w:id="408" w:name="_Toc989361"/>
      <w:r w:rsidRPr="005A284F">
        <w:rPr>
          <w:rFonts w:ascii="Times New Roman" w:hAnsi="Times New Roman" w:cs="Times New Roman"/>
          <w:b/>
          <w:bCs/>
        </w:rPr>
        <w:t>3</w:t>
      </w:r>
      <w:r w:rsidRPr="005A284F">
        <w:rPr>
          <w:rFonts w:ascii="Times New Roman" w:hAnsi="Times New Roman" w:cs="Times New Roman"/>
          <w:b/>
          <w:bCs/>
        </w:rPr>
        <w:t>、本企业合营和联营企业情况</w:t>
      </w:r>
      <w:bookmarkEnd w:id="408"/>
    </w:p>
    <w:p w14:paraId="545342C2"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本企业重要的合营或联营企业详见附注。</w:t>
      </w:r>
    </w:p>
    <w:p w14:paraId="193500EB"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本期与本公司发生关联方交易，或前期与本公司发生关联方交易形成余额的其他合营或联营企业情况如下：</w:t>
      </w:r>
    </w:p>
    <w:p w14:paraId="0E5571C8" w14:textId="77777777" w:rsidR="000309B5" w:rsidRPr="005A284F" w:rsidRDefault="00000000">
      <w:pPr>
        <w:pStyle w:val="a3"/>
        <w:divId w:val="2022077202"/>
        <w:rPr>
          <w:rFonts w:ascii="Times New Roman" w:hAnsi="Times New Roman" w:cs="Times New Roman"/>
          <w:sz w:val="18"/>
          <w:szCs w:val="18"/>
        </w:rPr>
      </w:pPr>
      <w:r w:rsidRPr="005A284F">
        <w:rPr>
          <w:rFonts w:ascii="Times New Roman" w:hAnsi="Times New Roman" w:cs="Times New Roman"/>
          <w:sz w:val="18"/>
          <w:szCs w:val="18"/>
        </w:rPr>
        <w:t>无</w:t>
      </w:r>
    </w:p>
    <w:p w14:paraId="7EFACCFC" w14:textId="77777777" w:rsidR="006C011D" w:rsidRPr="005A284F" w:rsidRDefault="00000000">
      <w:pPr>
        <w:pStyle w:val="3"/>
        <w:spacing w:line="280" w:lineRule="exact"/>
        <w:jc w:val="left"/>
        <w:rPr>
          <w:rFonts w:ascii="Times New Roman" w:hAnsi="Times New Roman" w:cs="Times New Roman"/>
          <w:b/>
          <w:bCs/>
        </w:rPr>
      </w:pPr>
      <w:bookmarkStart w:id="409" w:name="_Toc989362"/>
      <w:r w:rsidRPr="005A284F">
        <w:rPr>
          <w:rFonts w:ascii="Times New Roman" w:hAnsi="Times New Roman" w:cs="Times New Roman"/>
          <w:b/>
          <w:bCs/>
        </w:rPr>
        <w:t>4</w:t>
      </w:r>
      <w:r w:rsidRPr="005A284F">
        <w:rPr>
          <w:rFonts w:ascii="Times New Roman" w:hAnsi="Times New Roman" w:cs="Times New Roman"/>
          <w:b/>
          <w:bCs/>
        </w:rPr>
        <w:t>、其他关联方情况</w:t>
      </w:r>
      <w:bookmarkEnd w:id="409"/>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6C011D" w:rsidRPr="005A284F" w14:paraId="4ABD4EF1"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696DCC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其他关联方名称</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49F9FA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其他关联方与本企业关系</w:t>
            </w:r>
          </w:p>
        </w:tc>
      </w:tr>
      <w:tr w:rsidR="006C011D" w:rsidRPr="005A284F" w14:paraId="01CCCD13"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B8A5C0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怡君控股有限公司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65F84DC8"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51181857"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8E3F61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蓝润集团有限公司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4C64C64B"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385D0924"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46AAD6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上海信赫投资管理有限公司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2B8C170D"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57904F17"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434857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深圳蓝润控股有限公司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4DF1FD54"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77F82698"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636FB7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蓝润地产有限责任公司</w:t>
            </w:r>
          </w:p>
        </w:tc>
        <w:tc>
          <w:tcPr>
            <w:tcW w:w="4820" w:type="dxa"/>
            <w:tcBorders>
              <w:top w:val="single" w:sz="2" w:space="0" w:color="auto"/>
              <w:left w:val="single" w:sz="2" w:space="0" w:color="auto"/>
              <w:bottom w:val="single" w:sz="2" w:space="0" w:color="auto"/>
              <w:right w:val="single" w:sz="2" w:space="0" w:color="auto"/>
            </w:tcBorders>
            <w:vAlign w:val="center"/>
          </w:tcPr>
          <w:p w14:paraId="1659394E"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13B79CB7"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5ED9D7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成都蓝润置业有限公司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7BDB439"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1F723FB8"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603E03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成都天府新区蓝润城市发展有限公司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5DBC64C2"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6A0843A2"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D03362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成都弘骏盛通实业有限公司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7F408A58"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213ED904"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A178CD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南充弘润通置业有限公司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54822E80"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0CEF737D"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318333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成都盛泰华星实业有限公司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52727B42"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0419822A"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92E4B1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成都昊翔盛达实业有限公司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60039289"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290C82AE"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1A34A6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成都博瑞华达实业有限公司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506AB772"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292F38F9"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FFE272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成都玉林宾馆有限公司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342FCF44"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008FEAF3"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3A9770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成都锦融盛通实业有限公司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674942AE"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7CB63CE5"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C3528A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成都新悦房地产开发有限公司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E661166"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45D9978D"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64B26A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四川中建建宏置业有限公司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3C167D81"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24B531B6"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797E65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重庆畅映实业有限公司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296BB96C"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13AF9885"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640E5E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成都明兴金汇置业有限公司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12C110D6"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1374AE9E"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27AD15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四川亿通达贸易有限公司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4CBD4108"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0EDF21AA"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E5BADA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四川鸿源星房地产开发有限公司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1E21B9BC"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073B3659"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11B2B5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北京蓝润华盛置业有限公司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2A5B2F88"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254C0A26"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5A0A1D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成都盛和瑞兴置业有限公司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7E6C8C37"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7A56D503"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12E2A7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上海运川实业有限公司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13212A0C"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19062882"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036DF4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成都蓝润耀恒置业有限公司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421A010"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7D45FC9F"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C4CBA8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上海安蓝置业有限公司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469C8277"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35477DBF"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0F9677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蓝润生活服务集团有限公司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7B02CB8B"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7C83DDD8"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2AFDD2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君杰资本管理有限公司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7FC32588"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04DE80D4"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9E2A90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深圳蓝润物流仓储有限公司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377B00E7"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180D0AED"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700EF7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成都新远程实业有限公司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29F0DAF7"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63732CE1"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768EDB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怡君智慧商业管理有限公司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1F74EB4A"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4193A3ED"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48D9A0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成都蓝润润达商业管理有限公司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575A62F8"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5948197D"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804A12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成都润家商业管理有限公司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44A717C7"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7B36B0F0"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E06B55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渠县润家商业管理有限公司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226797C9"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012D407D"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C2EECD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达州润家锦瑞商业管理有限公司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2F418F8F"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19230C6C"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00F9F3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成都佳茂乐旺实业有限公司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325C472B"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0EB8E0D0"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0A04FD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四川柳牌酒业股份有限公司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5124E02C"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6C3DD546"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595437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四川蓝润实业集团有限公司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2A49CCAD"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1532F49E"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B2BC2C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北京盛宏恒兴实业有限公司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78DB6EB4"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5F287AEF"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EDF036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达州昊华实业有限公司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2C9159A3"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01AABE41"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F010FE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成都昊华君翔置业有限公司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56CC9631"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2F07F859"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E517F0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四川蓝润锦怡健康管理有限公司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67833152"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29B9FBA2"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FCF34D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大竹县远鸿商混实业有限公司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2B2AF306"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0C1AA7E1"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EF7302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成都蓝润智邦置业有限公司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4BFEE16B"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71F8B067"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5A72CB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成都蓝润创汇置业有限公司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296A66DB"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6C32B213"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C945F3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开江嘉胜和实业有限公司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1316C93C"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5C97AF6D"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FE6745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成都蓝润航瑞置业有限公司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770A2E1B"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7D881543"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231DEE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渠县诚德华泰实业有限公司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E416338"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40228724"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8A494D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成都蓝润华仁置业有限公司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CEECC5B"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5E39A809"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7A73FE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重庆翔胜汇实业有限公司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364A5F60"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50B6F219"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4F04A0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成都昊华君宇置业有限公司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7154791B"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4BB1404F"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5729B8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四川君昌达实业有限公司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68C43EFC"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7BF232CC"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9FCECB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成都君和君祥置业有限公司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27121667"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589B8867"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593C3F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大竹华亿金瑞贸易有限公司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60D14D9E"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032B8AE6"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1CCC7B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成都蓝润华锦置业有限公司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8175BDB"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4EBB060A"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87C3EB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成都蓝润兴茂置业有限公司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117EF649"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44A9689B"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7E39E5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达州市弘润置业有限公司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723DB72F"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7323AC94"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21ED6C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成都启阳恒隆置业有限公司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642178C9"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58AADAEB"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AA0A9B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开江佳华实业有限公司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409CC127"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4648A6E1"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D9D5CD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成都鸿源星置地有限公司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8FF5410"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32A03813"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C36E10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达州市润耀实业有限公司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10629FFC"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45D4E872"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7940D3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达州市富润锐达实业有限公司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15CBC86E"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39A00ED1"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3E6380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成都蓝润锦尚实业有限公司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1FF48FF"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40AFED8B"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C6539E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四川蓝润能源股份有限公司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626B1275"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2B8E9C91"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838BB9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五仓农牧集团有限公司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7380B437"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080C9F50"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919207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达州宝廪农牧技术有限公司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73FE90F9"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66242D24"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748877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巴中五仓宝联农牧技术有限公司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6481E467"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7C55C8DF"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4E4A33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西充五仓宝廪农牧有限公司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2256F084"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359B844F"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20819D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南部县五仓宝廪农牧有限公司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BD2EB5A"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4DC3154E"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A2FA66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巴中五仓宝嘉农牧有限公司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10F9490"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1043DC83"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01525A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巴中五仓宝成农牧有限公司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5651840D"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5AD15A0B"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66F55C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巴中五仓宝盈农牧有限公司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48395727"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6EF1CFEB"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C7840E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巴中五仓宝裕农牧有限公司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1C5E766C"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5AFCA830"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DC25D8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西充五仓宝玥农牧有限公司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348B31A7"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34A5F0BE"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9CD0F1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西充五仓宝辰农牧有限公司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3AC863B5"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75424EF9"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D1188A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巴中五仓宝双农牧有限公司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4B38001"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38A76745"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BDC918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巴中五仓宝坪农牧有限公司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27C7D79D"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58DF7F37"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931959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天津丰润恒道有限公司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4E456FD1"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6CE9B6A4"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120361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天津华瑞富达贸易有限公司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1BC8441C"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5EF90A2F"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D10B4E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北京正佳华瀚实业有限公司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64F9D1F8"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4DB73C9A"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30886E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成都璞门雅居酒店管理有限公司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492C90AE"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5C60B3A3"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99CAE2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上海东谦佳实业有限公司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5AD299BC"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55970D96"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4D8551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四川轩泰贸易有限公司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7A457499"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52457B10"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EF1250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四川亿华贸易有限公司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24259EB0"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0B504F23"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E8EE65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四川鼎嘉泰贸易有限公司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5B273CB2"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471C86FF"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2F8965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成都捷阔灏达实业有限公司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35ACF415"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10131FE5"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C73B56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达州银行股份有限公司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6E034FA3"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实际控制人戴学斌先生担任达州银行董事职务（</w:t>
            </w:r>
            <w:r w:rsidRPr="005A284F">
              <w:rPr>
                <w:rFonts w:ascii="Times New Roman" w:eastAsia="宋体" w:hAnsi="Times New Roman" w:cs="Times New Roman"/>
                <w:sz w:val="18"/>
                <w:szCs w:val="18"/>
              </w:rPr>
              <w:t>2025/5/23</w:t>
            </w:r>
            <w:r w:rsidRPr="005A284F">
              <w:rPr>
                <w:rFonts w:ascii="Times New Roman" w:eastAsia="宋体" w:hAnsi="Times New Roman" w:cs="Times New Roman"/>
                <w:sz w:val="18"/>
                <w:szCs w:val="18"/>
              </w:rPr>
              <w:t>实际控制人戴学斌先生退出董事职务）</w:t>
            </w:r>
          </w:p>
        </w:tc>
      </w:tr>
      <w:tr w:rsidR="006C011D" w:rsidRPr="005A284F" w14:paraId="3CFB4445"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8BB5B7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56B01AA6"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母公司</w:t>
            </w:r>
          </w:p>
        </w:tc>
      </w:tr>
      <w:tr w:rsidR="006C011D" w:rsidRPr="005A284F" w14:paraId="060DE19E"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E76EF7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绵阳市五仓宝超农牧科技有限公司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3CDB7B9"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6F8B1997"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D9520B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巴中宝菩农牧技术有限公司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3D152722"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6FCCCB90"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661B8A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四川凰城物业服务有限公司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2DF6CABF"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受同一方控制</w:t>
            </w:r>
          </w:p>
        </w:tc>
      </w:tr>
      <w:tr w:rsidR="006C011D" w:rsidRPr="005A284F" w14:paraId="47F6393A"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EAA4CC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莱阳银龙投资有限公司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6500C58" w14:textId="6FF4D074"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公司股东</w:t>
            </w:r>
          </w:p>
        </w:tc>
      </w:tr>
      <w:tr w:rsidR="006C011D" w:rsidRPr="005A284F" w14:paraId="30C58800"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BFE34D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牧原食品股份有限公司（集团）</w:t>
            </w:r>
          </w:p>
        </w:tc>
        <w:tc>
          <w:tcPr>
            <w:tcW w:w="4820" w:type="dxa"/>
            <w:tcBorders>
              <w:top w:val="single" w:sz="2" w:space="0" w:color="auto"/>
              <w:left w:val="single" w:sz="2" w:space="0" w:color="auto"/>
              <w:bottom w:val="single" w:sz="2" w:space="0" w:color="auto"/>
              <w:right w:val="single" w:sz="2" w:space="0" w:color="auto"/>
            </w:tcBorders>
            <w:vAlign w:val="center"/>
          </w:tcPr>
          <w:p w14:paraId="723D3274" w14:textId="1DEDD99E"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公司重要子公司的少数股东</w:t>
            </w:r>
          </w:p>
        </w:tc>
      </w:tr>
      <w:tr w:rsidR="006C011D" w:rsidRPr="005A284F" w14:paraId="1B31F774"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4FF253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宣威市鼎宏食品有限公司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6B43982D" w14:textId="48C25665"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公司子公司的少数股东</w:t>
            </w:r>
          </w:p>
        </w:tc>
      </w:tr>
      <w:tr w:rsidR="006C011D" w:rsidRPr="005A284F" w14:paraId="4ED660AD"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6EECF6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蓬莱富华冷藏有限公司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72981123" w14:textId="62792BEB"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公司子公司的少数股东</w:t>
            </w:r>
          </w:p>
        </w:tc>
      </w:tr>
      <w:tr w:rsidR="006C011D" w:rsidRPr="005A284F" w14:paraId="5AED5AAA"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147BB8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李凯</w:t>
            </w:r>
          </w:p>
        </w:tc>
        <w:tc>
          <w:tcPr>
            <w:tcW w:w="4820" w:type="dxa"/>
            <w:tcBorders>
              <w:top w:val="single" w:sz="2" w:space="0" w:color="auto"/>
              <w:left w:val="single" w:sz="2" w:space="0" w:color="auto"/>
              <w:bottom w:val="single" w:sz="2" w:space="0" w:color="auto"/>
              <w:right w:val="single" w:sz="2" w:space="0" w:color="auto"/>
            </w:tcBorders>
            <w:vAlign w:val="center"/>
          </w:tcPr>
          <w:p w14:paraId="07F19BA9" w14:textId="5D96BE4C"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公司子公司的少数股东</w:t>
            </w:r>
          </w:p>
        </w:tc>
      </w:tr>
      <w:tr w:rsidR="006C011D" w:rsidRPr="005A284F" w14:paraId="15C72DF0"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EBC156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青岛洪亨亚和实业有限公司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708E14F7" w14:textId="7B0F40F9"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公司股东</w:t>
            </w:r>
          </w:p>
        </w:tc>
      </w:tr>
    </w:tbl>
    <w:p w14:paraId="1539FA60"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其他说明</w:t>
      </w:r>
    </w:p>
    <w:p w14:paraId="6C46F277" w14:textId="77777777" w:rsidR="000309B5" w:rsidRPr="005A284F" w:rsidRDefault="00000000">
      <w:pPr>
        <w:pStyle w:val="a3"/>
        <w:divId w:val="813717649"/>
        <w:rPr>
          <w:rFonts w:ascii="Times New Roman" w:hAnsi="Times New Roman" w:cs="Times New Roman"/>
          <w:sz w:val="18"/>
          <w:szCs w:val="18"/>
        </w:rPr>
      </w:pPr>
      <w:r w:rsidRPr="005A284F">
        <w:rPr>
          <w:rFonts w:ascii="Times New Roman" w:hAnsi="Times New Roman" w:cs="Times New Roman"/>
          <w:sz w:val="18"/>
          <w:szCs w:val="18"/>
        </w:rPr>
        <w:t>无</w:t>
      </w:r>
    </w:p>
    <w:p w14:paraId="78D0A4E8" w14:textId="77777777" w:rsidR="006C011D" w:rsidRPr="005A284F" w:rsidRDefault="00000000">
      <w:pPr>
        <w:pStyle w:val="3"/>
        <w:spacing w:line="280" w:lineRule="exact"/>
        <w:jc w:val="left"/>
        <w:rPr>
          <w:rFonts w:ascii="Times New Roman" w:hAnsi="Times New Roman" w:cs="Times New Roman"/>
          <w:b/>
          <w:bCs/>
        </w:rPr>
      </w:pPr>
      <w:bookmarkStart w:id="410" w:name="_Toc989363"/>
      <w:r w:rsidRPr="005A284F">
        <w:rPr>
          <w:rFonts w:ascii="Times New Roman" w:hAnsi="Times New Roman" w:cs="Times New Roman"/>
          <w:b/>
          <w:bCs/>
        </w:rPr>
        <w:t>5</w:t>
      </w:r>
      <w:r w:rsidRPr="005A284F">
        <w:rPr>
          <w:rFonts w:ascii="Times New Roman" w:hAnsi="Times New Roman" w:cs="Times New Roman"/>
          <w:b/>
          <w:bCs/>
        </w:rPr>
        <w:t>、关联交易情况</w:t>
      </w:r>
      <w:bookmarkEnd w:id="410"/>
    </w:p>
    <w:p w14:paraId="775344D9" w14:textId="1281F12B"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411" w:name="_Toc989364"/>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1</w:t>
      </w:r>
      <w:r w:rsidRPr="005A284F">
        <w:rPr>
          <w:rFonts w:ascii="Times New Roman" w:eastAsia="宋体" w:hAnsi="Times New Roman" w:cs="Times New Roman"/>
          <w:b/>
          <w:bCs/>
          <w:sz w:val="21"/>
          <w:szCs w:val="21"/>
        </w:rPr>
        <w:t>）购销商品、提供和接受劳务的关联交易</w:t>
      </w:r>
      <w:bookmarkEnd w:id="411"/>
    </w:p>
    <w:p w14:paraId="508540AD"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采购商品</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接受劳务情况表</w:t>
      </w:r>
    </w:p>
    <w:p w14:paraId="230F12D4" w14:textId="77777777" w:rsidR="006C011D" w:rsidRPr="005A284F" w:rsidRDefault="00000000">
      <w:pPr>
        <w:spacing w:before="120" w:after="12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6C011D" w:rsidRPr="005A284F" w14:paraId="65277762"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4520AA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关联方</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A6FBF5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关联交易内容</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C0C9DE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本期发生额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B11DE2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获批的交易额度</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784BCC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是否超过交易额度</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A4B487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上期发生额</w:t>
            </w:r>
          </w:p>
        </w:tc>
      </w:tr>
      <w:tr w:rsidR="006C011D" w:rsidRPr="005A284F" w14:paraId="6F61C914"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61BE45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牧原食品股份有限公司（集团）</w:t>
            </w:r>
          </w:p>
        </w:tc>
        <w:tc>
          <w:tcPr>
            <w:tcW w:w="1606" w:type="dxa"/>
            <w:tcBorders>
              <w:top w:val="single" w:sz="2" w:space="0" w:color="auto"/>
              <w:left w:val="single" w:sz="2" w:space="0" w:color="auto"/>
              <w:bottom w:val="single" w:sz="2" w:space="0" w:color="auto"/>
              <w:right w:val="single" w:sz="2" w:space="0" w:color="auto"/>
            </w:tcBorders>
            <w:vAlign w:val="center"/>
          </w:tcPr>
          <w:p w14:paraId="67147DA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购买商品（毛猪）</w:t>
            </w:r>
          </w:p>
        </w:tc>
        <w:tc>
          <w:tcPr>
            <w:tcW w:w="1606" w:type="dxa"/>
            <w:tcBorders>
              <w:top w:val="single" w:sz="2" w:space="0" w:color="auto"/>
              <w:left w:val="single" w:sz="2" w:space="0" w:color="auto"/>
              <w:bottom w:val="single" w:sz="2" w:space="0" w:color="auto"/>
              <w:right w:val="single" w:sz="2" w:space="0" w:color="auto"/>
            </w:tcBorders>
            <w:vAlign w:val="center"/>
          </w:tcPr>
          <w:p w14:paraId="18246C0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927,501,861.47</w:t>
            </w:r>
          </w:p>
        </w:tc>
        <w:tc>
          <w:tcPr>
            <w:tcW w:w="1606" w:type="dxa"/>
            <w:tcBorders>
              <w:top w:val="single" w:sz="2" w:space="0" w:color="auto"/>
              <w:left w:val="single" w:sz="2" w:space="0" w:color="auto"/>
              <w:bottom w:val="single" w:sz="2" w:space="0" w:color="auto"/>
              <w:right w:val="single" w:sz="2" w:space="0" w:color="auto"/>
            </w:tcBorders>
            <w:vAlign w:val="center"/>
          </w:tcPr>
          <w:p w14:paraId="4850D02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F4F892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094D23C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809,780,187.23</w:t>
            </w:r>
          </w:p>
        </w:tc>
      </w:tr>
      <w:tr w:rsidR="006C011D" w:rsidRPr="005A284F" w14:paraId="1781891C"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56BEAE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牧原食品股份有限公司（集团）</w:t>
            </w:r>
          </w:p>
        </w:tc>
        <w:tc>
          <w:tcPr>
            <w:tcW w:w="1606" w:type="dxa"/>
            <w:tcBorders>
              <w:top w:val="single" w:sz="2" w:space="0" w:color="auto"/>
              <w:left w:val="single" w:sz="2" w:space="0" w:color="auto"/>
              <w:bottom w:val="single" w:sz="2" w:space="0" w:color="auto"/>
              <w:right w:val="single" w:sz="2" w:space="0" w:color="auto"/>
            </w:tcBorders>
            <w:vAlign w:val="center"/>
          </w:tcPr>
          <w:p w14:paraId="68200D8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购买商品（猪产品）</w:t>
            </w:r>
          </w:p>
        </w:tc>
        <w:tc>
          <w:tcPr>
            <w:tcW w:w="1606" w:type="dxa"/>
            <w:tcBorders>
              <w:top w:val="single" w:sz="2" w:space="0" w:color="auto"/>
              <w:left w:val="single" w:sz="2" w:space="0" w:color="auto"/>
              <w:bottom w:val="single" w:sz="2" w:space="0" w:color="auto"/>
              <w:right w:val="single" w:sz="2" w:space="0" w:color="auto"/>
            </w:tcBorders>
            <w:vAlign w:val="center"/>
          </w:tcPr>
          <w:p w14:paraId="30B35A1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37,334,084.88</w:t>
            </w:r>
          </w:p>
        </w:tc>
        <w:tc>
          <w:tcPr>
            <w:tcW w:w="1606" w:type="dxa"/>
            <w:tcBorders>
              <w:top w:val="single" w:sz="2" w:space="0" w:color="auto"/>
              <w:left w:val="single" w:sz="2" w:space="0" w:color="auto"/>
              <w:bottom w:val="single" w:sz="2" w:space="0" w:color="auto"/>
              <w:right w:val="single" w:sz="2" w:space="0" w:color="auto"/>
            </w:tcBorders>
            <w:vAlign w:val="center"/>
          </w:tcPr>
          <w:p w14:paraId="6B95109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0A9FC3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243EC7B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4,176,942.29</w:t>
            </w:r>
          </w:p>
        </w:tc>
      </w:tr>
      <w:tr w:rsidR="006C011D" w:rsidRPr="005A284F" w14:paraId="3F600B9E"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F75BCC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牧原食品股份有限公司（集团）</w:t>
            </w:r>
          </w:p>
        </w:tc>
        <w:tc>
          <w:tcPr>
            <w:tcW w:w="1606" w:type="dxa"/>
            <w:tcBorders>
              <w:top w:val="single" w:sz="2" w:space="0" w:color="auto"/>
              <w:left w:val="single" w:sz="2" w:space="0" w:color="auto"/>
              <w:bottom w:val="single" w:sz="2" w:space="0" w:color="auto"/>
              <w:right w:val="single" w:sz="2" w:space="0" w:color="auto"/>
            </w:tcBorders>
            <w:vAlign w:val="center"/>
          </w:tcPr>
          <w:p w14:paraId="42D814A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购买商品（猪仔）</w:t>
            </w:r>
          </w:p>
        </w:tc>
        <w:tc>
          <w:tcPr>
            <w:tcW w:w="1606" w:type="dxa"/>
            <w:tcBorders>
              <w:top w:val="single" w:sz="2" w:space="0" w:color="auto"/>
              <w:left w:val="single" w:sz="2" w:space="0" w:color="auto"/>
              <w:bottom w:val="single" w:sz="2" w:space="0" w:color="auto"/>
              <w:right w:val="single" w:sz="2" w:space="0" w:color="auto"/>
            </w:tcBorders>
            <w:vAlign w:val="center"/>
          </w:tcPr>
          <w:p w14:paraId="769E30B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DC111E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2D901A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3A21D7C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14,580,690.00</w:t>
            </w:r>
          </w:p>
        </w:tc>
      </w:tr>
      <w:tr w:rsidR="006C011D" w:rsidRPr="005A284F" w14:paraId="1C3664EA"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2AA7ED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牧原食品股份有限公司（集团）</w:t>
            </w:r>
          </w:p>
        </w:tc>
        <w:tc>
          <w:tcPr>
            <w:tcW w:w="1606" w:type="dxa"/>
            <w:tcBorders>
              <w:top w:val="single" w:sz="2" w:space="0" w:color="auto"/>
              <w:left w:val="single" w:sz="2" w:space="0" w:color="auto"/>
              <w:bottom w:val="single" w:sz="2" w:space="0" w:color="auto"/>
              <w:right w:val="single" w:sz="2" w:space="0" w:color="auto"/>
            </w:tcBorders>
            <w:vAlign w:val="center"/>
          </w:tcPr>
          <w:p w14:paraId="41D010A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购买商品（母猪）</w:t>
            </w:r>
          </w:p>
        </w:tc>
        <w:tc>
          <w:tcPr>
            <w:tcW w:w="1606" w:type="dxa"/>
            <w:tcBorders>
              <w:top w:val="single" w:sz="2" w:space="0" w:color="auto"/>
              <w:left w:val="single" w:sz="2" w:space="0" w:color="auto"/>
              <w:bottom w:val="single" w:sz="2" w:space="0" w:color="auto"/>
              <w:right w:val="single" w:sz="2" w:space="0" w:color="auto"/>
            </w:tcBorders>
            <w:vAlign w:val="center"/>
          </w:tcPr>
          <w:p w14:paraId="661B089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6257EB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77B27F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2AB927B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4,728,700.00</w:t>
            </w:r>
          </w:p>
        </w:tc>
      </w:tr>
      <w:tr w:rsidR="006C011D" w:rsidRPr="005A284F" w14:paraId="2EA8146C"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DCA240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成都润家商业管理有限公司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7ED4CAC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购买商品（物业服务费）</w:t>
            </w:r>
          </w:p>
        </w:tc>
        <w:tc>
          <w:tcPr>
            <w:tcW w:w="1606" w:type="dxa"/>
            <w:tcBorders>
              <w:top w:val="single" w:sz="2" w:space="0" w:color="auto"/>
              <w:left w:val="single" w:sz="2" w:space="0" w:color="auto"/>
              <w:bottom w:val="single" w:sz="2" w:space="0" w:color="auto"/>
              <w:right w:val="single" w:sz="2" w:space="0" w:color="auto"/>
            </w:tcBorders>
            <w:vAlign w:val="center"/>
          </w:tcPr>
          <w:p w14:paraId="4475056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17,677.58</w:t>
            </w:r>
          </w:p>
        </w:tc>
        <w:tc>
          <w:tcPr>
            <w:tcW w:w="1606" w:type="dxa"/>
            <w:tcBorders>
              <w:top w:val="single" w:sz="2" w:space="0" w:color="auto"/>
              <w:left w:val="single" w:sz="2" w:space="0" w:color="auto"/>
              <w:bottom w:val="single" w:sz="2" w:space="0" w:color="auto"/>
              <w:right w:val="single" w:sz="2" w:space="0" w:color="auto"/>
            </w:tcBorders>
            <w:vAlign w:val="center"/>
          </w:tcPr>
          <w:p w14:paraId="585CD55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C709EA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0782594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35,885.50</w:t>
            </w:r>
          </w:p>
        </w:tc>
      </w:tr>
      <w:tr w:rsidR="006C011D" w:rsidRPr="005A284F" w14:paraId="23137434"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12430F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成都润家商业管理有限公司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6477B41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购买商品（电费）</w:t>
            </w:r>
          </w:p>
        </w:tc>
        <w:tc>
          <w:tcPr>
            <w:tcW w:w="1606" w:type="dxa"/>
            <w:tcBorders>
              <w:top w:val="single" w:sz="2" w:space="0" w:color="auto"/>
              <w:left w:val="single" w:sz="2" w:space="0" w:color="auto"/>
              <w:bottom w:val="single" w:sz="2" w:space="0" w:color="auto"/>
              <w:right w:val="single" w:sz="2" w:space="0" w:color="auto"/>
            </w:tcBorders>
            <w:vAlign w:val="center"/>
          </w:tcPr>
          <w:p w14:paraId="5F43FAC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17,699.12</w:t>
            </w:r>
          </w:p>
        </w:tc>
        <w:tc>
          <w:tcPr>
            <w:tcW w:w="1606" w:type="dxa"/>
            <w:tcBorders>
              <w:top w:val="single" w:sz="2" w:space="0" w:color="auto"/>
              <w:left w:val="single" w:sz="2" w:space="0" w:color="auto"/>
              <w:bottom w:val="single" w:sz="2" w:space="0" w:color="auto"/>
              <w:right w:val="single" w:sz="2" w:space="0" w:color="auto"/>
            </w:tcBorders>
            <w:vAlign w:val="center"/>
          </w:tcPr>
          <w:p w14:paraId="4DF9246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9F6310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24C48AF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17,699.12</w:t>
            </w:r>
          </w:p>
        </w:tc>
      </w:tr>
      <w:tr w:rsidR="006C011D" w:rsidRPr="005A284F" w14:paraId="338DCD69"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C5DC64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14:paraId="748BA3DF" w14:textId="77777777" w:rsidR="006C011D" w:rsidRPr="005A284F" w:rsidRDefault="006C011D">
            <w:pPr>
              <w:spacing w:after="0" w:line="240" w:lineRule="exac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C1A904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964,871,323.05</w:t>
            </w:r>
          </w:p>
        </w:tc>
        <w:tc>
          <w:tcPr>
            <w:tcW w:w="1606" w:type="dxa"/>
            <w:tcBorders>
              <w:top w:val="single" w:sz="2" w:space="0" w:color="auto"/>
              <w:left w:val="single" w:sz="2" w:space="0" w:color="auto"/>
              <w:bottom w:val="single" w:sz="2" w:space="0" w:color="auto"/>
              <w:right w:val="single" w:sz="2" w:space="0" w:color="auto"/>
            </w:tcBorders>
            <w:vAlign w:val="center"/>
          </w:tcPr>
          <w:p w14:paraId="121EE89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6CCA930" w14:textId="77777777" w:rsidR="006C011D" w:rsidRPr="005A284F" w:rsidRDefault="006C011D">
            <w:pPr>
              <w:spacing w:after="0" w:line="240" w:lineRule="exac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4837E3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833,320,104.14</w:t>
            </w:r>
          </w:p>
        </w:tc>
      </w:tr>
    </w:tbl>
    <w:p w14:paraId="620E0F48" w14:textId="77777777" w:rsidR="006C011D" w:rsidRPr="005A284F" w:rsidRDefault="00000000">
      <w:pPr>
        <w:spacing w:before="10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出售商品</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提供劳务情况表</w:t>
      </w:r>
    </w:p>
    <w:p w14:paraId="506D2AB3" w14:textId="77777777" w:rsidR="006C011D" w:rsidRPr="005A284F" w:rsidRDefault="00000000">
      <w:pPr>
        <w:spacing w:before="120" w:after="12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6C011D" w:rsidRPr="005A284F" w14:paraId="30A11F6B" w14:textId="77777777" w:rsidTr="00096CAD">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070C044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关联方</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30DA75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关联交易内容</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DD94BE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441F00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上期发生额</w:t>
            </w:r>
          </w:p>
        </w:tc>
      </w:tr>
      <w:tr w:rsidR="006C011D" w:rsidRPr="005A284F" w14:paraId="5FD9511B" w14:textId="77777777" w:rsidTr="00096CAD">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303F298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达州银行股份有限公司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0229223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销售商品（冷鲜肉、冷冻</w:t>
            </w:r>
            <w:r w:rsidRPr="005A284F">
              <w:rPr>
                <w:rFonts w:ascii="Times New Roman" w:eastAsia="宋体" w:hAnsi="Times New Roman" w:cs="Times New Roman"/>
                <w:sz w:val="18"/>
                <w:szCs w:val="18"/>
              </w:rPr>
              <w:t> </w:t>
            </w:r>
            <w:r w:rsidRPr="005A284F">
              <w:rPr>
                <w:rFonts w:ascii="Times New Roman" w:eastAsia="宋体" w:hAnsi="Times New Roman" w:cs="Times New Roman"/>
                <w:sz w:val="18"/>
                <w:szCs w:val="18"/>
              </w:rPr>
              <w:t>肉、熟食等）</w:t>
            </w:r>
          </w:p>
        </w:tc>
        <w:tc>
          <w:tcPr>
            <w:tcW w:w="2410" w:type="dxa"/>
            <w:tcBorders>
              <w:top w:val="single" w:sz="2" w:space="0" w:color="auto"/>
              <w:left w:val="single" w:sz="2" w:space="0" w:color="auto"/>
              <w:bottom w:val="single" w:sz="2" w:space="0" w:color="auto"/>
              <w:right w:val="single" w:sz="2" w:space="0" w:color="auto"/>
            </w:tcBorders>
            <w:vAlign w:val="center"/>
          </w:tcPr>
          <w:p w14:paraId="7F119F3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215227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598,761.06</w:t>
            </w:r>
          </w:p>
        </w:tc>
      </w:tr>
      <w:tr w:rsidR="006C011D" w:rsidRPr="005A284F" w14:paraId="2015C712" w14:textId="77777777" w:rsidTr="00096CAD">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2F09530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成都蓝润耀恒置业有限公司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13C2DB5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销售商品（冷鲜肉、冷冻</w:t>
            </w:r>
            <w:r w:rsidRPr="005A284F">
              <w:rPr>
                <w:rFonts w:ascii="Times New Roman" w:eastAsia="宋体" w:hAnsi="Times New Roman" w:cs="Times New Roman"/>
                <w:sz w:val="18"/>
                <w:szCs w:val="18"/>
              </w:rPr>
              <w:lastRenderedPageBreak/>
              <w:t>肉、熟食等）</w:t>
            </w:r>
          </w:p>
        </w:tc>
        <w:tc>
          <w:tcPr>
            <w:tcW w:w="2410" w:type="dxa"/>
            <w:tcBorders>
              <w:top w:val="single" w:sz="2" w:space="0" w:color="auto"/>
              <w:left w:val="single" w:sz="2" w:space="0" w:color="auto"/>
              <w:bottom w:val="single" w:sz="2" w:space="0" w:color="auto"/>
              <w:right w:val="single" w:sz="2" w:space="0" w:color="auto"/>
            </w:tcBorders>
            <w:vAlign w:val="center"/>
          </w:tcPr>
          <w:p w14:paraId="356510A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13D19D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28,458.76</w:t>
            </w:r>
          </w:p>
        </w:tc>
      </w:tr>
      <w:tr w:rsidR="006C011D" w:rsidRPr="005A284F" w14:paraId="53136A1F" w14:textId="77777777" w:rsidTr="00096CAD">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7E82AF3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蓬莱富华冷藏有限公司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7688C6B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销售商品（冷鲜肉、冷冻肉、熟食等）</w:t>
            </w:r>
          </w:p>
        </w:tc>
        <w:tc>
          <w:tcPr>
            <w:tcW w:w="2410" w:type="dxa"/>
            <w:tcBorders>
              <w:top w:val="single" w:sz="2" w:space="0" w:color="auto"/>
              <w:left w:val="single" w:sz="2" w:space="0" w:color="auto"/>
              <w:bottom w:val="single" w:sz="2" w:space="0" w:color="auto"/>
              <w:right w:val="single" w:sz="2" w:space="0" w:color="auto"/>
            </w:tcBorders>
            <w:vAlign w:val="center"/>
          </w:tcPr>
          <w:p w14:paraId="783CCBD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F643A0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1,166,672.41</w:t>
            </w:r>
          </w:p>
        </w:tc>
      </w:tr>
      <w:tr w:rsidR="006C011D" w:rsidRPr="005A284F" w14:paraId="37509BB6" w14:textId="77777777" w:rsidTr="00096CAD">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2ADB14F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上海新农科技股份有限公司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31BFD1D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销售商品（冷鲜肉、冷冻肉、熟食等）</w:t>
            </w:r>
          </w:p>
        </w:tc>
        <w:tc>
          <w:tcPr>
            <w:tcW w:w="2410" w:type="dxa"/>
            <w:tcBorders>
              <w:top w:val="single" w:sz="2" w:space="0" w:color="auto"/>
              <w:left w:val="single" w:sz="2" w:space="0" w:color="auto"/>
              <w:bottom w:val="single" w:sz="2" w:space="0" w:color="auto"/>
              <w:right w:val="single" w:sz="2" w:space="0" w:color="auto"/>
            </w:tcBorders>
            <w:vAlign w:val="center"/>
          </w:tcPr>
          <w:p w14:paraId="26E2395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FBD96D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5,010.62</w:t>
            </w:r>
          </w:p>
        </w:tc>
      </w:tr>
      <w:tr w:rsidR="006C011D" w:rsidRPr="005A284F" w14:paraId="6BDCD839" w14:textId="77777777" w:rsidTr="00096CAD">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2A72544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五仓农牧集团有限公司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7F182CB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销售商品（冷鲜肉、冷冻肉、熟食等）</w:t>
            </w:r>
          </w:p>
        </w:tc>
        <w:tc>
          <w:tcPr>
            <w:tcW w:w="2410" w:type="dxa"/>
            <w:tcBorders>
              <w:top w:val="single" w:sz="2" w:space="0" w:color="auto"/>
              <w:left w:val="single" w:sz="2" w:space="0" w:color="auto"/>
              <w:bottom w:val="single" w:sz="2" w:space="0" w:color="auto"/>
              <w:right w:val="single" w:sz="2" w:space="0" w:color="auto"/>
            </w:tcBorders>
            <w:vAlign w:val="center"/>
          </w:tcPr>
          <w:p w14:paraId="5D784B2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AE8464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5,616.64</w:t>
            </w:r>
          </w:p>
        </w:tc>
      </w:tr>
      <w:tr w:rsidR="00096CAD" w:rsidRPr="005A284F" w14:paraId="153F25E9" w14:textId="77777777" w:rsidTr="00096CAD">
        <w:trPr>
          <w:trHeight w:val="462"/>
        </w:trPr>
        <w:tc>
          <w:tcPr>
            <w:tcW w:w="2409" w:type="dxa"/>
            <w:tcBorders>
              <w:top w:val="single" w:sz="2" w:space="0" w:color="auto"/>
              <w:left w:val="single" w:sz="2" w:space="0" w:color="auto"/>
              <w:bottom w:val="single" w:sz="2" w:space="0" w:color="auto"/>
              <w:right w:val="single" w:sz="2" w:space="0" w:color="auto"/>
            </w:tcBorders>
            <w:vAlign w:val="center"/>
          </w:tcPr>
          <w:p w14:paraId="26887354" w14:textId="772C6D9C" w:rsidR="00096CAD" w:rsidRPr="005A284F" w:rsidRDefault="00096CAD">
            <w:pPr>
              <w:spacing w:after="0" w:line="240" w:lineRule="exact"/>
              <w:rPr>
                <w:rFonts w:ascii="Times New Roman" w:eastAsia="宋体" w:hAnsi="Times New Roman" w:cs="Times New Roman"/>
                <w:sz w:val="18"/>
                <w:szCs w:val="18"/>
              </w:rPr>
            </w:pPr>
            <w:r w:rsidRPr="00096CAD">
              <w:rPr>
                <w:rFonts w:ascii="Times New Roman" w:eastAsia="宋体" w:hAnsi="Times New Roman" w:cs="Times New Roman" w:hint="eastAsia"/>
                <w:sz w:val="18"/>
                <w:szCs w:val="18"/>
              </w:rPr>
              <w:t>西峡牧原农牧有限公司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5BBD12F0" w14:textId="126C5DE5" w:rsidR="00096CAD" w:rsidRPr="005A284F" w:rsidRDefault="00096CAD">
            <w:pPr>
              <w:spacing w:after="0" w:line="240" w:lineRule="exact"/>
              <w:rPr>
                <w:rFonts w:ascii="Times New Roman" w:eastAsia="宋体" w:hAnsi="Times New Roman" w:cs="Times New Roman"/>
                <w:sz w:val="18"/>
                <w:szCs w:val="18"/>
              </w:rPr>
            </w:pPr>
            <w:r w:rsidRPr="00096CAD">
              <w:rPr>
                <w:rFonts w:ascii="Times New Roman" w:eastAsia="宋体" w:hAnsi="Times New Roman" w:cs="Times New Roman" w:hint="eastAsia"/>
                <w:sz w:val="18"/>
                <w:szCs w:val="18"/>
              </w:rPr>
              <w:t>提供劳务</w:t>
            </w:r>
            <w:r w:rsidRPr="00096CAD">
              <w:rPr>
                <w:rFonts w:ascii="Times New Roman" w:eastAsia="宋体" w:hAnsi="Times New Roman" w:cs="Times New Roman" w:hint="eastAsia"/>
                <w:sz w:val="18"/>
                <w:szCs w:val="18"/>
              </w:rPr>
              <w:t>(</w:t>
            </w:r>
            <w:r w:rsidRPr="00096CAD">
              <w:rPr>
                <w:rFonts w:ascii="Times New Roman" w:eastAsia="宋体" w:hAnsi="Times New Roman" w:cs="Times New Roman" w:hint="eastAsia"/>
                <w:sz w:val="18"/>
                <w:szCs w:val="18"/>
              </w:rPr>
              <w:t>检测费</w:t>
            </w:r>
            <w:r w:rsidRPr="00096CAD">
              <w:rPr>
                <w:rFonts w:ascii="Times New Roman" w:eastAsia="宋体" w:hAnsi="Times New Roman" w:cs="Times New Roman" w:hint="eastAsia"/>
                <w:sz w:val="18"/>
                <w:szCs w:val="18"/>
              </w:rPr>
              <w:t>)</w:t>
            </w:r>
          </w:p>
        </w:tc>
        <w:tc>
          <w:tcPr>
            <w:tcW w:w="2410" w:type="dxa"/>
            <w:tcBorders>
              <w:top w:val="single" w:sz="2" w:space="0" w:color="auto"/>
              <w:left w:val="single" w:sz="2" w:space="0" w:color="auto"/>
              <w:bottom w:val="single" w:sz="2" w:space="0" w:color="auto"/>
              <w:right w:val="single" w:sz="2" w:space="0" w:color="auto"/>
            </w:tcBorders>
            <w:vAlign w:val="center"/>
          </w:tcPr>
          <w:p w14:paraId="7F8C6E94" w14:textId="0114DC05" w:rsidR="00096CAD" w:rsidRPr="005A284F" w:rsidRDefault="00096CAD">
            <w:pPr>
              <w:spacing w:after="0" w:line="240" w:lineRule="exact"/>
              <w:jc w:val="right"/>
              <w:rPr>
                <w:rFonts w:ascii="Times New Roman" w:eastAsia="宋体" w:hAnsi="Times New Roman" w:cs="Times New Roman"/>
                <w:sz w:val="18"/>
                <w:szCs w:val="18"/>
              </w:rPr>
            </w:pPr>
            <w:r w:rsidRPr="00096CAD">
              <w:rPr>
                <w:rFonts w:ascii="Times New Roman" w:eastAsia="宋体" w:hAnsi="Times New Roman" w:cs="Times New Roman" w:hint="eastAsia"/>
                <w:sz w:val="18"/>
                <w:szCs w:val="18"/>
              </w:rPr>
              <w:t>679.25</w:t>
            </w:r>
          </w:p>
        </w:tc>
        <w:tc>
          <w:tcPr>
            <w:tcW w:w="2410" w:type="dxa"/>
            <w:tcBorders>
              <w:top w:val="single" w:sz="2" w:space="0" w:color="auto"/>
              <w:left w:val="single" w:sz="2" w:space="0" w:color="auto"/>
              <w:bottom w:val="single" w:sz="2" w:space="0" w:color="auto"/>
              <w:right w:val="single" w:sz="2" w:space="0" w:color="auto"/>
            </w:tcBorders>
            <w:vAlign w:val="center"/>
          </w:tcPr>
          <w:p w14:paraId="497B2B76" w14:textId="77777777" w:rsidR="00096CAD" w:rsidRPr="005A284F" w:rsidRDefault="00096CAD">
            <w:pPr>
              <w:spacing w:after="0" w:line="240" w:lineRule="exact"/>
              <w:jc w:val="right"/>
              <w:rPr>
                <w:rFonts w:ascii="Times New Roman" w:eastAsia="宋体" w:hAnsi="Times New Roman" w:cs="Times New Roman"/>
                <w:sz w:val="18"/>
                <w:szCs w:val="18"/>
              </w:rPr>
            </w:pPr>
          </w:p>
        </w:tc>
      </w:tr>
      <w:tr w:rsidR="006C011D" w:rsidRPr="005A284F" w14:paraId="03DFB16C" w14:textId="77777777" w:rsidTr="00096CAD">
        <w:trPr>
          <w:trHeight w:val="464"/>
        </w:trPr>
        <w:tc>
          <w:tcPr>
            <w:tcW w:w="2409" w:type="dxa"/>
            <w:tcBorders>
              <w:top w:val="single" w:sz="2" w:space="0" w:color="auto"/>
              <w:left w:val="single" w:sz="2" w:space="0" w:color="auto"/>
              <w:bottom w:val="single" w:sz="2" w:space="0" w:color="auto"/>
              <w:right w:val="single" w:sz="2" w:space="0" w:color="auto"/>
            </w:tcBorders>
            <w:vAlign w:val="center"/>
          </w:tcPr>
          <w:p w14:paraId="125FF90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06E10777" w14:textId="77777777" w:rsidR="006C011D" w:rsidRPr="005A284F" w:rsidRDefault="006C011D">
            <w:pPr>
              <w:spacing w:after="0" w:line="240" w:lineRule="exac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1E8211F" w14:textId="44A968BD" w:rsidR="006C011D" w:rsidRPr="005A284F" w:rsidRDefault="00096CAD">
            <w:pPr>
              <w:spacing w:after="0" w:line="240" w:lineRule="exact"/>
              <w:jc w:val="right"/>
              <w:rPr>
                <w:rFonts w:ascii="Times New Roman" w:eastAsia="宋体" w:hAnsi="Times New Roman" w:cs="Times New Roman"/>
                <w:sz w:val="18"/>
                <w:szCs w:val="18"/>
              </w:rPr>
            </w:pPr>
            <w:r w:rsidRPr="00096CAD">
              <w:rPr>
                <w:rFonts w:ascii="Times New Roman" w:eastAsia="宋体" w:hAnsi="Times New Roman" w:cs="Times New Roman" w:hint="eastAsia"/>
                <w:sz w:val="18"/>
                <w:szCs w:val="18"/>
              </w:rPr>
              <w:t>679.25</w:t>
            </w:r>
          </w:p>
        </w:tc>
        <w:tc>
          <w:tcPr>
            <w:tcW w:w="2410" w:type="dxa"/>
            <w:tcBorders>
              <w:top w:val="single" w:sz="2" w:space="0" w:color="auto"/>
              <w:left w:val="single" w:sz="2" w:space="0" w:color="auto"/>
              <w:bottom w:val="single" w:sz="2" w:space="0" w:color="auto"/>
              <w:right w:val="single" w:sz="2" w:space="0" w:color="auto"/>
            </w:tcBorders>
            <w:vAlign w:val="center"/>
          </w:tcPr>
          <w:p w14:paraId="414B614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1,804,519.49</w:t>
            </w:r>
          </w:p>
        </w:tc>
      </w:tr>
    </w:tbl>
    <w:p w14:paraId="37A6316F"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购销商品、提供和接受劳务的关联交易说明</w:t>
      </w:r>
    </w:p>
    <w:p w14:paraId="7DC347D0" w14:textId="77777777" w:rsidR="000309B5" w:rsidRPr="005A284F" w:rsidRDefault="00000000">
      <w:pPr>
        <w:pStyle w:val="a3"/>
        <w:divId w:val="238909176"/>
        <w:rPr>
          <w:rFonts w:ascii="Times New Roman" w:hAnsi="Times New Roman" w:cs="Times New Roman"/>
          <w:sz w:val="18"/>
          <w:szCs w:val="18"/>
        </w:rPr>
      </w:pPr>
      <w:r w:rsidRPr="005A284F">
        <w:rPr>
          <w:rFonts w:ascii="Times New Roman" w:hAnsi="Times New Roman" w:cs="Times New Roman"/>
          <w:sz w:val="18"/>
          <w:szCs w:val="18"/>
        </w:rPr>
        <w:t>无</w:t>
      </w:r>
    </w:p>
    <w:p w14:paraId="47A6E442" w14:textId="37118422"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412" w:name="_Toc989365"/>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2</w:t>
      </w:r>
      <w:r w:rsidRPr="005A284F">
        <w:rPr>
          <w:rFonts w:ascii="Times New Roman" w:eastAsia="宋体" w:hAnsi="Times New Roman" w:cs="Times New Roman"/>
          <w:b/>
          <w:bCs/>
          <w:sz w:val="21"/>
          <w:szCs w:val="21"/>
        </w:rPr>
        <w:t>）关联受托管理</w:t>
      </w:r>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承包及委托管理</w:t>
      </w:r>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出包情况</w:t>
      </w:r>
      <w:bookmarkEnd w:id="412"/>
    </w:p>
    <w:p w14:paraId="688F8ED1"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本公司受托管理</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承包情况表：</w:t>
      </w:r>
    </w:p>
    <w:p w14:paraId="6666D5C5" w14:textId="77777777" w:rsidR="006C011D" w:rsidRPr="005A284F" w:rsidRDefault="00000000">
      <w:pPr>
        <w:spacing w:before="120" w:after="12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6C011D" w:rsidRPr="005A284F" w14:paraId="7046950D"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223CB5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委托方</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出包方名称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23CD49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受托方</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承包方名称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2B3CA9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受托</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承包资产类型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66EFB3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受托</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承包起始日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AA9268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受托</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承包终止日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638F5D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托管收益</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承包收益定价依据</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23D2F2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本期确认的托管收益</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承包收益</w:t>
            </w:r>
          </w:p>
        </w:tc>
      </w:tr>
      <w:tr w:rsidR="006C011D" w:rsidRPr="005A284F" w14:paraId="0A635C89"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5ED1022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p>
        </w:tc>
        <w:tc>
          <w:tcPr>
            <w:tcW w:w="1377" w:type="dxa"/>
            <w:tcBorders>
              <w:top w:val="single" w:sz="2" w:space="0" w:color="auto"/>
              <w:left w:val="single" w:sz="2" w:space="0" w:color="auto"/>
              <w:bottom w:val="single" w:sz="2" w:space="0" w:color="auto"/>
              <w:right w:val="single" w:sz="2" w:space="0" w:color="auto"/>
            </w:tcBorders>
            <w:vAlign w:val="center"/>
          </w:tcPr>
          <w:p w14:paraId="134CFB9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山东龙大美食股份有限公司</w:t>
            </w:r>
          </w:p>
        </w:tc>
        <w:tc>
          <w:tcPr>
            <w:tcW w:w="1377" w:type="dxa"/>
            <w:tcBorders>
              <w:top w:val="single" w:sz="2" w:space="0" w:color="auto"/>
              <w:left w:val="single" w:sz="2" w:space="0" w:color="auto"/>
              <w:bottom w:val="single" w:sz="2" w:space="0" w:color="auto"/>
              <w:right w:val="single" w:sz="2" w:space="0" w:color="auto"/>
            </w:tcBorders>
            <w:vAlign w:val="center"/>
          </w:tcPr>
          <w:p w14:paraId="0B5BE29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股权托管</w:t>
            </w:r>
          </w:p>
        </w:tc>
        <w:tc>
          <w:tcPr>
            <w:tcW w:w="1377" w:type="dxa"/>
            <w:tcBorders>
              <w:top w:val="single" w:sz="2" w:space="0" w:color="auto"/>
              <w:left w:val="single" w:sz="2" w:space="0" w:color="auto"/>
              <w:bottom w:val="single" w:sz="2" w:space="0" w:color="auto"/>
              <w:right w:val="single" w:sz="2" w:space="0" w:color="auto"/>
            </w:tcBorders>
            <w:vAlign w:val="center"/>
          </w:tcPr>
          <w:p w14:paraId="5F115AF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2023</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19</w:t>
            </w:r>
            <w:r w:rsidRPr="005A284F">
              <w:rPr>
                <w:rFonts w:ascii="Times New Roman" w:eastAsia="宋体" w:hAnsi="Times New Roman" w:cs="Times New Roman"/>
                <w:sz w:val="18"/>
                <w:szCs w:val="18"/>
              </w:rPr>
              <w:t>日</w:t>
            </w:r>
          </w:p>
        </w:tc>
        <w:tc>
          <w:tcPr>
            <w:tcW w:w="1377" w:type="dxa"/>
            <w:tcBorders>
              <w:top w:val="single" w:sz="2" w:space="0" w:color="auto"/>
              <w:left w:val="single" w:sz="2" w:space="0" w:color="auto"/>
              <w:bottom w:val="single" w:sz="2" w:space="0" w:color="auto"/>
              <w:right w:val="single" w:sz="2" w:space="0" w:color="auto"/>
            </w:tcBorders>
            <w:vAlign w:val="center"/>
          </w:tcPr>
          <w:p w14:paraId="37DB2C2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31</w:t>
            </w:r>
            <w:r w:rsidRPr="005A284F">
              <w:rPr>
                <w:rFonts w:ascii="Times New Roman" w:eastAsia="宋体" w:hAnsi="Times New Roman" w:cs="Times New Roman"/>
                <w:sz w:val="18"/>
                <w:szCs w:val="18"/>
              </w:rPr>
              <w:t>日</w:t>
            </w:r>
          </w:p>
        </w:tc>
        <w:tc>
          <w:tcPr>
            <w:tcW w:w="1377" w:type="dxa"/>
            <w:tcBorders>
              <w:top w:val="single" w:sz="2" w:space="0" w:color="auto"/>
              <w:left w:val="single" w:sz="2" w:space="0" w:color="auto"/>
              <w:bottom w:val="single" w:sz="2" w:space="0" w:color="auto"/>
              <w:right w:val="single" w:sz="2" w:space="0" w:color="auto"/>
            </w:tcBorders>
            <w:vAlign w:val="center"/>
          </w:tcPr>
          <w:p w14:paraId="6E393153" w14:textId="77777777" w:rsidR="006C011D" w:rsidRPr="005A284F" w:rsidRDefault="006C011D">
            <w:pPr>
              <w:spacing w:after="0" w:line="240" w:lineRule="exac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3262B99" w14:textId="77777777" w:rsidR="006C011D" w:rsidRPr="005A284F" w:rsidRDefault="006C011D">
            <w:pPr>
              <w:spacing w:after="0" w:line="240" w:lineRule="exact"/>
              <w:jc w:val="right"/>
              <w:rPr>
                <w:rFonts w:ascii="Times New Roman" w:eastAsia="宋体" w:hAnsi="Times New Roman" w:cs="Times New Roman"/>
                <w:sz w:val="18"/>
                <w:szCs w:val="18"/>
              </w:rPr>
            </w:pPr>
          </w:p>
        </w:tc>
      </w:tr>
    </w:tbl>
    <w:p w14:paraId="20E19FFB"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关联托管</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承包情况说明</w:t>
      </w:r>
    </w:p>
    <w:p w14:paraId="0AC31A1B" w14:textId="4D1FFFDF" w:rsidR="000309B5" w:rsidRPr="005A284F" w:rsidRDefault="00000000" w:rsidP="003524E1">
      <w:pPr>
        <w:pStyle w:val="a3"/>
        <w:spacing w:before="0" w:beforeAutospacing="0" w:after="0" w:afterAutospacing="0" w:line="276" w:lineRule="auto"/>
        <w:ind w:firstLineChars="200" w:firstLine="360"/>
        <w:jc w:val="both"/>
        <w:divId w:val="1524510990"/>
        <w:rPr>
          <w:rFonts w:ascii="Times New Roman" w:hAnsi="Times New Roman" w:cs="Times New Roman"/>
          <w:sz w:val="21"/>
          <w:szCs w:val="21"/>
        </w:rPr>
      </w:pPr>
      <w:r w:rsidRPr="005A284F">
        <w:rPr>
          <w:rFonts w:ascii="Times New Roman" w:hAnsi="Times New Roman" w:cs="Times New Roman"/>
          <w:sz w:val="18"/>
          <w:szCs w:val="18"/>
        </w:rPr>
        <w:t>公司与控股股东蓝润发展下属全资子公司五仓农牧集团有限公司因生猪养殖业务存在同业竞争。公司就控股股东及实际控制人避免同业竞争承诺事项于</w:t>
      </w:r>
      <w:r w:rsidRPr="005A284F">
        <w:rPr>
          <w:rFonts w:ascii="Times New Roman" w:hAnsi="Times New Roman" w:cs="Times New Roman"/>
          <w:sz w:val="18"/>
          <w:szCs w:val="18"/>
        </w:rPr>
        <w:t>2023</w:t>
      </w:r>
      <w:r w:rsidRPr="005A284F">
        <w:rPr>
          <w:rFonts w:ascii="Times New Roman" w:hAnsi="Times New Roman" w:cs="Times New Roman"/>
          <w:sz w:val="18"/>
          <w:szCs w:val="18"/>
        </w:rPr>
        <w:t>年</w:t>
      </w:r>
      <w:r w:rsidRPr="005A284F">
        <w:rPr>
          <w:rFonts w:ascii="Times New Roman" w:hAnsi="Times New Roman" w:cs="Times New Roman"/>
          <w:sz w:val="18"/>
          <w:szCs w:val="18"/>
        </w:rPr>
        <w:t>12</w:t>
      </w:r>
      <w:r w:rsidRPr="005A284F">
        <w:rPr>
          <w:rFonts w:ascii="Times New Roman" w:hAnsi="Times New Roman" w:cs="Times New Roman"/>
          <w:sz w:val="18"/>
          <w:szCs w:val="18"/>
        </w:rPr>
        <w:t>月</w:t>
      </w:r>
      <w:r w:rsidRPr="005A284F">
        <w:rPr>
          <w:rFonts w:ascii="Times New Roman" w:hAnsi="Times New Roman" w:cs="Times New Roman"/>
          <w:sz w:val="18"/>
          <w:szCs w:val="18"/>
        </w:rPr>
        <w:t>1</w:t>
      </w:r>
      <w:r w:rsidRPr="005A284F">
        <w:rPr>
          <w:rFonts w:ascii="Times New Roman" w:hAnsi="Times New Roman" w:cs="Times New Roman"/>
          <w:sz w:val="18"/>
          <w:szCs w:val="18"/>
        </w:rPr>
        <w:t>日召开第五届董事会第十九次会议，审议通过了《关于公司控股股东及实际控制人避免同业竞争承诺延期履行的议案》，同意控股股东及实际控制人对避免同业竞争承诺事项进行延期，并在解决同业竞争之前，控股股东将以股权托管的方式将五仓农牧股权委托公司代为管理。根据上述延期方案，公司董事会审议通过了《关于签署股权托管协议暨关联交易的议案》，同意控股股东将五仓农牧的股权委托给公司代为管理，直至相关资产注入上市公司或转让给无关联第三方，并签署《股权托管协议》。协议约定，托管期间，委托方应就委托管理期间受托方提供的委托管理服务向受托方支付委托管理费，委托管理费的计算方式为：</w:t>
      </w:r>
      <w:r w:rsidRPr="005A284F">
        <w:rPr>
          <w:rFonts w:ascii="Times New Roman" w:hAnsi="Times New Roman" w:cs="Times New Roman"/>
          <w:sz w:val="18"/>
          <w:szCs w:val="18"/>
        </w:rPr>
        <w:t>10</w:t>
      </w:r>
      <w:r w:rsidRPr="005A284F">
        <w:rPr>
          <w:rFonts w:ascii="Times New Roman" w:hAnsi="Times New Roman" w:cs="Times New Roman"/>
          <w:sz w:val="18"/>
          <w:szCs w:val="18"/>
        </w:rPr>
        <w:t>万元人民币</w:t>
      </w:r>
      <w:r w:rsidRPr="005A284F">
        <w:rPr>
          <w:rFonts w:ascii="Times New Roman" w:hAnsi="Times New Roman" w:cs="Times New Roman"/>
          <w:sz w:val="18"/>
          <w:szCs w:val="18"/>
        </w:rPr>
        <w:t>/</w:t>
      </w:r>
      <w:r w:rsidRPr="005A284F">
        <w:rPr>
          <w:rFonts w:ascii="Times New Roman" w:hAnsi="Times New Roman" w:cs="Times New Roman"/>
          <w:sz w:val="18"/>
          <w:szCs w:val="18"/>
        </w:rPr>
        <w:t>年。具体内容详见《山东龙大美食股份有限公司关于签署股权托管协议暨关联交易的公告》（公告编号</w:t>
      </w:r>
      <w:r w:rsidRPr="005A284F">
        <w:rPr>
          <w:rFonts w:ascii="Times New Roman" w:hAnsi="Times New Roman" w:cs="Times New Roman"/>
          <w:sz w:val="18"/>
          <w:szCs w:val="18"/>
        </w:rPr>
        <w:t>2023-092</w:t>
      </w:r>
      <w:r w:rsidRPr="005A284F">
        <w:rPr>
          <w:rFonts w:ascii="Times New Roman" w:hAnsi="Times New Roman" w:cs="Times New Roman"/>
          <w:sz w:val="18"/>
          <w:szCs w:val="18"/>
        </w:rPr>
        <w:t>）。</w:t>
      </w:r>
    </w:p>
    <w:p w14:paraId="79CD40F1"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本公司委托管理</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出包情况表：</w:t>
      </w:r>
    </w:p>
    <w:p w14:paraId="57D92C0F" w14:textId="77777777" w:rsidR="000309B5" w:rsidRPr="005A284F" w:rsidRDefault="00000000">
      <w:pPr>
        <w:pStyle w:val="a3"/>
        <w:divId w:val="291712218"/>
        <w:rPr>
          <w:rFonts w:ascii="Times New Roman" w:hAnsi="Times New Roman" w:cs="Times New Roman"/>
          <w:sz w:val="18"/>
          <w:szCs w:val="18"/>
        </w:rPr>
      </w:pPr>
      <w:r w:rsidRPr="005A284F">
        <w:rPr>
          <w:rFonts w:ascii="Times New Roman" w:hAnsi="Times New Roman" w:cs="Times New Roman"/>
          <w:sz w:val="18"/>
          <w:szCs w:val="18"/>
        </w:rPr>
        <w:t>无</w:t>
      </w:r>
    </w:p>
    <w:p w14:paraId="417C0ED8" w14:textId="5FA7F0B1"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413" w:name="_Toc989366"/>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3</w:t>
      </w:r>
      <w:r w:rsidRPr="005A284F">
        <w:rPr>
          <w:rFonts w:ascii="Times New Roman" w:eastAsia="宋体" w:hAnsi="Times New Roman" w:cs="Times New Roman"/>
          <w:b/>
          <w:bCs/>
          <w:sz w:val="21"/>
          <w:szCs w:val="21"/>
        </w:rPr>
        <w:t>）关联租赁情况</w:t>
      </w:r>
      <w:bookmarkEnd w:id="413"/>
    </w:p>
    <w:p w14:paraId="4F5254AD" w14:textId="77777777" w:rsidR="006C011D"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本公司作为出租方：</w:t>
      </w:r>
    </w:p>
    <w:p w14:paraId="09664888" w14:textId="77777777" w:rsidR="003524E1" w:rsidRPr="005A284F" w:rsidRDefault="003524E1" w:rsidP="003524E1">
      <w:pPr>
        <w:pStyle w:val="a3"/>
        <w:rPr>
          <w:rFonts w:ascii="Times New Roman" w:hAnsi="Times New Roman" w:cs="Times New Roman"/>
          <w:sz w:val="18"/>
          <w:szCs w:val="18"/>
        </w:rPr>
      </w:pPr>
      <w:r w:rsidRPr="005A284F">
        <w:rPr>
          <w:rFonts w:ascii="Times New Roman" w:hAnsi="Times New Roman" w:cs="Times New Roman"/>
          <w:sz w:val="18"/>
          <w:szCs w:val="18"/>
        </w:rPr>
        <w:t>无</w:t>
      </w:r>
    </w:p>
    <w:p w14:paraId="7FDBB58D" w14:textId="77777777" w:rsidR="006C011D" w:rsidRPr="005A284F" w:rsidRDefault="00000000">
      <w:pPr>
        <w:spacing w:before="10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本公司作为承租方：</w:t>
      </w:r>
    </w:p>
    <w:p w14:paraId="2AD0D04B" w14:textId="77777777" w:rsidR="006C011D" w:rsidRPr="005A284F" w:rsidRDefault="00000000">
      <w:pPr>
        <w:spacing w:before="120" w:after="12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872"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4A0" w:firstRow="1" w:lastRow="0" w:firstColumn="1" w:lastColumn="0" w:noHBand="0" w:noVBand="1"/>
      </w:tblPr>
      <w:tblGrid>
        <w:gridCol w:w="804"/>
        <w:gridCol w:w="804"/>
        <w:gridCol w:w="804"/>
        <w:gridCol w:w="803"/>
        <w:gridCol w:w="803"/>
        <w:gridCol w:w="609"/>
        <w:gridCol w:w="997"/>
        <w:gridCol w:w="988"/>
        <w:gridCol w:w="850"/>
        <w:gridCol w:w="992"/>
        <w:gridCol w:w="709"/>
        <w:gridCol w:w="709"/>
      </w:tblGrid>
      <w:tr w:rsidR="006C011D" w:rsidRPr="005A284F" w14:paraId="4F396C31" w14:textId="77777777" w:rsidTr="003524E1">
        <w:trPr>
          <w:trHeight w:val="240"/>
          <w:jc w:val="center"/>
        </w:trPr>
        <w:tc>
          <w:tcPr>
            <w:tcW w:w="80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7D3A0A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出租方</w:t>
            </w:r>
            <w:r w:rsidRPr="005A284F">
              <w:rPr>
                <w:rFonts w:ascii="Times New Roman" w:eastAsia="宋体" w:hAnsi="Times New Roman" w:cs="Times New Roman"/>
                <w:sz w:val="18"/>
                <w:szCs w:val="18"/>
              </w:rPr>
              <w:lastRenderedPageBreak/>
              <w:t>名称</w:t>
            </w:r>
          </w:p>
        </w:tc>
        <w:tc>
          <w:tcPr>
            <w:tcW w:w="80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CC693C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租赁资</w:t>
            </w:r>
            <w:r w:rsidRPr="005A284F">
              <w:rPr>
                <w:rFonts w:ascii="Times New Roman" w:eastAsia="宋体" w:hAnsi="Times New Roman" w:cs="Times New Roman"/>
                <w:sz w:val="18"/>
                <w:szCs w:val="18"/>
              </w:rPr>
              <w:lastRenderedPageBreak/>
              <w:t>产种类</w:t>
            </w:r>
          </w:p>
        </w:tc>
        <w:tc>
          <w:tcPr>
            <w:tcW w:w="160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920688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简化处理的短期租赁和低价值资产租</w:t>
            </w:r>
            <w:r w:rsidRPr="005A284F">
              <w:rPr>
                <w:rFonts w:ascii="Times New Roman" w:eastAsia="宋体" w:hAnsi="Times New Roman" w:cs="Times New Roman"/>
                <w:sz w:val="18"/>
                <w:szCs w:val="18"/>
              </w:rPr>
              <w:lastRenderedPageBreak/>
              <w:t>赁的租金费用（如适用）</w:t>
            </w:r>
          </w:p>
        </w:tc>
        <w:tc>
          <w:tcPr>
            <w:tcW w:w="141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B57BDA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未纳入租赁负债计量的可变租赁</w:t>
            </w:r>
            <w:r w:rsidRPr="005A284F">
              <w:rPr>
                <w:rFonts w:ascii="Times New Roman" w:eastAsia="宋体" w:hAnsi="Times New Roman" w:cs="Times New Roman"/>
                <w:sz w:val="18"/>
                <w:szCs w:val="18"/>
              </w:rPr>
              <w:lastRenderedPageBreak/>
              <w:t>付款额（如适用）</w:t>
            </w:r>
          </w:p>
        </w:tc>
        <w:tc>
          <w:tcPr>
            <w:tcW w:w="198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01417C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支付的租金</w:t>
            </w:r>
          </w:p>
        </w:tc>
        <w:tc>
          <w:tcPr>
            <w:tcW w:w="18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DE1BC4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承担的租赁负债利息</w:t>
            </w:r>
            <w:r w:rsidRPr="005A284F">
              <w:rPr>
                <w:rFonts w:ascii="Times New Roman" w:eastAsia="宋体" w:hAnsi="Times New Roman" w:cs="Times New Roman"/>
                <w:sz w:val="18"/>
                <w:szCs w:val="18"/>
              </w:rPr>
              <w:lastRenderedPageBreak/>
              <w:t>支出</w:t>
            </w:r>
          </w:p>
        </w:tc>
        <w:tc>
          <w:tcPr>
            <w:tcW w:w="141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801FC5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增加的使用权资</w:t>
            </w:r>
            <w:r w:rsidRPr="005A284F">
              <w:rPr>
                <w:rFonts w:ascii="Times New Roman" w:eastAsia="宋体" w:hAnsi="Times New Roman" w:cs="Times New Roman"/>
                <w:sz w:val="18"/>
                <w:szCs w:val="18"/>
              </w:rPr>
              <w:lastRenderedPageBreak/>
              <w:t>产</w:t>
            </w:r>
          </w:p>
        </w:tc>
      </w:tr>
      <w:tr w:rsidR="006C011D" w:rsidRPr="005A284F" w14:paraId="76B4D82A" w14:textId="77777777" w:rsidTr="003524E1">
        <w:trPr>
          <w:trHeight w:val="240"/>
          <w:jc w:val="center"/>
        </w:trPr>
        <w:tc>
          <w:tcPr>
            <w:tcW w:w="804" w:type="dxa"/>
            <w:vMerge/>
            <w:tcBorders>
              <w:top w:val="single" w:sz="2" w:space="0" w:color="auto"/>
              <w:left w:val="single" w:sz="2" w:space="0" w:color="auto"/>
              <w:bottom w:val="single" w:sz="2" w:space="0" w:color="auto"/>
              <w:right w:val="single" w:sz="2" w:space="0" w:color="auto"/>
            </w:tcBorders>
            <w:vAlign w:val="center"/>
          </w:tcPr>
          <w:p w14:paraId="68F8798D" w14:textId="77777777" w:rsidR="006C011D" w:rsidRPr="005A284F" w:rsidRDefault="006C011D">
            <w:pPr>
              <w:rPr>
                <w:rFonts w:ascii="Times New Roman" w:eastAsia="宋体" w:hAnsi="Times New Roman" w:cs="Times New Roman"/>
              </w:rPr>
            </w:pPr>
          </w:p>
        </w:tc>
        <w:tc>
          <w:tcPr>
            <w:tcW w:w="804" w:type="dxa"/>
            <w:vMerge/>
            <w:tcBorders>
              <w:top w:val="single" w:sz="2" w:space="0" w:color="auto"/>
              <w:left w:val="single" w:sz="2" w:space="0" w:color="auto"/>
              <w:bottom w:val="single" w:sz="2" w:space="0" w:color="auto"/>
              <w:right w:val="single" w:sz="2" w:space="0" w:color="auto"/>
            </w:tcBorders>
            <w:vAlign w:val="center"/>
          </w:tcPr>
          <w:p w14:paraId="1F5C09B1" w14:textId="77777777" w:rsidR="006C011D" w:rsidRPr="005A284F" w:rsidRDefault="006C011D">
            <w:pPr>
              <w:rPr>
                <w:rFonts w:ascii="Times New Roman" w:eastAsia="宋体" w:hAnsi="Times New Roman" w:cs="Times New Roman"/>
              </w:rPr>
            </w:pPr>
          </w:p>
        </w:tc>
        <w:tc>
          <w:tcPr>
            <w:tcW w:w="804" w:type="dxa"/>
            <w:tcBorders>
              <w:top w:val="single" w:sz="2" w:space="0" w:color="auto"/>
              <w:left w:val="single" w:sz="2" w:space="0" w:color="auto"/>
              <w:bottom w:val="single" w:sz="2" w:space="0" w:color="auto"/>
              <w:right w:val="single" w:sz="2" w:space="0" w:color="auto"/>
            </w:tcBorders>
            <w:shd w:val="clear" w:color="auto" w:fill="D3D3D3"/>
            <w:vAlign w:val="center"/>
          </w:tcPr>
          <w:p w14:paraId="28EC7B4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1341500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4BA8914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本期发生额</w:t>
            </w:r>
          </w:p>
        </w:tc>
        <w:tc>
          <w:tcPr>
            <w:tcW w:w="609" w:type="dxa"/>
            <w:tcBorders>
              <w:top w:val="single" w:sz="2" w:space="0" w:color="auto"/>
              <w:left w:val="single" w:sz="2" w:space="0" w:color="auto"/>
              <w:bottom w:val="single" w:sz="2" w:space="0" w:color="auto"/>
              <w:right w:val="single" w:sz="2" w:space="0" w:color="auto"/>
            </w:tcBorders>
            <w:shd w:val="clear" w:color="auto" w:fill="D3D3D3"/>
            <w:vAlign w:val="center"/>
          </w:tcPr>
          <w:p w14:paraId="1CD973F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上期发生额</w:t>
            </w:r>
          </w:p>
        </w:tc>
        <w:tc>
          <w:tcPr>
            <w:tcW w:w="997" w:type="dxa"/>
            <w:tcBorders>
              <w:top w:val="single" w:sz="2" w:space="0" w:color="auto"/>
              <w:left w:val="single" w:sz="2" w:space="0" w:color="auto"/>
              <w:bottom w:val="single" w:sz="2" w:space="0" w:color="auto"/>
              <w:right w:val="single" w:sz="2" w:space="0" w:color="auto"/>
            </w:tcBorders>
            <w:shd w:val="clear" w:color="auto" w:fill="D3D3D3"/>
            <w:vAlign w:val="center"/>
          </w:tcPr>
          <w:p w14:paraId="5D4255D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本期发生额</w:t>
            </w:r>
          </w:p>
        </w:tc>
        <w:tc>
          <w:tcPr>
            <w:tcW w:w="988" w:type="dxa"/>
            <w:tcBorders>
              <w:top w:val="single" w:sz="2" w:space="0" w:color="auto"/>
              <w:left w:val="single" w:sz="2" w:space="0" w:color="auto"/>
              <w:bottom w:val="single" w:sz="2" w:space="0" w:color="auto"/>
              <w:right w:val="single" w:sz="2" w:space="0" w:color="auto"/>
            </w:tcBorders>
            <w:shd w:val="clear" w:color="auto" w:fill="D3D3D3"/>
            <w:vAlign w:val="center"/>
          </w:tcPr>
          <w:p w14:paraId="54E32EA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上期发生额</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2A80D26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本期发生额</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2B153D5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上期发生额</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68DF371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本期发生额</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5650D98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上期发生额</w:t>
            </w:r>
          </w:p>
        </w:tc>
      </w:tr>
      <w:tr w:rsidR="006C011D" w:rsidRPr="005A284F" w14:paraId="1ED1B6E2" w14:textId="77777777" w:rsidTr="003524E1">
        <w:trPr>
          <w:trHeight w:val="240"/>
          <w:jc w:val="center"/>
        </w:trPr>
        <w:tc>
          <w:tcPr>
            <w:tcW w:w="804" w:type="dxa"/>
            <w:tcBorders>
              <w:top w:val="single" w:sz="2" w:space="0" w:color="auto"/>
              <w:left w:val="single" w:sz="2" w:space="0" w:color="auto"/>
              <w:bottom w:val="single" w:sz="2" w:space="0" w:color="auto"/>
              <w:right w:val="single" w:sz="2" w:space="0" w:color="auto"/>
            </w:tcBorders>
            <w:vAlign w:val="center"/>
          </w:tcPr>
          <w:p w14:paraId="12D5CD3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成都润家商业管理有限公司</w:t>
            </w:r>
          </w:p>
        </w:tc>
        <w:tc>
          <w:tcPr>
            <w:tcW w:w="804" w:type="dxa"/>
            <w:tcBorders>
              <w:top w:val="single" w:sz="2" w:space="0" w:color="auto"/>
              <w:left w:val="single" w:sz="2" w:space="0" w:color="auto"/>
              <w:bottom w:val="single" w:sz="2" w:space="0" w:color="auto"/>
              <w:right w:val="single" w:sz="2" w:space="0" w:color="auto"/>
            </w:tcBorders>
            <w:vAlign w:val="center"/>
          </w:tcPr>
          <w:p w14:paraId="2F2E06C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房屋租赁</w:t>
            </w:r>
          </w:p>
        </w:tc>
        <w:tc>
          <w:tcPr>
            <w:tcW w:w="804" w:type="dxa"/>
            <w:tcBorders>
              <w:top w:val="single" w:sz="2" w:space="0" w:color="auto"/>
              <w:left w:val="single" w:sz="2" w:space="0" w:color="auto"/>
              <w:bottom w:val="single" w:sz="2" w:space="0" w:color="auto"/>
              <w:right w:val="single" w:sz="2" w:space="0" w:color="auto"/>
            </w:tcBorders>
            <w:vAlign w:val="center"/>
          </w:tcPr>
          <w:p w14:paraId="13C7C82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7257612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1D370A3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609" w:type="dxa"/>
            <w:tcBorders>
              <w:top w:val="single" w:sz="2" w:space="0" w:color="auto"/>
              <w:left w:val="single" w:sz="2" w:space="0" w:color="auto"/>
              <w:bottom w:val="single" w:sz="2" w:space="0" w:color="auto"/>
              <w:right w:val="single" w:sz="2" w:space="0" w:color="auto"/>
            </w:tcBorders>
            <w:vAlign w:val="center"/>
          </w:tcPr>
          <w:p w14:paraId="638F629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997" w:type="dxa"/>
            <w:tcBorders>
              <w:top w:val="single" w:sz="2" w:space="0" w:color="auto"/>
              <w:left w:val="single" w:sz="2" w:space="0" w:color="auto"/>
              <w:bottom w:val="single" w:sz="2" w:space="0" w:color="auto"/>
              <w:right w:val="single" w:sz="2" w:space="0" w:color="auto"/>
            </w:tcBorders>
            <w:vAlign w:val="center"/>
          </w:tcPr>
          <w:p w14:paraId="0EC6958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161,681.78</w:t>
            </w:r>
          </w:p>
        </w:tc>
        <w:tc>
          <w:tcPr>
            <w:tcW w:w="988" w:type="dxa"/>
            <w:tcBorders>
              <w:top w:val="single" w:sz="2" w:space="0" w:color="auto"/>
              <w:left w:val="single" w:sz="2" w:space="0" w:color="auto"/>
              <w:bottom w:val="single" w:sz="2" w:space="0" w:color="auto"/>
              <w:right w:val="single" w:sz="2" w:space="0" w:color="auto"/>
            </w:tcBorders>
            <w:vAlign w:val="center"/>
          </w:tcPr>
          <w:p w14:paraId="7362040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322,600.06</w:t>
            </w:r>
          </w:p>
        </w:tc>
        <w:tc>
          <w:tcPr>
            <w:tcW w:w="850" w:type="dxa"/>
            <w:tcBorders>
              <w:top w:val="single" w:sz="2" w:space="0" w:color="auto"/>
              <w:left w:val="single" w:sz="2" w:space="0" w:color="auto"/>
              <w:bottom w:val="single" w:sz="2" w:space="0" w:color="auto"/>
              <w:right w:val="single" w:sz="2" w:space="0" w:color="auto"/>
            </w:tcBorders>
            <w:vAlign w:val="center"/>
          </w:tcPr>
          <w:p w14:paraId="124140A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26,297.78</w:t>
            </w:r>
          </w:p>
        </w:tc>
        <w:tc>
          <w:tcPr>
            <w:tcW w:w="992" w:type="dxa"/>
            <w:tcBorders>
              <w:top w:val="single" w:sz="2" w:space="0" w:color="auto"/>
              <w:left w:val="single" w:sz="2" w:space="0" w:color="auto"/>
              <w:bottom w:val="single" w:sz="2" w:space="0" w:color="auto"/>
              <w:right w:val="single" w:sz="2" w:space="0" w:color="auto"/>
            </w:tcBorders>
            <w:vAlign w:val="center"/>
          </w:tcPr>
          <w:p w14:paraId="6C5B3FA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32,473.92</w:t>
            </w:r>
          </w:p>
        </w:tc>
        <w:tc>
          <w:tcPr>
            <w:tcW w:w="709" w:type="dxa"/>
            <w:tcBorders>
              <w:top w:val="single" w:sz="2" w:space="0" w:color="auto"/>
              <w:left w:val="single" w:sz="2" w:space="0" w:color="auto"/>
              <w:bottom w:val="single" w:sz="2" w:space="0" w:color="auto"/>
              <w:right w:val="single" w:sz="2" w:space="0" w:color="auto"/>
            </w:tcBorders>
            <w:vAlign w:val="center"/>
          </w:tcPr>
          <w:p w14:paraId="03A4FD5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B971A1D" w14:textId="77777777" w:rsidR="006C011D" w:rsidRPr="005A284F" w:rsidRDefault="006C011D">
            <w:pPr>
              <w:spacing w:after="0" w:line="240" w:lineRule="exact"/>
              <w:jc w:val="right"/>
              <w:rPr>
                <w:rFonts w:ascii="Times New Roman" w:eastAsia="宋体" w:hAnsi="Times New Roman" w:cs="Times New Roman"/>
                <w:sz w:val="18"/>
                <w:szCs w:val="18"/>
              </w:rPr>
            </w:pPr>
          </w:p>
        </w:tc>
      </w:tr>
    </w:tbl>
    <w:p w14:paraId="6E61C8C0"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关联租赁情况说明</w:t>
      </w:r>
    </w:p>
    <w:p w14:paraId="385F66FC" w14:textId="77777777" w:rsidR="000309B5" w:rsidRPr="005A284F" w:rsidRDefault="00000000">
      <w:pPr>
        <w:pStyle w:val="a3"/>
        <w:spacing w:before="0" w:beforeAutospacing="0" w:after="0" w:afterAutospacing="0"/>
        <w:ind w:firstLine="360"/>
        <w:jc w:val="both"/>
        <w:divId w:val="1121846473"/>
        <w:rPr>
          <w:rFonts w:ascii="Times New Roman" w:hAnsi="Times New Roman" w:cs="Times New Roman"/>
        </w:rPr>
      </w:pPr>
      <w:r w:rsidRPr="005A284F">
        <w:rPr>
          <w:rFonts w:ascii="Times New Roman" w:hAnsi="Times New Roman" w:cs="Times New Roman"/>
          <w:sz w:val="18"/>
          <w:szCs w:val="18"/>
        </w:rPr>
        <w:t>山东龙大生猪产品工程技术开发有限公司租入成都润家商业管理有限公司房屋，租赁起始日为</w:t>
      </w:r>
      <w:r w:rsidRPr="005A284F">
        <w:rPr>
          <w:rFonts w:ascii="Times New Roman" w:hAnsi="Times New Roman" w:cs="Times New Roman"/>
          <w:sz w:val="18"/>
          <w:szCs w:val="18"/>
        </w:rPr>
        <w:t>2021</w:t>
      </w:r>
      <w:r w:rsidRPr="005A284F">
        <w:rPr>
          <w:rFonts w:ascii="Times New Roman" w:hAnsi="Times New Roman" w:cs="Times New Roman"/>
          <w:sz w:val="18"/>
          <w:szCs w:val="18"/>
        </w:rPr>
        <w:t>年</w:t>
      </w:r>
      <w:r w:rsidRPr="005A284F">
        <w:rPr>
          <w:rFonts w:ascii="Times New Roman" w:hAnsi="Times New Roman" w:cs="Times New Roman"/>
          <w:sz w:val="18"/>
          <w:szCs w:val="18"/>
        </w:rPr>
        <w:t>8</w:t>
      </w:r>
      <w:r w:rsidRPr="005A284F">
        <w:rPr>
          <w:rFonts w:ascii="Times New Roman" w:hAnsi="Times New Roman" w:cs="Times New Roman"/>
          <w:sz w:val="18"/>
          <w:szCs w:val="18"/>
        </w:rPr>
        <w:t>月</w:t>
      </w:r>
      <w:r w:rsidRPr="005A284F">
        <w:rPr>
          <w:rFonts w:ascii="Times New Roman" w:hAnsi="Times New Roman" w:cs="Times New Roman"/>
          <w:sz w:val="18"/>
          <w:szCs w:val="18"/>
        </w:rPr>
        <w:t>1</w:t>
      </w:r>
      <w:r w:rsidRPr="005A284F">
        <w:rPr>
          <w:rFonts w:ascii="Times New Roman" w:hAnsi="Times New Roman" w:cs="Times New Roman"/>
          <w:sz w:val="18"/>
          <w:szCs w:val="18"/>
        </w:rPr>
        <w:t>日，租赁终止日为</w:t>
      </w:r>
      <w:r w:rsidRPr="005A284F">
        <w:rPr>
          <w:rFonts w:ascii="Times New Roman" w:hAnsi="Times New Roman" w:cs="Times New Roman"/>
          <w:sz w:val="18"/>
          <w:szCs w:val="18"/>
        </w:rPr>
        <w:t>2028</w:t>
      </w:r>
      <w:r w:rsidRPr="005A284F">
        <w:rPr>
          <w:rFonts w:ascii="Times New Roman" w:hAnsi="Times New Roman" w:cs="Times New Roman"/>
          <w:sz w:val="18"/>
          <w:szCs w:val="18"/>
        </w:rPr>
        <w:t>年</w:t>
      </w:r>
      <w:r w:rsidRPr="005A284F">
        <w:rPr>
          <w:rFonts w:ascii="Times New Roman" w:hAnsi="Times New Roman" w:cs="Times New Roman"/>
          <w:sz w:val="18"/>
          <w:szCs w:val="18"/>
        </w:rPr>
        <w:t>10</w:t>
      </w:r>
      <w:r w:rsidRPr="005A284F">
        <w:rPr>
          <w:rFonts w:ascii="Times New Roman" w:hAnsi="Times New Roman" w:cs="Times New Roman"/>
          <w:sz w:val="18"/>
          <w:szCs w:val="18"/>
        </w:rPr>
        <w:t>月</w:t>
      </w:r>
      <w:r w:rsidRPr="005A284F">
        <w:rPr>
          <w:rFonts w:ascii="Times New Roman" w:hAnsi="Times New Roman" w:cs="Times New Roman"/>
          <w:sz w:val="18"/>
          <w:szCs w:val="18"/>
        </w:rPr>
        <w:t>16</w:t>
      </w:r>
      <w:r w:rsidRPr="005A284F">
        <w:rPr>
          <w:rFonts w:ascii="Times New Roman" w:hAnsi="Times New Roman" w:cs="Times New Roman"/>
          <w:sz w:val="18"/>
          <w:szCs w:val="18"/>
        </w:rPr>
        <w:t>日，租赁费定价依据为市场价格。</w:t>
      </w:r>
    </w:p>
    <w:p w14:paraId="3EFEA77D" w14:textId="2FADB11C"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414" w:name="_Toc989367"/>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4</w:t>
      </w:r>
      <w:r w:rsidRPr="005A284F">
        <w:rPr>
          <w:rFonts w:ascii="Times New Roman" w:eastAsia="宋体" w:hAnsi="Times New Roman" w:cs="Times New Roman"/>
          <w:b/>
          <w:bCs/>
          <w:sz w:val="21"/>
          <w:szCs w:val="21"/>
        </w:rPr>
        <w:t>）关联担保情况</w:t>
      </w:r>
      <w:bookmarkEnd w:id="414"/>
    </w:p>
    <w:p w14:paraId="4A6C4D5C" w14:textId="77777777" w:rsidR="006C011D"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本公司作为担保方</w:t>
      </w:r>
    </w:p>
    <w:p w14:paraId="329DB298" w14:textId="77777777" w:rsidR="003524E1" w:rsidRPr="005A284F" w:rsidRDefault="003524E1" w:rsidP="003524E1">
      <w:pPr>
        <w:pStyle w:val="a3"/>
        <w:rPr>
          <w:rFonts w:ascii="Times New Roman" w:hAnsi="Times New Roman" w:cs="Times New Roman"/>
          <w:sz w:val="18"/>
          <w:szCs w:val="18"/>
        </w:rPr>
      </w:pPr>
      <w:r w:rsidRPr="005A284F">
        <w:rPr>
          <w:rFonts w:ascii="Times New Roman" w:hAnsi="Times New Roman" w:cs="Times New Roman"/>
          <w:sz w:val="18"/>
          <w:szCs w:val="18"/>
        </w:rPr>
        <w:t>无</w:t>
      </w:r>
    </w:p>
    <w:p w14:paraId="5016434B" w14:textId="77777777" w:rsidR="006C011D" w:rsidRPr="005A284F" w:rsidRDefault="00000000">
      <w:pPr>
        <w:spacing w:before="10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本公司作为被担保方</w:t>
      </w:r>
    </w:p>
    <w:p w14:paraId="01207B20" w14:textId="77777777" w:rsidR="006C011D" w:rsidRPr="005A284F" w:rsidRDefault="00000000">
      <w:pPr>
        <w:spacing w:before="120" w:after="12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41"/>
        <w:gridCol w:w="1843"/>
        <w:gridCol w:w="2126"/>
        <w:gridCol w:w="1843"/>
        <w:gridCol w:w="1386"/>
      </w:tblGrid>
      <w:tr w:rsidR="006C011D" w:rsidRPr="005A284F" w14:paraId="7B94325D"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shd w:val="clear" w:color="auto" w:fill="D3D3D3"/>
            <w:vAlign w:val="center"/>
          </w:tcPr>
          <w:p w14:paraId="56203D2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担保方</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2DD7332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担保金额</w:t>
            </w: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14:paraId="33D120C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担保起始日</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78E3371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担保到期日</w:t>
            </w:r>
          </w:p>
        </w:tc>
        <w:tc>
          <w:tcPr>
            <w:tcW w:w="1386" w:type="dxa"/>
            <w:tcBorders>
              <w:top w:val="single" w:sz="2" w:space="0" w:color="auto"/>
              <w:left w:val="single" w:sz="2" w:space="0" w:color="auto"/>
              <w:bottom w:val="single" w:sz="2" w:space="0" w:color="auto"/>
              <w:right w:val="single" w:sz="2" w:space="0" w:color="auto"/>
            </w:tcBorders>
            <w:shd w:val="clear" w:color="auto" w:fill="D3D3D3"/>
            <w:vAlign w:val="center"/>
          </w:tcPr>
          <w:p w14:paraId="3FC4CA5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担保是否已经履行完毕</w:t>
            </w:r>
          </w:p>
        </w:tc>
      </w:tr>
      <w:tr w:rsidR="006C011D" w:rsidRPr="005A284F" w14:paraId="137528FA"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7F5D1F2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328127A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14,900,000.00</w:t>
            </w:r>
          </w:p>
        </w:tc>
        <w:tc>
          <w:tcPr>
            <w:tcW w:w="2126" w:type="dxa"/>
            <w:tcBorders>
              <w:top w:val="single" w:sz="2" w:space="0" w:color="auto"/>
              <w:left w:val="single" w:sz="2" w:space="0" w:color="auto"/>
              <w:bottom w:val="single" w:sz="2" w:space="0" w:color="auto"/>
              <w:right w:val="single" w:sz="2" w:space="0" w:color="auto"/>
            </w:tcBorders>
            <w:vAlign w:val="center"/>
          </w:tcPr>
          <w:p w14:paraId="1FDB480D"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05</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26</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3A67E367"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11</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26</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3E8BC79A"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0ABB834A"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10B1C3F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0EB840C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15,000,000.00</w:t>
            </w:r>
          </w:p>
        </w:tc>
        <w:tc>
          <w:tcPr>
            <w:tcW w:w="2126" w:type="dxa"/>
            <w:tcBorders>
              <w:top w:val="single" w:sz="2" w:space="0" w:color="auto"/>
              <w:left w:val="single" w:sz="2" w:space="0" w:color="auto"/>
              <w:bottom w:val="single" w:sz="2" w:space="0" w:color="auto"/>
              <w:right w:val="single" w:sz="2" w:space="0" w:color="auto"/>
            </w:tcBorders>
            <w:vAlign w:val="center"/>
          </w:tcPr>
          <w:p w14:paraId="4D9944BE"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01</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17</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0BEF06F1"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07</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15</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6BE9FDD3"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6C26F905"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56A8564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13026B3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5,060,000.00</w:t>
            </w:r>
          </w:p>
        </w:tc>
        <w:tc>
          <w:tcPr>
            <w:tcW w:w="2126" w:type="dxa"/>
            <w:tcBorders>
              <w:top w:val="single" w:sz="2" w:space="0" w:color="auto"/>
              <w:left w:val="single" w:sz="2" w:space="0" w:color="auto"/>
              <w:bottom w:val="single" w:sz="2" w:space="0" w:color="auto"/>
              <w:right w:val="single" w:sz="2" w:space="0" w:color="auto"/>
            </w:tcBorders>
            <w:vAlign w:val="center"/>
          </w:tcPr>
          <w:p w14:paraId="5ED8B24A"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01</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20</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3A3CA463"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07</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15</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437B4C32"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2F75CE10"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2E2C335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70BB956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5,000.00</w:t>
            </w:r>
          </w:p>
        </w:tc>
        <w:tc>
          <w:tcPr>
            <w:tcW w:w="2126" w:type="dxa"/>
            <w:tcBorders>
              <w:top w:val="single" w:sz="2" w:space="0" w:color="auto"/>
              <w:left w:val="single" w:sz="2" w:space="0" w:color="auto"/>
              <w:bottom w:val="single" w:sz="2" w:space="0" w:color="auto"/>
              <w:right w:val="single" w:sz="2" w:space="0" w:color="auto"/>
            </w:tcBorders>
            <w:vAlign w:val="center"/>
          </w:tcPr>
          <w:p w14:paraId="675FA513"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13</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5B4CB220"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07</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15</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285A68DE"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3820739A"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556F053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1F28F5A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5,000.00</w:t>
            </w:r>
          </w:p>
        </w:tc>
        <w:tc>
          <w:tcPr>
            <w:tcW w:w="2126" w:type="dxa"/>
            <w:tcBorders>
              <w:top w:val="single" w:sz="2" w:space="0" w:color="auto"/>
              <w:left w:val="single" w:sz="2" w:space="0" w:color="auto"/>
              <w:bottom w:val="single" w:sz="2" w:space="0" w:color="auto"/>
              <w:right w:val="single" w:sz="2" w:space="0" w:color="auto"/>
            </w:tcBorders>
            <w:vAlign w:val="center"/>
          </w:tcPr>
          <w:p w14:paraId="016541F2"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13</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249F8375"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07</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15</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1682EF3B"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15FD6508"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4FFFAFE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1F0B0D2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77,200,000.00</w:t>
            </w:r>
          </w:p>
        </w:tc>
        <w:tc>
          <w:tcPr>
            <w:tcW w:w="2126" w:type="dxa"/>
            <w:tcBorders>
              <w:top w:val="single" w:sz="2" w:space="0" w:color="auto"/>
              <w:left w:val="single" w:sz="2" w:space="0" w:color="auto"/>
              <w:bottom w:val="single" w:sz="2" w:space="0" w:color="auto"/>
              <w:right w:val="single" w:sz="2" w:space="0" w:color="auto"/>
            </w:tcBorders>
            <w:vAlign w:val="center"/>
          </w:tcPr>
          <w:p w14:paraId="06035BEC"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01</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16</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49EA114D"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07</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16</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33A68307"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4205F49E"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3519B44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3626EA5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5,760,000.00</w:t>
            </w:r>
          </w:p>
        </w:tc>
        <w:tc>
          <w:tcPr>
            <w:tcW w:w="2126" w:type="dxa"/>
            <w:tcBorders>
              <w:top w:val="single" w:sz="2" w:space="0" w:color="auto"/>
              <w:left w:val="single" w:sz="2" w:space="0" w:color="auto"/>
              <w:bottom w:val="single" w:sz="2" w:space="0" w:color="auto"/>
              <w:right w:val="single" w:sz="2" w:space="0" w:color="auto"/>
            </w:tcBorders>
            <w:vAlign w:val="center"/>
          </w:tcPr>
          <w:p w14:paraId="0DF96C9E"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20</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34C8AEC8"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11E61024"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53C59763"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79862C6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2B6392C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55,100,000.00</w:t>
            </w:r>
          </w:p>
        </w:tc>
        <w:tc>
          <w:tcPr>
            <w:tcW w:w="2126" w:type="dxa"/>
            <w:tcBorders>
              <w:top w:val="single" w:sz="2" w:space="0" w:color="auto"/>
              <w:left w:val="single" w:sz="2" w:space="0" w:color="auto"/>
              <w:bottom w:val="single" w:sz="2" w:space="0" w:color="auto"/>
              <w:right w:val="single" w:sz="2" w:space="0" w:color="auto"/>
            </w:tcBorders>
            <w:vAlign w:val="center"/>
          </w:tcPr>
          <w:p w14:paraId="2602272C"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20</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3BA57EC7"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56FD702F"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165B7832"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5E4D826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5E90E0F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4,230,000.00</w:t>
            </w:r>
          </w:p>
        </w:tc>
        <w:tc>
          <w:tcPr>
            <w:tcW w:w="2126" w:type="dxa"/>
            <w:tcBorders>
              <w:top w:val="single" w:sz="2" w:space="0" w:color="auto"/>
              <w:left w:val="single" w:sz="2" w:space="0" w:color="auto"/>
              <w:bottom w:val="single" w:sz="2" w:space="0" w:color="auto"/>
              <w:right w:val="single" w:sz="2" w:space="0" w:color="auto"/>
            </w:tcBorders>
            <w:vAlign w:val="center"/>
          </w:tcPr>
          <w:p w14:paraId="77144ADC"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03</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24</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6088CAE9"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2026</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03</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13</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7ADD498C"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10693F68"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4E1EE53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124C3AA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9,000,000.00</w:t>
            </w:r>
          </w:p>
        </w:tc>
        <w:tc>
          <w:tcPr>
            <w:tcW w:w="2126" w:type="dxa"/>
            <w:tcBorders>
              <w:top w:val="single" w:sz="2" w:space="0" w:color="auto"/>
              <w:left w:val="single" w:sz="2" w:space="0" w:color="auto"/>
              <w:bottom w:val="single" w:sz="2" w:space="0" w:color="auto"/>
              <w:right w:val="single" w:sz="2" w:space="0" w:color="auto"/>
            </w:tcBorders>
            <w:vAlign w:val="center"/>
          </w:tcPr>
          <w:p w14:paraId="11732A68"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22</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0A2E966D"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13</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384D8161"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30D3C8CF"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30B2321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3F38E79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9,000,000.00</w:t>
            </w:r>
          </w:p>
        </w:tc>
        <w:tc>
          <w:tcPr>
            <w:tcW w:w="2126" w:type="dxa"/>
            <w:tcBorders>
              <w:top w:val="single" w:sz="2" w:space="0" w:color="auto"/>
              <w:left w:val="single" w:sz="2" w:space="0" w:color="auto"/>
              <w:bottom w:val="single" w:sz="2" w:space="0" w:color="auto"/>
              <w:right w:val="single" w:sz="2" w:space="0" w:color="auto"/>
            </w:tcBorders>
            <w:vAlign w:val="center"/>
          </w:tcPr>
          <w:p w14:paraId="05184A2B"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22</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0FE218B5"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08</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13</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6FDA9D5C"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7D2645B5"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47CB86B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65FCDCD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28,000,000.00</w:t>
            </w:r>
          </w:p>
        </w:tc>
        <w:tc>
          <w:tcPr>
            <w:tcW w:w="2126" w:type="dxa"/>
            <w:tcBorders>
              <w:top w:val="single" w:sz="2" w:space="0" w:color="auto"/>
              <w:left w:val="single" w:sz="2" w:space="0" w:color="auto"/>
              <w:bottom w:val="single" w:sz="2" w:space="0" w:color="auto"/>
              <w:right w:val="single" w:sz="2" w:space="0" w:color="auto"/>
            </w:tcBorders>
            <w:vAlign w:val="center"/>
          </w:tcPr>
          <w:p w14:paraId="30B04E2A"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03</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18</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76B36DFB"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09</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17</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5C8F3662"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14DB7334"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404D377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6D560D9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10,000,000.00</w:t>
            </w:r>
          </w:p>
        </w:tc>
        <w:tc>
          <w:tcPr>
            <w:tcW w:w="2126" w:type="dxa"/>
            <w:tcBorders>
              <w:top w:val="single" w:sz="2" w:space="0" w:color="auto"/>
              <w:left w:val="single" w:sz="2" w:space="0" w:color="auto"/>
              <w:bottom w:val="single" w:sz="2" w:space="0" w:color="auto"/>
              <w:right w:val="single" w:sz="2" w:space="0" w:color="auto"/>
            </w:tcBorders>
            <w:vAlign w:val="center"/>
          </w:tcPr>
          <w:p w14:paraId="19539A78"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03</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28</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3759ADF5"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09</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28</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06736AF8"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68FCA5F8"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41DF53D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山东省融资担保有限公司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2F9FBFD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10,000,000.00</w:t>
            </w:r>
          </w:p>
        </w:tc>
        <w:tc>
          <w:tcPr>
            <w:tcW w:w="2126" w:type="dxa"/>
            <w:tcBorders>
              <w:top w:val="single" w:sz="2" w:space="0" w:color="auto"/>
              <w:left w:val="single" w:sz="2" w:space="0" w:color="auto"/>
              <w:bottom w:val="single" w:sz="2" w:space="0" w:color="auto"/>
              <w:right w:val="single" w:sz="2" w:space="0" w:color="auto"/>
            </w:tcBorders>
            <w:vAlign w:val="center"/>
          </w:tcPr>
          <w:p w14:paraId="1E903E94"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05</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15</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1EBD7D93"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11</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15</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668720A7"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54F6822B"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3F780C3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山东省融资担保有限公司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7B7A3E4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10,000,000.00</w:t>
            </w:r>
          </w:p>
        </w:tc>
        <w:tc>
          <w:tcPr>
            <w:tcW w:w="2126" w:type="dxa"/>
            <w:tcBorders>
              <w:top w:val="single" w:sz="2" w:space="0" w:color="auto"/>
              <w:left w:val="single" w:sz="2" w:space="0" w:color="auto"/>
              <w:bottom w:val="single" w:sz="2" w:space="0" w:color="auto"/>
              <w:right w:val="single" w:sz="2" w:space="0" w:color="auto"/>
            </w:tcBorders>
            <w:vAlign w:val="center"/>
          </w:tcPr>
          <w:p w14:paraId="1BB3F386"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06</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16</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61922B54"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11</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3F951294"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707C08DC"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0FEC93A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山东省融资担保有限公司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01E8191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10,000,000.00</w:t>
            </w:r>
          </w:p>
        </w:tc>
        <w:tc>
          <w:tcPr>
            <w:tcW w:w="2126" w:type="dxa"/>
            <w:tcBorders>
              <w:top w:val="single" w:sz="2" w:space="0" w:color="auto"/>
              <w:left w:val="single" w:sz="2" w:space="0" w:color="auto"/>
              <w:bottom w:val="single" w:sz="2" w:space="0" w:color="auto"/>
              <w:right w:val="single" w:sz="2" w:space="0" w:color="auto"/>
            </w:tcBorders>
            <w:vAlign w:val="center"/>
          </w:tcPr>
          <w:p w14:paraId="4017A1DC"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05</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65A93D3A"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289ED5C7"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7C47FF21"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616CCA6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259D62E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10,000,000.00</w:t>
            </w:r>
          </w:p>
        </w:tc>
        <w:tc>
          <w:tcPr>
            <w:tcW w:w="2126" w:type="dxa"/>
            <w:tcBorders>
              <w:top w:val="single" w:sz="2" w:space="0" w:color="auto"/>
              <w:left w:val="single" w:sz="2" w:space="0" w:color="auto"/>
              <w:bottom w:val="single" w:sz="2" w:space="0" w:color="auto"/>
              <w:right w:val="single" w:sz="2" w:space="0" w:color="auto"/>
            </w:tcBorders>
            <w:vAlign w:val="center"/>
          </w:tcPr>
          <w:p w14:paraId="21E71194"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04</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23</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389A2B50"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16</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0D7C8005"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6898A32D"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7113817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145B4C7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30,000,000.00</w:t>
            </w:r>
          </w:p>
        </w:tc>
        <w:tc>
          <w:tcPr>
            <w:tcW w:w="2126" w:type="dxa"/>
            <w:tcBorders>
              <w:top w:val="single" w:sz="2" w:space="0" w:color="auto"/>
              <w:left w:val="single" w:sz="2" w:space="0" w:color="auto"/>
              <w:bottom w:val="single" w:sz="2" w:space="0" w:color="auto"/>
              <w:right w:val="single" w:sz="2" w:space="0" w:color="auto"/>
            </w:tcBorders>
            <w:vAlign w:val="center"/>
          </w:tcPr>
          <w:p w14:paraId="0D92142E"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06</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26</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381CE81A"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25</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4800FA8C"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105C7878"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42B8D8C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4861258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4,220,000.00</w:t>
            </w:r>
          </w:p>
        </w:tc>
        <w:tc>
          <w:tcPr>
            <w:tcW w:w="2126" w:type="dxa"/>
            <w:tcBorders>
              <w:top w:val="single" w:sz="2" w:space="0" w:color="auto"/>
              <w:left w:val="single" w:sz="2" w:space="0" w:color="auto"/>
              <w:bottom w:val="single" w:sz="2" w:space="0" w:color="auto"/>
              <w:right w:val="single" w:sz="2" w:space="0" w:color="auto"/>
            </w:tcBorders>
            <w:vAlign w:val="center"/>
          </w:tcPr>
          <w:p w14:paraId="51EA9B91"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20</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305EE17E"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09</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16</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42FD741E"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6CC6FDE5"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468657B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2ADF728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15,000,000.00</w:t>
            </w:r>
          </w:p>
        </w:tc>
        <w:tc>
          <w:tcPr>
            <w:tcW w:w="2126" w:type="dxa"/>
            <w:tcBorders>
              <w:top w:val="single" w:sz="2" w:space="0" w:color="auto"/>
              <w:left w:val="single" w:sz="2" w:space="0" w:color="auto"/>
              <w:bottom w:val="single" w:sz="2" w:space="0" w:color="auto"/>
              <w:right w:val="single" w:sz="2" w:space="0" w:color="auto"/>
            </w:tcBorders>
            <w:vAlign w:val="center"/>
          </w:tcPr>
          <w:p w14:paraId="593877BC"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05</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18</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66563BF7"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2026</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05</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15</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15475650"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69012AC1"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29073B4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157A84E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35,000,000.00</w:t>
            </w:r>
          </w:p>
        </w:tc>
        <w:tc>
          <w:tcPr>
            <w:tcW w:w="2126" w:type="dxa"/>
            <w:tcBorders>
              <w:top w:val="single" w:sz="2" w:space="0" w:color="auto"/>
              <w:left w:val="single" w:sz="2" w:space="0" w:color="auto"/>
              <w:bottom w:val="single" w:sz="2" w:space="0" w:color="auto"/>
              <w:right w:val="single" w:sz="2" w:space="0" w:color="auto"/>
            </w:tcBorders>
            <w:vAlign w:val="center"/>
          </w:tcPr>
          <w:p w14:paraId="1848CDBC"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05</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3C0973E6"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04</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51B006C9"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6051EBF6"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6CD210D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烟台银丰农牧科技有限公司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51DDFDE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29,990,000.00</w:t>
            </w:r>
          </w:p>
        </w:tc>
        <w:tc>
          <w:tcPr>
            <w:tcW w:w="2126" w:type="dxa"/>
            <w:tcBorders>
              <w:top w:val="single" w:sz="2" w:space="0" w:color="auto"/>
              <w:left w:val="single" w:sz="2" w:space="0" w:color="auto"/>
              <w:bottom w:val="single" w:sz="2" w:space="0" w:color="auto"/>
              <w:right w:val="single" w:sz="2" w:space="0" w:color="auto"/>
            </w:tcBorders>
            <w:vAlign w:val="center"/>
          </w:tcPr>
          <w:p w14:paraId="4C632884"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06</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24</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13162B5E"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2026</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06</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22</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548A7FB3"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3E702ED9"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41D638D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烟台龙大养殖有限公司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524EC52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50,000,000.00</w:t>
            </w:r>
          </w:p>
        </w:tc>
        <w:tc>
          <w:tcPr>
            <w:tcW w:w="2126" w:type="dxa"/>
            <w:tcBorders>
              <w:top w:val="single" w:sz="2" w:space="0" w:color="auto"/>
              <w:left w:val="single" w:sz="2" w:space="0" w:color="auto"/>
              <w:bottom w:val="single" w:sz="2" w:space="0" w:color="auto"/>
              <w:right w:val="single" w:sz="2" w:space="0" w:color="auto"/>
            </w:tcBorders>
            <w:vAlign w:val="center"/>
          </w:tcPr>
          <w:p w14:paraId="32EF36F9"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07</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1E1CD051"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07</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09</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52706F71"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32FD88FF"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70C20AC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5F246D3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82,800,000.00</w:t>
            </w:r>
          </w:p>
        </w:tc>
        <w:tc>
          <w:tcPr>
            <w:tcW w:w="2126" w:type="dxa"/>
            <w:tcBorders>
              <w:top w:val="single" w:sz="2" w:space="0" w:color="auto"/>
              <w:left w:val="single" w:sz="2" w:space="0" w:color="auto"/>
              <w:bottom w:val="single" w:sz="2" w:space="0" w:color="auto"/>
              <w:right w:val="single" w:sz="2" w:space="0" w:color="auto"/>
            </w:tcBorders>
            <w:vAlign w:val="center"/>
          </w:tcPr>
          <w:p w14:paraId="137F2A82"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07</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108E67F0"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07</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09</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42362A32"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5ED67F48"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437D676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蓝润发展控股集团有限公司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3CF44F7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60,000,000.00</w:t>
            </w:r>
          </w:p>
        </w:tc>
        <w:tc>
          <w:tcPr>
            <w:tcW w:w="2126" w:type="dxa"/>
            <w:tcBorders>
              <w:top w:val="single" w:sz="2" w:space="0" w:color="auto"/>
              <w:left w:val="single" w:sz="2" w:space="0" w:color="auto"/>
              <w:bottom w:val="single" w:sz="2" w:space="0" w:color="auto"/>
              <w:right w:val="single" w:sz="2" w:space="0" w:color="auto"/>
            </w:tcBorders>
            <w:vAlign w:val="center"/>
          </w:tcPr>
          <w:p w14:paraId="0399E799"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07</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24</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425677C1"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07</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23</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0A3CF02C"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64853EA5"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65DDC8F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聊城龙大肉食品有限公司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0872B2F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40,000,000.00</w:t>
            </w:r>
          </w:p>
        </w:tc>
        <w:tc>
          <w:tcPr>
            <w:tcW w:w="2126" w:type="dxa"/>
            <w:tcBorders>
              <w:top w:val="single" w:sz="2" w:space="0" w:color="auto"/>
              <w:left w:val="single" w:sz="2" w:space="0" w:color="auto"/>
              <w:bottom w:val="single" w:sz="2" w:space="0" w:color="auto"/>
              <w:right w:val="single" w:sz="2" w:space="0" w:color="auto"/>
            </w:tcBorders>
            <w:vAlign w:val="center"/>
          </w:tcPr>
          <w:p w14:paraId="3347CF3F"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01</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64E67BDA"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09</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20</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792A3D79"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37AC5575"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66C12B2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1BA1C15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69,900,000.00</w:t>
            </w:r>
          </w:p>
        </w:tc>
        <w:tc>
          <w:tcPr>
            <w:tcW w:w="2126" w:type="dxa"/>
            <w:tcBorders>
              <w:top w:val="single" w:sz="2" w:space="0" w:color="auto"/>
              <w:left w:val="single" w:sz="2" w:space="0" w:color="auto"/>
              <w:bottom w:val="single" w:sz="2" w:space="0" w:color="auto"/>
              <w:right w:val="single" w:sz="2" w:space="0" w:color="auto"/>
            </w:tcBorders>
            <w:vAlign w:val="center"/>
          </w:tcPr>
          <w:p w14:paraId="2782698A"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01</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01</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5117AB8C"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2026</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01</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31</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141D0097"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628C96F0"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6957309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50F0B8F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39,500,000.00</w:t>
            </w:r>
          </w:p>
        </w:tc>
        <w:tc>
          <w:tcPr>
            <w:tcW w:w="2126" w:type="dxa"/>
            <w:tcBorders>
              <w:top w:val="single" w:sz="2" w:space="0" w:color="auto"/>
              <w:left w:val="single" w:sz="2" w:space="0" w:color="auto"/>
              <w:bottom w:val="single" w:sz="2" w:space="0" w:color="auto"/>
              <w:right w:val="single" w:sz="2" w:space="0" w:color="auto"/>
            </w:tcBorders>
            <w:vAlign w:val="center"/>
          </w:tcPr>
          <w:p w14:paraId="3DF4FC4D"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03</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28</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7A7FF9A0"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2026</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03</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27</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1A985F4C"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6CC66DE8"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4687551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50D866B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500,000.00</w:t>
            </w:r>
          </w:p>
        </w:tc>
        <w:tc>
          <w:tcPr>
            <w:tcW w:w="2126" w:type="dxa"/>
            <w:tcBorders>
              <w:top w:val="single" w:sz="2" w:space="0" w:color="auto"/>
              <w:left w:val="single" w:sz="2" w:space="0" w:color="auto"/>
              <w:bottom w:val="single" w:sz="2" w:space="0" w:color="auto"/>
              <w:right w:val="single" w:sz="2" w:space="0" w:color="auto"/>
            </w:tcBorders>
            <w:vAlign w:val="center"/>
          </w:tcPr>
          <w:p w14:paraId="18EA4584"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06</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19</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6E799F29"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2026</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03</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27</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4ADBC94D"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7333DDAB"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13733C7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46E288E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10,000,000.00</w:t>
            </w:r>
          </w:p>
        </w:tc>
        <w:tc>
          <w:tcPr>
            <w:tcW w:w="2126" w:type="dxa"/>
            <w:tcBorders>
              <w:top w:val="single" w:sz="2" w:space="0" w:color="auto"/>
              <w:left w:val="single" w:sz="2" w:space="0" w:color="auto"/>
              <w:bottom w:val="single" w:sz="2" w:space="0" w:color="auto"/>
              <w:right w:val="single" w:sz="2" w:space="0" w:color="auto"/>
            </w:tcBorders>
            <w:vAlign w:val="center"/>
          </w:tcPr>
          <w:p w14:paraId="7BAAD530"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26</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63C19962"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23</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152623B0"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37DFABAA"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27CBD4F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51B50A1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10,000,000.00</w:t>
            </w:r>
          </w:p>
        </w:tc>
        <w:tc>
          <w:tcPr>
            <w:tcW w:w="2126" w:type="dxa"/>
            <w:tcBorders>
              <w:top w:val="single" w:sz="2" w:space="0" w:color="auto"/>
              <w:left w:val="single" w:sz="2" w:space="0" w:color="auto"/>
              <w:bottom w:val="single" w:sz="2" w:space="0" w:color="auto"/>
              <w:right w:val="single" w:sz="2" w:space="0" w:color="auto"/>
            </w:tcBorders>
            <w:vAlign w:val="center"/>
          </w:tcPr>
          <w:p w14:paraId="295063A7"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26</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0C0BD4F7"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23</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3CF5AC4C"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6D2E780E"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1AC95A3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3997F34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10,000,000.00</w:t>
            </w:r>
          </w:p>
        </w:tc>
        <w:tc>
          <w:tcPr>
            <w:tcW w:w="2126" w:type="dxa"/>
            <w:tcBorders>
              <w:top w:val="single" w:sz="2" w:space="0" w:color="auto"/>
              <w:left w:val="single" w:sz="2" w:space="0" w:color="auto"/>
              <w:bottom w:val="single" w:sz="2" w:space="0" w:color="auto"/>
              <w:right w:val="single" w:sz="2" w:space="0" w:color="auto"/>
            </w:tcBorders>
            <w:vAlign w:val="center"/>
          </w:tcPr>
          <w:p w14:paraId="155D0D8A"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26</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2DDD2EB1"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23</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195501B0"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7A08B259"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2AC096F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396D42F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10,000,000.00</w:t>
            </w:r>
          </w:p>
        </w:tc>
        <w:tc>
          <w:tcPr>
            <w:tcW w:w="2126" w:type="dxa"/>
            <w:tcBorders>
              <w:top w:val="single" w:sz="2" w:space="0" w:color="auto"/>
              <w:left w:val="single" w:sz="2" w:space="0" w:color="auto"/>
              <w:bottom w:val="single" w:sz="2" w:space="0" w:color="auto"/>
              <w:right w:val="single" w:sz="2" w:space="0" w:color="auto"/>
            </w:tcBorders>
            <w:vAlign w:val="center"/>
          </w:tcPr>
          <w:p w14:paraId="2FAE325B"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26</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48CE8AE0"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23</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36B28798"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6A53C16C"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3AAF024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66F6769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10,000,000.00</w:t>
            </w:r>
          </w:p>
        </w:tc>
        <w:tc>
          <w:tcPr>
            <w:tcW w:w="2126" w:type="dxa"/>
            <w:tcBorders>
              <w:top w:val="single" w:sz="2" w:space="0" w:color="auto"/>
              <w:left w:val="single" w:sz="2" w:space="0" w:color="auto"/>
              <w:bottom w:val="single" w:sz="2" w:space="0" w:color="auto"/>
              <w:right w:val="single" w:sz="2" w:space="0" w:color="auto"/>
            </w:tcBorders>
            <w:vAlign w:val="center"/>
          </w:tcPr>
          <w:p w14:paraId="183160AB"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26</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39564EB9"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23</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3F16D770"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23584277"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2A302EF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1587893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9,930,000.00</w:t>
            </w:r>
          </w:p>
        </w:tc>
        <w:tc>
          <w:tcPr>
            <w:tcW w:w="2126" w:type="dxa"/>
            <w:tcBorders>
              <w:top w:val="single" w:sz="2" w:space="0" w:color="auto"/>
              <w:left w:val="single" w:sz="2" w:space="0" w:color="auto"/>
              <w:bottom w:val="single" w:sz="2" w:space="0" w:color="auto"/>
              <w:right w:val="single" w:sz="2" w:space="0" w:color="auto"/>
            </w:tcBorders>
            <w:vAlign w:val="center"/>
          </w:tcPr>
          <w:p w14:paraId="0BA6B1C9"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01</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06</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14FF1A1A"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2026</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01</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05</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1999261F"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5F19F9CC"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0BFA827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246C8BD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20,000,000.00</w:t>
            </w:r>
          </w:p>
        </w:tc>
        <w:tc>
          <w:tcPr>
            <w:tcW w:w="2126" w:type="dxa"/>
            <w:tcBorders>
              <w:top w:val="single" w:sz="2" w:space="0" w:color="auto"/>
              <w:left w:val="single" w:sz="2" w:space="0" w:color="auto"/>
              <w:bottom w:val="single" w:sz="2" w:space="0" w:color="auto"/>
              <w:right w:val="single" w:sz="2" w:space="0" w:color="auto"/>
            </w:tcBorders>
            <w:vAlign w:val="center"/>
          </w:tcPr>
          <w:p w14:paraId="733C9050"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75794086"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2026</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09</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47AD516F"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0A4A6AA1"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0290E53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烟台龙大养殖有限公司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0BB6749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10,000,000.00</w:t>
            </w:r>
          </w:p>
        </w:tc>
        <w:tc>
          <w:tcPr>
            <w:tcW w:w="2126" w:type="dxa"/>
            <w:tcBorders>
              <w:top w:val="single" w:sz="2" w:space="0" w:color="auto"/>
              <w:left w:val="single" w:sz="2" w:space="0" w:color="auto"/>
              <w:bottom w:val="single" w:sz="2" w:space="0" w:color="auto"/>
              <w:right w:val="single" w:sz="2" w:space="0" w:color="auto"/>
            </w:tcBorders>
            <w:vAlign w:val="center"/>
          </w:tcPr>
          <w:p w14:paraId="71A3266F"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07</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11</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1B066AE6"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07</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603FCA8D"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37AEFAC4"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63E9491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烟台龙大养殖有限公司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07A54CA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4,500,000.00</w:t>
            </w:r>
          </w:p>
        </w:tc>
        <w:tc>
          <w:tcPr>
            <w:tcW w:w="2126" w:type="dxa"/>
            <w:tcBorders>
              <w:top w:val="single" w:sz="2" w:space="0" w:color="auto"/>
              <w:left w:val="single" w:sz="2" w:space="0" w:color="auto"/>
              <w:bottom w:val="single" w:sz="2" w:space="0" w:color="auto"/>
              <w:right w:val="single" w:sz="2" w:space="0" w:color="auto"/>
            </w:tcBorders>
            <w:vAlign w:val="center"/>
          </w:tcPr>
          <w:p w14:paraId="6B7A419C"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4C33FE8C"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09</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01B92AE3"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69F8C8C2"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4ED702C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29935BE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10,000,000.00</w:t>
            </w:r>
          </w:p>
        </w:tc>
        <w:tc>
          <w:tcPr>
            <w:tcW w:w="2126" w:type="dxa"/>
            <w:tcBorders>
              <w:top w:val="single" w:sz="2" w:space="0" w:color="auto"/>
              <w:left w:val="single" w:sz="2" w:space="0" w:color="auto"/>
              <w:bottom w:val="single" w:sz="2" w:space="0" w:color="auto"/>
              <w:right w:val="single" w:sz="2" w:space="0" w:color="auto"/>
            </w:tcBorders>
            <w:vAlign w:val="center"/>
          </w:tcPr>
          <w:p w14:paraId="15394FD6"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04</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07</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52B890F2"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2026</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04</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07</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0D9D6357"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14B5D8EE"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083AB79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4FA29C2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15,000,000.00</w:t>
            </w:r>
          </w:p>
        </w:tc>
        <w:tc>
          <w:tcPr>
            <w:tcW w:w="2126" w:type="dxa"/>
            <w:tcBorders>
              <w:top w:val="single" w:sz="2" w:space="0" w:color="auto"/>
              <w:left w:val="single" w:sz="2" w:space="0" w:color="auto"/>
              <w:bottom w:val="single" w:sz="2" w:space="0" w:color="auto"/>
              <w:right w:val="single" w:sz="2" w:space="0" w:color="auto"/>
            </w:tcBorders>
            <w:vAlign w:val="center"/>
          </w:tcPr>
          <w:p w14:paraId="2C4E9FFA"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05</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15</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5F5BF8AF"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2026</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05</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15</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66603A9F"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21A7927E"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1F4FDCE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55DA7DD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15,780,000.00</w:t>
            </w:r>
          </w:p>
        </w:tc>
        <w:tc>
          <w:tcPr>
            <w:tcW w:w="2126" w:type="dxa"/>
            <w:tcBorders>
              <w:top w:val="single" w:sz="2" w:space="0" w:color="auto"/>
              <w:left w:val="single" w:sz="2" w:space="0" w:color="auto"/>
              <w:bottom w:val="single" w:sz="2" w:space="0" w:color="auto"/>
              <w:right w:val="single" w:sz="2" w:space="0" w:color="auto"/>
            </w:tcBorders>
            <w:vAlign w:val="center"/>
          </w:tcPr>
          <w:p w14:paraId="3A1A2E25"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05</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15</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19690C26"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2026</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05</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15</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6E03C4F3"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5B4A9C86"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34ABBB2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烟台龙大养殖有限公司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3B367BD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35,000,000.00</w:t>
            </w:r>
          </w:p>
        </w:tc>
        <w:tc>
          <w:tcPr>
            <w:tcW w:w="2126" w:type="dxa"/>
            <w:tcBorders>
              <w:top w:val="single" w:sz="2" w:space="0" w:color="auto"/>
              <w:left w:val="single" w:sz="2" w:space="0" w:color="auto"/>
              <w:bottom w:val="single" w:sz="2" w:space="0" w:color="auto"/>
              <w:right w:val="single" w:sz="2" w:space="0" w:color="auto"/>
            </w:tcBorders>
            <w:vAlign w:val="center"/>
          </w:tcPr>
          <w:p w14:paraId="3438B574"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2021</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04</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02</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7E95E347"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2026</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03</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26</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573D0737"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4A24FA27"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5863AED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烟台龙大养殖有限公司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0336AEF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28,000,000.00</w:t>
            </w:r>
          </w:p>
        </w:tc>
        <w:tc>
          <w:tcPr>
            <w:tcW w:w="2126" w:type="dxa"/>
            <w:tcBorders>
              <w:top w:val="single" w:sz="2" w:space="0" w:color="auto"/>
              <w:left w:val="single" w:sz="2" w:space="0" w:color="auto"/>
              <w:bottom w:val="single" w:sz="2" w:space="0" w:color="auto"/>
              <w:right w:val="single" w:sz="2" w:space="0" w:color="auto"/>
            </w:tcBorders>
            <w:vAlign w:val="center"/>
          </w:tcPr>
          <w:p w14:paraId="63E228AB"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2021</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04</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06</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763F0F26"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2026</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03</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26</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6C350C47"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r w:rsidR="006C011D" w:rsidRPr="005A284F" w14:paraId="74FDEF14" w14:textId="77777777" w:rsidTr="009E68B2">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079D757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山东龙大美食股份有限公司</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蓝润发展控股集团有限公司</w:t>
            </w:r>
          </w:p>
        </w:tc>
        <w:tc>
          <w:tcPr>
            <w:tcW w:w="1843" w:type="dxa"/>
            <w:tcBorders>
              <w:top w:val="single" w:sz="2" w:space="0" w:color="auto"/>
              <w:left w:val="single" w:sz="2" w:space="0" w:color="auto"/>
              <w:bottom w:val="single" w:sz="2" w:space="0" w:color="auto"/>
              <w:right w:val="single" w:sz="2" w:space="0" w:color="auto"/>
            </w:tcBorders>
            <w:vAlign w:val="center"/>
          </w:tcPr>
          <w:p w14:paraId="3EB06B7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349,000,000.00</w:t>
            </w:r>
          </w:p>
        </w:tc>
        <w:tc>
          <w:tcPr>
            <w:tcW w:w="2126" w:type="dxa"/>
            <w:tcBorders>
              <w:top w:val="single" w:sz="2" w:space="0" w:color="auto"/>
              <w:left w:val="single" w:sz="2" w:space="0" w:color="auto"/>
              <w:bottom w:val="single" w:sz="2" w:space="0" w:color="auto"/>
              <w:right w:val="single" w:sz="2" w:space="0" w:color="auto"/>
            </w:tcBorders>
            <w:vAlign w:val="center"/>
          </w:tcPr>
          <w:p w14:paraId="11186DA9"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23</w:t>
            </w:r>
            <w:r w:rsidRPr="005A284F">
              <w:rPr>
                <w:rFonts w:ascii="Times New Roman" w:eastAsia="宋体" w:hAnsi="Times New Roman" w:cs="Times New Roman"/>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7133984D" w14:textId="77777777" w:rsidR="006C011D" w:rsidRPr="005A284F" w:rsidRDefault="00000000" w:rsidP="009E68B2">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10</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21</w:t>
            </w:r>
            <w:r w:rsidRPr="005A284F">
              <w:rPr>
                <w:rFonts w:ascii="Times New Roman" w:eastAsia="宋体" w:hAnsi="Times New Roman" w:cs="Times New Roman"/>
                <w:sz w:val="18"/>
                <w:szCs w:val="18"/>
              </w:rPr>
              <w:t>日</w:t>
            </w:r>
          </w:p>
        </w:tc>
        <w:tc>
          <w:tcPr>
            <w:tcW w:w="1386" w:type="dxa"/>
            <w:tcBorders>
              <w:top w:val="single" w:sz="2" w:space="0" w:color="auto"/>
              <w:left w:val="single" w:sz="2" w:space="0" w:color="auto"/>
              <w:bottom w:val="single" w:sz="2" w:space="0" w:color="auto"/>
              <w:right w:val="single" w:sz="2" w:space="0" w:color="auto"/>
            </w:tcBorders>
            <w:vAlign w:val="center"/>
          </w:tcPr>
          <w:p w14:paraId="6366ACBE" w14:textId="77777777" w:rsidR="006C011D" w:rsidRPr="005A284F" w:rsidRDefault="00000000" w:rsidP="003524E1">
            <w:pPr>
              <w:spacing w:after="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否</w:t>
            </w:r>
          </w:p>
        </w:tc>
      </w:tr>
    </w:tbl>
    <w:p w14:paraId="4CC9CE59"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关联担保情况说明</w:t>
      </w:r>
    </w:p>
    <w:p w14:paraId="74FDFE60" w14:textId="77777777" w:rsidR="000309B5" w:rsidRPr="005A284F" w:rsidRDefault="00000000">
      <w:pPr>
        <w:pStyle w:val="a3"/>
        <w:divId w:val="1060784065"/>
        <w:rPr>
          <w:rFonts w:ascii="Times New Roman" w:hAnsi="Times New Roman" w:cs="Times New Roman"/>
          <w:sz w:val="18"/>
          <w:szCs w:val="18"/>
        </w:rPr>
      </w:pPr>
      <w:r w:rsidRPr="005A284F">
        <w:rPr>
          <w:rFonts w:ascii="Times New Roman" w:hAnsi="Times New Roman" w:cs="Times New Roman"/>
          <w:sz w:val="18"/>
          <w:szCs w:val="18"/>
        </w:rPr>
        <w:t>无</w:t>
      </w:r>
    </w:p>
    <w:p w14:paraId="4F14A51B" w14:textId="66D94A15" w:rsidR="006C011D" w:rsidRDefault="00000000">
      <w:pPr>
        <w:keepNext/>
        <w:keepLines/>
        <w:spacing w:before="300" w:after="300" w:line="280" w:lineRule="exact"/>
        <w:outlineLvl w:val="3"/>
        <w:rPr>
          <w:rFonts w:ascii="Times New Roman" w:eastAsia="宋体" w:hAnsi="Times New Roman" w:cs="Times New Roman"/>
          <w:b/>
          <w:bCs/>
          <w:sz w:val="21"/>
          <w:szCs w:val="21"/>
        </w:rPr>
      </w:pPr>
      <w:bookmarkStart w:id="415" w:name="_Toc989368"/>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5</w:t>
      </w:r>
      <w:r w:rsidRPr="005A284F">
        <w:rPr>
          <w:rFonts w:ascii="Times New Roman" w:eastAsia="宋体" w:hAnsi="Times New Roman" w:cs="Times New Roman"/>
          <w:b/>
          <w:bCs/>
          <w:sz w:val="21"/>
          <w:szCs w:val="21"/>
        </w:rPr>
        <w:t>）关联方资金拆借</w:t>
      </w:r>
      <w:bookmarkEnd w:id="415"/>
    </w:p>
    <w:p w14:paraId="3AC58442" w14:textId="77777777" w:rsidR="003524E1" w:rsidRPr="005A284F" w:rsidRDefault="003524E1" w:rsidP="003524E1">
      <w:pPr>
        <w:pStyle w:val="a3"/>
        <w:rPr>
          <w:rFonts w:ascii="Times New Roman" w:hAnsi="Times New Roman" w:cs="Times New Roman"/>
          <w:sz w:val="18"/>
          <w:szCs w:val="18"/>
        </w:rPr>
      </w:pPr>
      <w:bookmarkStart w:id="416" w:name="_Toc989369"/>
      <w:r w:rsidRPr="005A284F">
        <w:rPr>
          <w:rFonts w:ascii="Times New Roman" w:hAnsi="Times New Roman" w:cs="Times New Roman"/>
          <w:sz w:val="18"/>
          <w:szCs w:val="18"/>
        </w:rPr>
        <w:t>无</w:t>
      </w:r>
    </w:p>
    <w:p w14:paraId="484379FE" w14:textId="7506967B" w:rsidR="006C011D" w:rsidRDefault="00000000">
      <w:pPr>
        <w:keepNext/>
        <w:keepLines/>
        <w:spacing w:before="300" w:after="300" w:line="280" w:lineRule="exact"/>
        <w:outlineLvl w:val="3"/>
        <w:rPr>
          <w:rFonts w:ascii="Times New Roman" w:eastAsia="宋体" w:hAnsi="Times New Roman" w:cs="Times New Roman"/>
          <w:b/>
          <w:bCs/>
          <w:sz w:val="21"/>
          <w:szCs w:val="21"/>
        </w:rPr>
      </w:pPr>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6</w:t>
      </w:r>
      <w:r w:rsidRPr="005A284F">
        <w:rPr>
          <w:rFonts w:ascii="Times New Roman" w:eastAsia="宋体" w:hAnsi="Times New Roman" w:cs="Times New Roman"/>
          <w:b/>
          <w:bCs/>
          <w:sz w:val="21"/>
          <w:szCs w:val="21"/>
        </w:rPr>
        <w:t>）关联方资产转让、债务重组情况</w:t>
      </w:r>
      <w:bookmarkEnd w:id="416"/>
    </w:p>
    <w:p w14:paraId="5B6620D2" w14:textId="18C7F462" w:rsidR="003524E1" w:rsidRPr="003524E1" w:rsidRDefault="003524E1" w:rsidP="003524E1">
      <w:pPr>
        <w:pStyle w:val="a3"/>
        <w:rPr>
          <w:rFonts w:ascii="Times New Roman" w:hAnsi="Times New Roman" w:cs="Times New Roman"/>
          <w:sz w:val="18"/>
          <w:szCs w:val="18"/>
        </w:rPr>
      </w:pPr>
      <w:r w:rsidRPr="005A284F">
        <w:rPr>
          <w:rFonts w:ascii="Times New Roman" w:hAnsi="Times New Roman" w:cs="Times New Roman"/>
          <w:sz w:val="18"/>
          <w:szCs w:val="18"/>
        </w:rPr>
        <w:t>无</w:t>
      </w:r>
    </w:p>
    <w:p w14:paraId="1BEC7ACB" w14:textId="49F70547"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417" w:name="_Toc989370"/>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7</w:t>
      </w:r>
      <w:r w:rsidRPr="005A284F">
        <w:rPr>
          <w:rFonts w:ascii="Times New Roman" w:eastAsia="宋体" w:hAnsi="Times New Roman" w:cs="Times New Roman"/>
          <w:b/>
          <w:bCs/>
          <w:sz w:val="21"/>
          <w:szCs w:val="21"/>
        </w:rPr>
        <w:t>）关键管理人员报酬</w:t>
      </w:r>
      <w:bookmarkEnd w:id="417"/>
    </w:p>
    <w:p w14:paraId="5A2F817B"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1199FC0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872D5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E249E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39F5D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上期发生额</w:t>
            </w:r>
          </w:p>
        </w:tc>
      </w:tr>
      <w:tr w:rsidR="006C011D" w:rsidRPr="005A284F" w14:paraId="2F5E019F"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B672D6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关键管理人员报酬</w:t>
            </w:r>
          </w:p>
        </w:tc>
        <w:tc>
          <w:tcPr>
            <w:tcW w:w="3213" w:type="dxa"/>
            <w:tcBorders>
              <w:top w:val="single" w:sz="2" w:space="0" w:color="auto"/>
              <w:left w:val="single" w:sz="2" w:space="0" w:color="auto"/>
              <w:bottom w:val="single" w:sz="2" w:space="0" w:color="auto"/>
              <w:right w:val="single" w:sz="2" w:space="0" w:color="auto"/>
            </w:tcBorders>
            <w:vAlign w:val="center"/>
          </w:tcPr>
          <w:p w14:paraId="2045A87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1,468,905.46</w:t>
            </w:r>
          </w:p>
        </w:tc>
        <w:tc>
          <w:tcPr>
            <w:tcW w:w="3213" w:type="dxa"/>
            <w:tcBorders>
              <w:top w:val="single" w:sz="2" w:space="0" w:color="auto"/>
              <w:left w:val="single" w:sz="2" w:space="0" w:color="auto"/>
              <w:bottom w:val="single" w:sz="2" w:space="0" w:color="auto"/>
              <w:right w:val="single" w:sz="2" w:space="0" w:color="auto"/>
            </w:tcBorders>
            <w:vAlign w:val="center"/>
          </w:tcPr>
          <w:p w14:paraId="2B5D24E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1,215,071.60</w:t>
            </w:r>
          </w:p>
        </w:tc>
      </w:tr>
    </w:tbl>
    <w:p w14:paraId="4470F7B8" w14:textId="67F0BC9C"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418" w:name="_Toc989371"/>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8</w:t>
      </w:r>
      <w:r w:rsidRPr="005A284F">
        <w:rPr>
          <w:rFonts w:ascii="Times New Roman" w:eastAsia="宋体" w:hAnsi="Times New Roman" w:cs="Times New Roman"/>
          <w:b/>
          <w:bCs/>
          <w:sz w:val="21"/>
          <w:szCs w:val="21"/>
        </w:rPr>
        <w:t>）其他关联交易</w:t>
      </w:r>
      <w:bookmarkEnd w:id="418"/>
    </w:p>
    <w:p w14:paraId="64FF5557" w14:textId="58852063" w:rsidR="000309B5" w:rsidRPr="005A284F" w:rsidRDefault="00000000">
      <w:pPr>
        <w:pStyle w:val="a3"/>
        <w:spacing w:before="0" w:beforeAutospacing="0" w:after="0" w:afterAutospacing="0"/>
        <w:divId w:val="744500622"/>
        <w:rPr>
          <w:rFonts w:ascii="Times New Roman" w:hAnsi="Times New Roman" w:cs="Times New Roman"/>
          <w:sz w:val="21"/>
          <w:szCs w:val="21"/>
        </w:rPr>
      </w:pPr>
      <w:r w:rsidRPr="005A284F">
        <w:rPr>
          <w:rFonts w:ascii="Times New Roman" w:hAnsi="Times New Roman" w:cs="Times New Roman"/>
          <w:sz w:val="18"/>
          <w:szCs w:val="18"/>
        </w:rPr>
        <w:t>利息收入</w:t>
      </w:r>
      <w:r w:rsidR="003101BC">
        <w:rPr>
          <w:rFonts w:ascii="Times New Roman" w:hAnsi="Times New Roman" w:cs="Times New Roman" w:hint="eastAsia"/>
          <w:sz w:val="21"/>
          <w:szCs w:val="21"/>
        </w:rPr>
        <w:t xml:space="preserve">                                                                                                                                                        </w:t>
      </w:r>
      <w:r w:rsidRPr="005A284F">
        <w:rPr>
          <w:rFonts w:ascii="Times New Roman" w:hAnsi="Times New Roman" w:cs="Times New Roman"/>
          <w:sz w:val="18"/>
          <w:szCs w:val="18"/>
        </w:rPr>
        <w:t>单位：元</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1"/>
        <w:gridCol w:w="1742"/>
        <w:gridCol w:w="2374"/>
        <w:gridCol w:w="2438"/>
      </w:tblGrid>
      <w:tr w:rsidR="000309B5" w:rsidRPr="003101BC" w14:paraId="6D0D596A" w14:textId="77777777" w:rsidTr="003101BC">
        <w:trPr>
          <w:divId w:val="744500622"/>
          <w:trHeight w:val="340"/>
        </w:trPr>
        <w:tc>
          <w:tcPr>
            <w:tcW w:w="1559" w:type="pct"/>
            <w:tcMar>
              <w:top w:w="0" w:type="dxa"/>
              <w:left w:w="108" w:type="dxa"/>
              <w:bottom w:w="0" w:type="dxa"/>
              <w:right w:w="108" w:type="dxa"/>
            </w:tcMar>
            <w:vAlign w:val="center"/>
            <w:hideMark/>
          </w:tcPr>
          <w:p w14:paraId="3279CD83" w14:textId="77777777" w:rsidR="000309B5" w:rsidRPr="003101BC" w:rsidRDefault="00000000">
            <w:pPr>
              <w:pStyle w:val="a3"/>
              <w:spacing w:before="0" w:beforeAutospacing="0" w:after="0" w:afterAutospacing="0"/>
              <w:jc w:val="center"/>
              <w:rPr>
                <w:rFonts w:ascii="Times New Roman" w:hAnsi="Times New Roman" w:cs="Times New Roman"/>
                <w:sz w:val="18"/>
                <w:szCs w:val="18"/>
              </w:rPr>
            </w:pPr>
            <w:r w:rsidRPr="003101BC">
              <w:rPr>
                <w:rFonts w:ascii="Times New Roman" w:hAnsi="Times New Roman" w:cs="Times New Roman"/>
                <w:sz w:val="18"/>
                <w:szCs w:val="18"/>
              </w:rPr>
              <w:t>关联方</w:t>
            </w:r>
          </w:p>
        </w:tc>
        <w:tc>
          <w:tcPr>
            <w:tcW w:w="914" w:type="pct"/>
            <w:tcMar>
              <w:top w:w="0" w:type="dxa"/>
              <w:left w:w="108" w:type="dxa"/>
              <w:bottom w:w="0" w:type="dxa"/>
              <w:right w:w="108" w:type="dxa"/>
            </w:tcMar>
            <w:vAlign w:val="center"/>
            <w:hideMark/>
          </w:tcPr>
          <w:p w14:paraId="05CDEB71" w14:textId="77777777" w:rsidR="000309B5" w:rsidRPr="003101BC" w:rsidRDefault="00000000">
            <w:pPr>
              <w:pStyle w:val="a3"/>
              <w:spacing w:before="0" w:beforeAutospacing="0" w:after="0" w:afterAutospacing="0"/>
              <w:jc w:val="center"/>
              <w:rPr>
                <w:rFonts w:ascii="Times New Roman" w:hAnsi="Times New Roman" w:cs="Times New Roman"/>
                <w:sz w:val="18"/>
                <w:szCs w:val="18"/>
              </w:rPr>
            </w:pPr>
            <w:r w:rsidRPr="003101BC">
              <w:rPr>
                <w:rFonts w:ascii="Times New Roman" w:hAnsi="Times New Roman" w:cs="Times New Roman"/>
                <w:sz w:val="18"/>
                <w:szCs w:val="18"/>
              </w:rPr>
              <w:t>关联交易内容</w:t>
            </w:r>
          </w:p>
        </w:tc>
        <w:tc>
          <w:tcPr>
            <w:tcW w:w="1245" w:type="pct"/>
            <w:tcMar>
              <w:top w:w="0" w:type="dxa"/>
              <w:left w:w="108" w:type="dxa"/>
              <w:bottom w:w="0" w:type="dxa"/>
              <w:right w:w="108" w:type="dxa"/>
            </w:tcMar>
            <w:vAlign w:val="center"/>
            <w:hideMark/>
          </w:tcPr>
          <w:p w14:paraId="47CE0127" w14:textId="77777777" w:rsidR="000309B5" w:rsidRPr="003101BC" w:rsidRDefault="00000000">
            <w:pPr>
              <w:pStyle w:val="a3"/>
              <w:spacing w:before="0" w:beforeAutospacing="0" w:after="0" w:afterAutospacing="0"/>
              <w:jc w:val="center"/>
              <w:rPr>
                <w:rFonts w:ascii="Times New Roman" w:hAnsi="Times New Roman" w:cs="Times New Roman"/>
                <w:sz w:val="18"/>
                <w:szCs w:val="18"/>
              </w:rPr>
            </w:pPr>
            <w:r w:rsidRPr="003101BC">
              <w:rPr>
                <w:rFonts w:ascii="Times New Roman" w:hAnsi="Times New Roman" w:cs="Times New Roman"/>
                <w:sz w:val="18"/>
                <w:szCs w:val="18"/>
              </w:rPr>
              <w:t>本年发生额</w:t>
            </w:r>
          </w:p>
        </w:tc>
        <w:tc>
          <w:tcPr>
            <w:tcW w:w="1279" w:type="pct"/>
            <w:tcMar>
              <w:top w:w="0" w:type="dxa"/>
              <w:left w:w="108" w:type="dxa"/>
              <w:bottom w:w="0" w:type="dxa"/>
              <w:right w:w="108" w:type="dxa"/>
            </w:tcMar>
            <w:vAlign w:val="center"/>
            <w:hideMark/>
          </w:tcPr>
          <w:p w14:paraId="450F0A5D" w14:textId="77777777" w:rsidR="000309B5" w:rsidRPr="003101BC" w:rsidRDefault="00000000">
            <w:pPr>
              <w:pStyle w:val="a3"/>
              <w:spacing w:before="0" w:beforeAutospacing="0" w:after="0" w:afterAutospacing="0"/>
              <w:jc w:val="center"/>
              <w:rPr>
                <w:rFonts w:ascii="Times New Roman" w:hAnsi="Times New Roman" w:cs="Times New Roman"/>
                <w:sz w:val="18"/>
                <w:szCs w:val="18"/>
              </w:rPr>
            </w:pPr>
            <w:r w:rsidRPr="003101BC">
              <w:rPr>
                <w:rFonts w:ascii="Times New Roman" w:hAnsi="Times New Roman" w:cs="Times New Roman"/>
                <w:sz w:val="18"/>
                <w:szCs w:val="18"/>
              </w:rPr>
              <w:t>上期发生额</w:t>
            </w:r>
          </w:p>
        </w:tc>
      </w:tr>
      <w:tr w:rsidR="000309B5" w:rsidRPr="003101BC" w14:paraId="3ECCE611" w14:textId="77777777" w:rsidTr="003101BC">
        <w:trPr>
          <w:divId w:val="744500622"/>
          <w:trHeight w:val="340"/>
        </w:trPr>
        <w:tc>
          <w:tcPr>
            <w:tcW w:w="1559" w:type="pct"/>
            <w:noWrap/>
            <w:tcMar>
              <w:top w:w="0" w:type="dxa"/>
              <w:left w:w="108" w:type="dxa"/>
              <w:bottom w:w="0" w:type="dxa"/>
              <w:right w:w="108" w:type="dxa"/>
            </w:tcMar>
            <w:vAlign w:val="center"/>
            <w:hideMark/>
          </w:tcPr>
          <w:p w14:paraId="342C2A39" w14:textId="77777777" w:rsidR="000309B5" w:rsidRPr="003101BC" w:rsidRDefault="00000000">
            <w:pPr>
              <w:pStyle w:val="a3"/>
              <w:spacing w:before="0" w:beforeAutospacing="0" w:after="0" w:afterAutospacing="0"/>
              <w:rPr>
                <w:rFonts w:ascii="Times New Roman" w:hAnsi="Times New Roman" w:cs="Times New Roman"/>
                <w:sz w:val="18"/>
                <w:szCs w:val="18"/>
              </w:rPr>
            </w:pPr>
            <w:r w:rsidRPr="003101BC">
              <w:rPr>
                <w:rFonts w:ascii="Times New Roman" w:hAnsi="Times New Roman" w:cs="Times New Roman"/>
                <w:sz w:val="18"/>
                <w:szCs w:val="18"/>
              </w:rPr>
              <w:t>达州银行股份有限公司</w:t>
            </w:r>
          </w:p>
        </w:tc>
        <w:tc>
          <w:tcPr>
            <w:tcW w:w="914" w:type="pct"/>
            <w:noWrap/>
            <w:tcMar>
              <w:top w:w="0" w:type="dxa"/>
              <w:left w:w="108" w:type="dxa"/>
              <w:bottom w:w="0" w:type="dxa"/>
              <w:right w:w="108" w:type="dxa"/>
            </w:tcMar>
            <w:vAlign w:val="center"/>
            <w:hideMark/>
          </w:tcPr>
          <w:p w14:paraId="1D5CAA25" w14:textId="77777777" w:rsidR="000309B5" w:rsidRPr="003101BC" w:rsidRDefault="00000000">
            <w:pPr>
              <w:pStyle w:val="a3"/>
              <w:spacing w:before="0" w:beforeAutospacing="0" w:after="0" w:afterAutospacing="0"/>
              <w:jc w:val="center"/>
              <w:rPr>
                <w:rFonts w:ascii="Times New Roman" w:hAnsi="Times New Roman" w:cs="Times New Roman"/>
                <w:sz w:val="18"/>
                <w:szCs w:val="18"/>
              </w:rPr>
            </w:pPr>
            <w:r w:rsidRPr="003101BC">
              <w:rPr>
                <w:rFonts w:ascii="Times New Roman" w:hAnsi="Times New Roman" w:cs="Times New Roman"/>
                <w:sz w:val="18"/>
                <w:szCs w:val="18"/>
              </w:rPr>
              <w:t>利息收入</w:t>
            </w:r>
          </w:p>
        </w:tc>
        <w:tc>
          <w:tcPr>
            <w:tcW w:w="1245" w:type="pct"/>
            <w:noWrap/>
            <w:tcMar>
              <w:top w:w="0" w:type="dxa"/>
              <w:left w:w="108" w:type="dxa"/>
              <w:bottom w:w="0" w:type="dxa"/>
              <w:right w:w="108" w:type="dxa"/>
            </w:tcMar>
            <w:vAlign w:val="center"/>
            <w:hideMark/>
          </w:tcPr>
          <w:p w14:paraId="06F81454" w14:textId="77777777" w:rsidR="000309B5" w:rsidRPr="00D81019" w:rsidRDefault="00000000" w:rsidP="00D81019">
            <w:pPr>
              <w:pStyle w:val="a3"/>
              <w:spacing w:before="0" w:beforeAutospacing="0" w:after="0" w:afterAutospacing="0"/>
              <w:jc w:val="center"/>
              <w:rPr>
                <w:rFonts w:ascii="Times New Roman" w:hAnsi="Times New Roman" w:cs="Times New Roman"/>
                <w:color w:val="000000"/>
                <w:sz w:val="18"/>
                <w:szCs w:val="18"/>
              </w:rPr>
            </w:pPr>
            <w:r w:rsidRPr="00D81019">
              <w:rPr>
                <w:rFonts w:ascii="Times New Roman" w:hAnsi="Times New Roman" w:cs="Times New Roman"/>
                <w:color w:val="000000"/>
                <w:sz w:val="18"/>
                <w:szCs w:val="18"/>
              </w:rPr>
              <w:t>419,029.58</w:t>
            </w:r>
          </w:p>
        </w:tc>
        <w:tc>
          <w:tcPr>
            <w:tcW w:w="1279" w:type="pct"/>
            <w:noWrap/>
            <w:tcMar>
              <w:top w:w="0" w:type="dxa"/>
              <w:left w:w="108" w:type="dxa"/>
              <w:bottom w:w="0" w:type="dxa"/>
              <w:right w:w="108" w:type="dxa"/>
            </w:tcMar>
            <w:vAlign w:val="center"/>
            <w:hideMark/>
          </w:tcPr>
          <w:p w14:paraId="7630878B" w14:textId="126FD951" w:rsidR="000309B5" w:rsidRPr="003101BC" w:rsidRDefault="00000000" w:rsidP="003101BC">
            <w:pPr>
              <w:pStyle w:val="a3"/>
              <w:spacing w:before="0" w:beforeAutospacing="0" w:after="0" w:afterAutospacing="0"/>
              <w:jc w:val="center"/>
              <w:rPr>
                <w:rFonts w:ascii="Times New Roman" w:hAnsi="Times New Roman" w:cs="Times New Roman"/>
                <w:sz w:val="18"/>
                <w:szCs w:val="18"/>
              </w:rPr>
            </w:pPr>
            <w:r w:rsidRPr="003101BC">
              <w:rPr>
                <w:rFonts w:ascii="Times New Roman" w:hAnsi="Times New Roman" w:cs="Times New Roman"/>
                <w:color w:val="000000"/>
                <w:sz w:val="18"/>
                <w:szCs w:val="18"/>
              </w:rPr>
              <w:t>7,895,700.07</w:t>
            </w:r>
          </w:p>
        </w:tc>
      </w:tr>
    </w:tbl>
    <w:p w14:paraId="68C5801F" w14:textId="77777777" w:rsidR="006C011D" w:rsidRPr="005A284F" w:rsidRDefault="00000000">
      <w:pPr>
        <w:pStyle w:val="3"/>
        <w:spacing w:line="280" w:lineRule="exact"/>
        <w:jc w:val="left"/>
        <w:rPr>
          <w:rFonts w:ascii="Times New Roman" w:hAnsi="Times New Roman" w:cs="Times New Roman"/>
          <w:b/>
          <w:bCs/>
        </w:rPr>
      </w:pPr>
      <w:bookmarkStart w:id="419" w:name="_Toc989372"/>
      <w:r w:rsidRPr="005A284F">
        <w:rPr>
          <w:rFonts w:ascii="Times New Roman" w:hAnsi="Times New Roman" w:cs="Times New Roman"/>
          <w:b/>
          <w:bCs/>
        </w:rPr>
        <w:lastRenderedPageBreak/>
        <w:t>6</w:t>
      </w:r>
      <w:r w:rsidRPr="005A284F">
        <w:rPr>
          <w:rFonts w:ascii="Times New Roman" w:hAnsi="Times New Roman" w:cs="Times New Roman"/>
          <w:b/>
          <w:bCs/>
        </w:rPr>
        <w:t>、关联方应收应付款项</w:t>
      </w:r>
      <w:bookmarkEnd w:id="419"/>
    </w:p>
    <w:p w14:paraId="7BD11354" w14:textId="198091C1"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420" w:name="_Toc989373"/>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1</w:t>
      </w:r>
      <w:r w:rsidRPr="005A284F">
        <w:rPr>
          <w:rFonts w:ascii="Times New Roman" w:eastAsia="宋体" w:hAnsi="Times New Roman" w:cs="Times New Roman"/>
          <w:b/>
          <w:bCs/>
          <w:sz w:val="21"/>
          <w:szCs w:val="21"/>
        </w:rPr>
        <w:t>）应收项目</w:t>
      </w:r>
      <w:bookmarkEnd w:id="420"/>
    </w:p>
    <w:p w14:paraId="1EDF7734" w14:textId="2F7632A6"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7"/>
        <w:gridCol w:w="1606"/>
        <w:gridCol w:w="1606"/>
        <w:gridCol w:w="1607"/>
        <w:gridCol w:w="1606"/>
        <w:gridCol w:w="1607"/>
      </w:tblGrid>
      <w:tr w:rsidR="006C011D" w:rsidRPr="005A284F" w14:paraId="7F756F23" w14:textId="77777777">
        <w:trPr>
          <w:trHeight w:val="240"/>
        </w:trPr>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DECB8C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项目名称</w:t>
            </w:r>
          </w:p>
        </w:tc>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D791DD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关联方</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A7B2EB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2BB88A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r>
      <w:tr w:rsidR="006C011D" w:rsidRPr="005A284F" w14:paraId="11C7EF0F" w14:textId="77777777">
        <w:trPr>
          <w:trHeight w:val="240"/>
        </w:trPr>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7358C12" w14:textId="77777777" w:rsidR="006C011D" w:rsidRPr="005A284F" w:rsidRDefault="006C011D">
            <w:pPr>
              <w:rPr>
                <w:rFonts w:ascii="Times New Roman" w:eastAsia="宋体" w:hAnsi="Times New Roman" w:cs="Times New Roman"/>
              </w:rPr>
            </w:pPr>
          </w:p>
        </w:tc>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C4B8035" w14:textId="77777777" w:rsidR="006C011D" w:rsidRPr="005A284F" w:rsidRDefault="006C011D">
            <w:pPr>
              <w:rPr>
                <w:rFonts w:ascii="Times New Roman" w:eastAsia="宋体" w:hAnsi="Times New Roman" w:cs="Times New Roman"/>
              </w:rPr>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78239C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9EFA74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坏账准备</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9F0ADF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14F143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坏账准备</w:t>
            </w:r>
          </w:p>
        </w:tc>
      </w:tr>
      <w:tr w:rsidR="006C011D" w:rsidRPr="005A284F" w14:paraId="06F2D589"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E2ABAD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应收账款</w:t>
            </w:r>
          </w:p>
        </w:tc>
        <w:tc>
          <w:tcPr>
            <w:tcW w:w="1606" w:type="dxa"/>
            <w:tcBorders>
              <w:top w:val="single" w:sz="2" w:space="0" w:color="auto"/>
              <w:left w:val="single" w:sz="2" w:space="0" w:color="auto"/>
              <w:bottom w:val="single" w:sz="2" w:space="0" w:color="auto"/>
              <w:right w:val="single" w:sz="2" w:space="0" w:color="auto"/>
            </w:tcBorders>
            <w:vAlign w:val="center"/>
          </w:tcPr>
          <w:p w14:paraId="084E79E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蓝润发展控股集团有限公司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45A7B52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DDCE33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E05BD9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100,000.00</w:t>
            </w:r>
          </w:p>
        </w:tc>
        <w:tc>
          <w:tcPr>
            <w:tcW w:w="1606" w:type="dxa"/>
            <w:tcBorders>
              <w:top w:val="single" w:sz="2" w:space="0" w:color="auto"/>
              <w:left w:val="single" w:sz="2" w:space="0" w:color="auto"/>
              <w:bottom w:val="single" w:sz="2" w:space="0" w:color="auto"/>
              <w:right w:val="single" w:sz="2" w:space="0" w:color="auto"/>
            </w:tcBorders>
            <w:vAlign w:val="center"/>
          </w:tcPr>
          <w:p w14:paraId="2D468F4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2,250.00</w:t>
            </w:r>
          </w:p>
        </w:tc>
      </w:tr>
      <w:tr w:rsidR="006C011D" w:rsidRPr="005A284F" w14:paraId="4C3093C3"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2CF6943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应收账款</w:t>
            </w:r>
          </w:p>
        </w:tc>
        <w:tc>
          <w:tcPr>
            <w:tcW w:w="1606" w:type="dxa"/>
            <w:tcBorders>
              <w:top w:val="single" w:sz="2" w:space="0" w:color="auto"/>
              <w:left w:val="single" w:sz="2" w:space="0" w:color="auto"/>
              <w:bottom w:val="single" w:sz="2" w:space="0" w:color="auto"/>
              <w:right w:val="single" w:sz="2" w:space="0" w:color="auto"/>
            </w:tcBorders>
            <w:vAlign w:val="center"/>
          </w:tcPr>
          <w:p w14:paraId="0AA15C6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五仓农牧集团有限公司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6B627B0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11,032.20</w:t>
            </w:r>
          </w:p>
        </w:tc>
        <w:tc>
          <w:tcPr>
            <w:tcW w:w="1606" w:type="dxa"/>
            <w:tcBorders>
              <w:top w:val="single" w:sz="2" w:space="0" w:color="auto"/>
              <w:left w:val="single" w:sz="2" w:space="0" w:color="auto"/>
              <w:bottom w:val="single" w:sz="2" w:space="0" w:color="auto"/>
              <w:right w:val="single" w:sz="2" w:space="0" w:color="auto"/>
            </w:tcBorders>
            <w:vAlign w:val="center"/>
          </w:tcPr>
          <w:p w14:paraId="3C16FB2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248.22</w:t>
            </w:r>
          </w:p>
        </w:tc>
        <w:tc>
          <w:tcPr>
            <w:tcW w:w="1606" w:type="dxa"/>
            <w:tcBorders>
              <w:top w:val="single" w:sz="2" w:space="0" w:color="auto"/>
              <w:left w:val="single" w:sz="2" w:space="0" w:color="auto"/>
              <w:bottom w:val="single" w:sz="2" w:space="0" w:color="auto"/>
              <w:right w:val="single" w:sz="2" w:space="0" w:color="auto"/>
            </w:tcBorders>
            <w:vAlign w:val="center"/>
          </w:tcPr>
          <w:p w14:paraId="58AD32B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11,032.20</w:t>
            </w:r>
          </w:p>
        </w:tc>
        <w:tc>
          <w:tcPr>
            <w:tcW w:w="1606" w:type="dxa"/>
            <w:tcBorders>
              <w:top w:val="single" w:sz="2" w:space="0" w:color="auto"/>
              <w:left w:val="single" w:sz="2" w:space="0" w:color="auto"/>
              <w:bottom w:val="single" w:sz="2" w:space="0" w:color="auto"/>
              <w:right w:val="single" w:sz="2" w:space="0" w:color="auto"/>
            </w:tcBorders>
            <w:vAlign w:val="center"/>
          </w:tcPr>
          <w:p w14:paraId="077FC83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248.22</w:t>
            </w:r>
          </w:p>
        </w:tc>
      </w:tr>
      <w:tr w:rsidR="006C011D" w:rsidRPr="005A284F" w14:paraId="4EC16037"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7EA1790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应收账款</w:t>
            </w:r>
          </w:p>
        </w:tc>
        <w:tc>
          <w:tcPr>
            <w:tcW w:w="1606" w:type="dxa"/>
            <w:tcBorders>
              <w:top w:val="single" w:sz="2" w:space="0" w:color="auto"/>
              <w:left w:val="single" w:sz="2" w:space="0" w:color="auto"/>
              <w:bottom w:val="single" w:sz="2" w:space="0" w:color="auto"/>
              <w:right w:val="single" w:sz="2" w:space="0" w:color="auto"/>
            </w:tcBorders>
            <w:vAlign w:val="center"/>
          </w:tcPr>
          <w:p w14:paraId="13ABFB0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巴中五仓宝裕农牧有限公司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47CAD38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17,954.00</w:t>
            </w:r>
          </w:p>
        </w:tc>
        <w:tc>
          <w:tcPr>
            <w:tcW w:w="1606" w:type="dxa"/>
            <w:tcBorders>
              <w:top w:val="single" w:sz="2" w:space="0" w:color="auto"/>
              <w:left w:val="single" w:sz="2" w:space="0" w:color="auto"/>
              <w:bottom w:val="single" w:sz="2" w:space="0" w:color="auto"/>
              <w:right w:val="single" w:sz="2" w:space="0" w:color="auto"/>
            </w:tcBorders>
            <w:vAlign w:val="center"/>
          </w:tcPr>
          <w:p w14:paraId="4B229A0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403.97</w:t>
            </w:r>
          </w:p>
        </w:tc>
        <w:tc>
          <w:tcPr>
            <w:tcW w:w="1606" w:type="dxa"/>
            <w:tcBorders>
              <w:top w:val="single" w:sz="2" w:space="0" w:color="auto"/>
              <w:left w:val="single" w:sz="2" w:space="0" w:color="auto"/>
              <w:bottom w:val="single" w:sz="2" w:space="0" w:color="auto"/>
              <w:right w:val="single" w:sz="2" w:space="0" w:color="auto"/>
            </w:tcBorders>
            <w:vAlign w:val="center"/>
          </w:tcPr>
          <w:p w14:paraId="097C7F5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17,954.00</w:t>
            </w:r>
          </w:p>
        </w:tc>
        <w:tc>
          <w:tcPr>
            <w:tcW w:w="1606" w:type="dxa"/>
            <w:tcBorders>
              <w:top w:val="single" w:sz="2" w:space="0" w:color="auto"/>
              <w:left w:val="single" w:sz="2" w:space="0" w:color="auto"/>
              <w:bottom w:val="single" w:sz="2" w:space="0" w:color="auto"/>
              <w:right w:val="single" w:sz="2" w:space="0" w:color="auto"/>
            </w:tcBorders>
            <w:vAlign w:val="center"/>
          </w:tcPr>
          <w:p w14:paraId="082D592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403.97</w:t>
            </w:r>
          </w:p>
        </w:tc>
      </w:tr>
      <w:tr w:rsidR="006C011D" w:rsidRPr="005A284F" w14:paraId="5B5A770E"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B95094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应收账款</w:t>
            </w:r>
          </w:p>
        </w:tc>
        <w:tc>
          <w:tcPr>
            <w:tcW w:w="1606" w:type="dxa"/>
            <w:tcBorders>
              <w:top w:val="single" w:sz="2" w:space="0" w:color="auto"/>
              <w:left w:val="single" w:sz="2" w:space="0" w:color="auto"/>
              <w:bottom w:val="single" w:sz="2" w:space="0" w:color="auto"/>
              <w:right w:val="single" w:sz="2" w:space="0" w:color="auto"/>
            </w:tcBorders>
            <w:vAlign w:val="center"/>
          </w:tcPr>
          <w:p w14:paraId="4F91C6D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西充五仓宝廪农牧有限公司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26858B5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45,317.00</w:t>
            </w:r>
          </w:p>
        </w:tc>
        <w:tc>
          <w:tcPr>
            <w:tcW w:w="1606" w:type="dxa"/>
            <w:tcBorders>
              <w:top w:val="single" w:sz="2" w:space="0" w:color="auto"/>
              <w:left w:val="single" w:sz="2" w:space="0" w:color="auto"/>
              <w:bottom w:val="single" w:sz="2" w:space="0" w:color="auto"/>
              <w:right w:val="single" w:sz="2" w:space="0" w:color="auto"/>
            </w:tcBorders>
            <w:vAlign w:val="center"/>
          </w:tcPr>
          <w:p w14:paraId="6C4001D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1,019.63</w:t>
            </w:r>
          </w:p>
        </w:tc>
        <w:tc>
          <w:tcPr>
            <w:tcW w:w="1606" w:type="dxa"/>
            <w:tcBorders>
              <w:top w:val="single" w:sz="2" w:space="0" w:color="auto"/>
              <w:left w:val="single" w:sz="2" w:space="0" w:color="auto"/>
              <w:bottom w:val="single" w:sz="2" w:space="0" w:color="auto"/>
              <w:right w:val="single" w:sz="2" w:space="0" w:color="auto"/>
            </w:tcBorders>
            <w:vAlign w:val="center"/>
          </w:tcPr>
          <w:p w14:paraId="6E928E0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45,317.00</w:t>
            </w:r>
          </w:p>
        </w:tc>
        <w:tc>
          <w:tcPr>
            <w:tcW w:w="1606" w:type="dxa"/>
            <w:tcBorders>
              <w:top w:val="single" w:sz="2" w:space="0" w:color="auto"/>
              <w:left w:val="single" w:sz="2" w:space="0" w:color="auto"/>
              <w:bottom w:val="single" w:sz="2" w:space="0" w:color="auto"/>
              <w:right w:val="single" w:sz="2" w:space="0" w:color="auto"/>
            </w:tcBorders>
            <w:vAlign w:val="center"/>
          </w:tcPr>
          <w:p w14:paraId="075ECFE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1,019.63</w:t>
            </w:r>
          </w:p>
        </w:tc>
      </w:tr>
      <w:tr w:rsidR="006C011D" w:rsidRPr="005A284F" w14:paraId="7C6A98C8"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8963F6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其他应收款</w:t>
            </w:r>
          </w:p>
        </w:tc>
        <w:tc>
          <w:tcPr>
            <w:tcW w:w="1606" w:type="dxa"/>
            <w:tcBorders>
              <w:top w:val="single" w:sz="2" w:space="0" w:color="auto"/>
              <w:left w:val="single" w:sz="2" w:space="0" w:color="auto"/>
              <w:bottom w:val="single" w:sz="2" w:space="0" w:color="auto"/>
              <w:right w:val="single" w:sz="2" w:space="0" w:color="auto"/>
            </w:tcBorders>
            <w:vAlign w:val="center"/>
          </w:tcPr>
          <w:p w14:paraId="770A70A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成都润家商业管理有限公司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668FF57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BC948A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3F3ECE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59,215.32</w:t>
            </w:r>
          </w:p>
        </w:tc>
        <w:tc>
          <w:tcPr>
            <w:tcW w:w="1606" w:type="dxa"/>
            <w:tcBorders>
              <w:top w:val="single" w:sz="2" w:space="0" w:color="auto"/>
              <w:left w:val="single" w:sz="2" w:space="0" w:color="auto"/>
              <w:bottom w:val="single" w:sz="2" w:space="0" w:color="auto"/>
              <w:right w:val="single" w:sz="2" w:space="0" w:color="auto"/>
            </w:tcBorders>
            <w:vAlign w:val="center"/>
          </w:tcPr>
          <w:p w14:paraId="2FD43E6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47,372.26</w:t>
            </w:r>
          </w:p>
        </w:tc>
      </w:tr>
      <w:tr w:rsidR="006C011D" w:rsidRPr="005A284F" w14:paraId="568AD29F"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207426A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其他应收款</w:t>
            </w:r>
          </w:p>
        </w:tc>
        <w:tc>
          <w:tcPr>
            <w:tcW w:w="1606" w:type="dxa"/>
            <w:tcBorders>
              <w:top w:val="single" w:sz="2" w:space="0" w:color="auto"/>
              <w:left w:val="single" w:sz="2" w:space="0" w:color="auto"/>
              <w:bottom w:val="single" w:sz="2" w:space="0" w:color="auto"/>
              <w:right w:val="single" w:sz="2" w:space="0" w:color="auto"/>
            </w:tcBorders>
            <w:vAlign w:val="center"/>
          </w:tcPr>
          <w:p w14:paraId="22FC4B4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宣威市鼎宏食品有限公司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43DFF45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1ADDE3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6329C5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2,870,000.00</w:t>
            </w:r>
          </w:p>
        </w:tc>
        <w:tc>
          <w:tcPr>
            <w:tcW w:w="1606" w:type="dxa"/>
            <w:tcBorders>
              <w:top w:val="single" w:sz="2" w:space="0" w:color="auto"/>
              <w:left w:val="single" w:sz="2" w:space="0" w:color="auto"/>
              <w:bottom w:val="single" w:sz="2" w:space="0" w:color="auto"/>
              <w:right w:val="single" w:sz="2" w:space="0" w:color="auto"/>
            </w:tcBorders>
            <w:vAlign w:val="center"/>
          </w:tcPr>
          <w:p w14:paraId="5EA40CC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2,296,000.00</w:t>
            </w:r>
          </w:p>
        </w:tc>
      </w:tr>
      <w:tr w:rsidR="006C011D" w:rsidRPr="005A284F" w14:paraId="1C984D6E"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26BF125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预付款项</w:t>
            </w:r>
          </w:p>
        </w:tc>
        <w:tc>
          <w:tcPr>
            <w:tcW w:w="1606" w:type="dxa"/>
            <w:tcBorders>
              <w:top w:val="single" w:sz="2" w:space="0" w:color="auto"/>
              <w:left w:val="single" w:sz="2" w:space="0" w:color="auto"/>
              <w:bottom w:val="single" w:sz="2" w:space="0" w:color="auto"/>
              <w:right w:val="single" w:sz="2" w:space="0" w:color="auto"/>
            </w:tcBorders>
            <w:vAlign w:val="center"/>
          </w:tcPr>
          <w:p w14:paraId="0B2FD27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牧原食品股份有限公司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44A951C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1,301,351.78</w:t>
            </w:r>
          </w:p>
        </w:tc>
        <w:tc>
          <w:tcPr>
            <w:tcW w:w="1606" w:type="dxa"/>
            <w:tcBorders>
              <w:top w:val="single" w:sz="2" w:space="0" w:color="auto"/>
              <w:left w:val="single" w:sz="2" w:space="0" w:color="auto"/>
              <w:bottom w:val="single" w:sz="2" w:space="0" w:color="auto"/>
              <w:right w:val="single" w:sz="2" w:space="0" w:color="auto"/>
            </w:tcBorders>
            <w:vAlign w:val="center"/>
          </w:tcPr>
          <w:p w14:paraId="2EB239F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667C02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1,714,653.58</w:t>
            </w:r>
          </w:p>
        </w:tc>
        <w:tc>
          <w:tcPr>
            <w:tcW w:w="1606" w:type="dxa"/>
            <w:tcBorders>
              <w:top w:val="single" w:sz="2" w:space="0" w:color="auto"/>
              <w:left w:val="single" w:sz="2" w:space="0" w:color="auto"/>
              <w:bottom w:val="single" w:sz="2" w:space="0" w:color="auto"/>
              <w:right w:val="single" w:sz="2" w:space="0" w:color="auto"/>
            </w:tcBorders>
            <w:vAlign w:val="center"/>
          </w:tcPr>
          <w:p w14:paraId="5543942C"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3BD27B7E"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9DF289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预付款项</w:t>
            </w:r>
          </w:p>
        </w:tc>
        <w:tc>
          <w:tcPr>
            <w:tcW w:w="1606" w:type="dxa"/>
            <w:tcBorders>
              <w:top w:val="single" w:sz="2" w:space="0" w:color="auto"/>
              <w:left w:val="single" w:sz="2" w:space="0" w:color="auto"/>
              <w:bottom w:val="single" w:sz="2" w:space="0" w:color="auto"/>
              <w:right w:val="single" w:sz="2" w:space="0" w:color="auto"/>
            </w:tcBorders>
            <w:vAlign w:val="center"/>
          </w:tcPr>
          <w:p w14:paraId="2124E21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成都润家商业管理有限公司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1F02D09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20,000.00</w:t>
            </w:r>
          </w:p>
        </w:tc>
        <w:tc>
          <w:tcPr>
            <w:tcW w:w="1606" w:type="dxa"/>
            <w:tcBorders>
              <w:top w:val="single" w:sz="2" w:space="0" w:color="auto"/>
              <w:left w:val="single" w:sz="2" w:space="0" w:color="auto"/>
              <w:bottom w:val="single" w:sz="2" w:space="0" w:color="auto"/>
              <w:right w:val="single" w:sz="2" w:space="0" w:color="auto"/>
            </w:tcBorders>
            <w:vAlign w:val="center"/>
          </w:tcPr>
          <w:p w14:paraId="4A09263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C0B10D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F932A82"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19CC3D1A"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4D8687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预付账款</w:t>
            </w:r>
          </w:p>
        </w:tc>
        <w:tc>
          <w:tcPr>
            <w:tcW w:w="1606" w:type="dxa"/>
            <w:tcBorders>
              <w:top w:val="single" w:sz="2" w:space="0" w:color="auto"/>
              <w:left w:val="single" w:sz="2" w:space="0" w:color="auto"/>
              <w:bottom w:val="single" w:sz="2" w:space="0" w:color="auto"/>
              <w:right w:val="single" w:sz="2" w:space="0" w:color="auto"/>
            </w:tcBorders>
            <w:vAlign w:val="center"/>
          </w:tcPr>
          <w:p w14:paraId="4D2B7E7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青岛联合友和食品有限公司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189F2C5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D73E2C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1D01E2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1,304,137.69</w:t>
            </w:r>
          </w:p>
        </w:tc>
        <w:tc>
          <w:tcPr>
            <w:tcW w:w="1606" w:type="dxa"/>
            <w:tcBorders>
              <w:top w:val="single" w:sz="2" w:space="0" w:color="auto"/>
              <w:left w:val="single" w:sz="2" w:space="0" w:color="auto"/>
              <w:bottom w:val="single" w:sz="2" w:space="0" w:color="auto"/>
              <w:right w:val="single" w:sz="2" w:space="0" w:color="auto"/>
            </w:tcBorders>
            <w:vAlign w:val="center"/>
          </w:tcPr>
          <w:p w14:paraId="38226011"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46501616"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4B50C88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货币资金</w:t>
            </w:r>
          </w:p>
        </w:tc>
        <w:tc>
          <w:tcPr>
            <w:tcW w:w="1606" w:type="dxa"/>
            <w:tcBorders>
              <w:top w:val="single" w:sz="2" w:space="0" w:color="auto"/>
              <w:left w:val="single" w:sz="2" w:space="0" w:color="auto"/>
              <w:bottom w:val="single" w:sz="2" w:space="0" w:color="auto"/>
              <w:right w:val="single" w:sz="2" w:space="0" w:color="auto"/>
            </w:tcBorders>
            <w:vAlign w:val="center"/>
          </w:tcPr>
          <w:p w14:paraId="7529410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达州银行股份有限公司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4AB0718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489,370.05</w:t>
            </w:r>
          </w:p>
        </w:tc>
        <w:tc>
          <w:tcPr>
            <w:tcW w:w="1606" w:type="dxa"/>
            <w:tcBorders>
              <w:top w:val="single" w:sz="2" w:space="0" w:color="auto"/>
              <w:left w:val="single" w:sz="2" w:space="0" w:color="auto"/>
              <w:bottom w:val="single" w:sz="2" w:space="0" w:color="auto"/>
              <w:right w:val="single" w:sz="2" w:space="0" w:color="auto"/>
            </w:tcBorders>
            <w:vAlign w:val="center"/>
          </w:tcPr>
          <w:p w14:paraId="6E00F72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6157CB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203,269,483.81</w:t>
            </w:r>
          </w:p>
        </w:tc>
        <w:tc>
          <w:tcPr>
            <w:tcW w:w="1606" w:type="dxa"/>
            <w:tcBorders>
              <w:top w:val="single" w:sz="2" w:space="0" w:color="auto"/>
              <w:left w:val="single" w:sz="2" w:space="0" w:color="auto"/>
              <w:bottom w:val="single" w:sz="2" w:space="0" w:color="auto"/>
              <w:right w:val="single" w:sz="2" w:space="0" w:color="auto"/>
            </w:tcBorders>
            <w:vAlign w:val="center"/>
          </w:tcPr>
          <w:p w14:paraId="715E3625"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A0BB653" w14:textId="77777777" w:rsidTr="003101BC">
        <w:trPr>
          <w:trHeight w:val="318"/>
        </w:trPr>
        <w:tc>
          <w:tcPr>
            <w:tcW w:w="1606" w:type="dxa"/>
            <w:tcBorders>
              <w:top w:val="single" w:sz="2" w:space="0" w:color="auto"/>
              <w:left w:val="single" w:sz="2" w:space="0" w:color="auto"/>
              <w:bottom w:val="single" w:sz="2" w:space="0" w:color="auto"/>
              <w:right w:val="single" w:sz="2" w:space="0" w:color="auto"/>
            </w:tcBorders>
            <w:vAlign w:val="center"/>
          </w:tcPr>
          <w:p w14:paraId="096C328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14:paraId="16DADAB5" w14:textId="77777777" w:rsidR="006C011D" w:rsidRPr="005A284F" w:rsidRDefault="006C011D">
            <w:pPr>
              <w:spacing w:after="0" w:line="240" w:lineRule="exac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50502A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1,885,025.03</w:t>
            </w:r>
          </w:p>
        </w:tc>
        <w:tc>
          <w:tcPr>
            <w:tcW w:w="1606" w:type="dxa"/>
            <w:tcBorders>
              <w:top w:val="single" w:sz="2" w:space="0" w:color="auto"/>
              <w:left w:val="single" w:sz="2" w:space="0" w:color="auto"/>
              <w:bottom w:val="single" w:sz="2" w:space="0" w:color="auto"/>
              <w:right w:val="single" w:sz="2" w:space="0" w:color="auto"/>
            </w:tcBorders>
            <w:vAlign w:val="center"/>
          </w:tcPr>
          <w:p w14:paraId="0C44BE8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1,671.82</w:t>
            </w:r>
          </w:p>
        </w:tc>
        <w:tc>
          <w:tcPr>
            <w:tcW w:w="1606" w:type="dxa"/>
            <w:tcBorders>
              <w:top w:val="single" w:sz="2" w:space="0" w:color="auto"/>
              <w:left w:val="single" w:sz="2" w:space="0" w:color="auto"/>
              <w:bottom w:val="single" w:sz="2" w:space="0" w:color="auto"/>
              <w:right w:val="single" w:sz="2" w:space="0" w:color="auto"/>
            </w:tcBorders>
            <w:vAlign w:val="center"/>
          </w:tcPr>
          <w:p w14:paraId="444D26E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209,391,793.60</w:t>
            </w:r>
          </w:p>
        </w:tc>
        <w:tc>
          <w:tcPr>
            <w:tcW w:w="1606" w:type="dxa"/>
            <w:tcBorders>
              <w:top w:val="single" w:sz="2" w:space="0" w:color="auto"/>
              <w:left w:val="single" w:sz="2" w:space="0" w:color="auto"/>
              <w:bottom w:val="single" w:sz="2" w:space="0" w:color="auto"/>
              <w:right w:val="single" w:sz="2" w:space="0" w:color="auto"/>
            </w:tcBorders>
            <w:vAlign w:val="center"/>
          </w:tcPr>
          <w:p w14:paraId="5EDAC6D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2,347,294.08</w:t>
            </w:r>
          </w:p>
        </w:tc>
      </w:tr>
    </w:tbl>
    <w:p w14:paraId="7E5E3DCE" w14:textId="3F10F46A"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421" w:name="_Toc989374"/>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2</w:t>
      </w:r>
      <w:r w:rsidRPr="005A284F">
        <w:rPr>
          <w:rFonts w:ascii="Times New Roman" w:eastAsia="宋体" w:hAnsi="Times New Roman" w:cs="Times New Roman"/>
          <w:b/>
          <w:bCs/>
          <w:sz w:val="21"/>
          <w:szCs w:val="21"/>
        </w:rPr>
        <w:t>）应付项目</w:t>
      </w:r>
      <w:bookmarkEnd w:id="421"/>
    </w:p>
    <w:p w14:paraId="0075F5C3"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6C011D" w:rsidRPr="005A284F" w14:paraId="6698D98C"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861D8E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CCC314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关联方</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08B37A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7E3BB6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期初账面余额</w:t>
            </w:r>
          </w:p>
        </w:tc>
      </w:tr>
      <w:tr w:rsidR="006C011D" w:rsidRPr="005A284F" w14:paraId="6477285D"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10DEB11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应付账款</w:t>
            </w:r>
          </w:p>
        </w:tc>
        <w:tc>
          <w:tcPr>
            <w:tcW w:w="2410" w:type="dxa"/>
            <w:tcBorders>
              <w:top w:val="single" w:sz="2" w:space="0" w:color="auto"/>
              <w:left w:val="single" w:sz="2" w:space="0" w:color="auto"/>
              <w:bottom w:val="single" w:sz="2" w:space="0" w:color="auto"/>
              <w:right w:val="single" w:sz="2" w:space="0" w:color="auto"/>
            </w:tcBorders>
            <w:vAlign w:val="center"/>
          </w:tcPr>
          <w:p w14:paraId="4A3D9CE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青岛东方睿智商贸有限公司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38B8E49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2826682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14,238.25</w:t>
            </w:r>
          </w:p>
        </w:tc>
      </w:tr>
      <w:tr w:rsidR="006C011D" w:rsidRPr="005A284F" w14:paraId="698A8C4B"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4A54637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应付账款</w:t>
            </w:r>
          </w:p>
        </w:tc>
        <w:tc>
          <w:tcPr>
            <w:tcW w:w="2410" w:type="dxa"/>
            <w:tcBorders>
              <w:top w:val="single" w:sz="2" w:space="0" w:color="auto"/>
              <w:left w:val="single" w:sz="2" w:space="0" w:color="auto"/>
              <w:bottom w:val="single" w:sz="2" w:space="0" w:color="auto"/>
              <w:right w:val="single" w:sz="2" w:space="0" w:color="auto"/>
            </w:tcBorders>
            <w:vAlign w:val="center"/>
          </w:tcPr>
          <w:p w14:paraId="22785A0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牧原食品股份有限公司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7E22357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309,020.17</w:t>
            </w:r>
          </w:p>
        </w:tc>
        <w:tc>
          <w:tcPr>
            <w:tcW w:w="2410" w:type="dxa"/>
            <w:tcBorders>
              <w:top w:val="single" w:sz="2" w:space="0" w:color="auto"/>
              <w:left w:val="single" w:sz="2" w:space="0" w:color="auto"/>
              <w:bottom w:val="single" w:sz="2" w:space="0" w:color="auto"/>
              <w:right w:val="single" w:sz="2" w:space="0" w:color="auto"/>
            </w:tcBorders>
            <w:vAlign w:val="center"/>
          </w:tcPr>
          <w:p w14:paraId="016A63F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1,035,118.51</w:t>
            </w:r>
          </w:p>
        </w:tc>
      </w:tr>
      <w:tr w:rsidR="006C011D" w:rsidRPr="005A284F" w14:paraId="46D43615"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0334F99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应付票据</w:t>
            </w:r>
          </w:p>
        </w:tc>
        <w:tc>
          <w:tcPr>
            <w:tcW w:w="2410" w:type="dxa"/>
            <w:tcBorders>
              <w:top w:val="single" w:sz="2" w:space="0" w:color="auto"/>
              <w:left w:val="single" w:sz="2" w:space="0" w:color="auto"/>
              <w:bottom w:val="single" w:sz="2" w:space="0" w:color="auto"/>
              <w:right w:val="single" w:sz="2" w:space="0" w:color="auto"/>
            </w:tcBorders>
            <w:vAlign w:val="center"/>
          </w:tcPr>
          <w:p w14:paraId="225884E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牧原食品股份有限公司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38EE6FD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2E45CCF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210,900,000.00</w:t>
            </w:r>
          </w:p>
        </w:tc>
      </w:tr>
      <w:tr w:rsidR="006C011D" w:rsidRPr="005A284F" w14:paraId="30DA5A44"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562B991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租赁负债</w:t>
            </w:r>
          </w:p>
        </w:tc>
        <w:tc>
          <w:tcPr>
            <w:tcW w:w="2410" w:type="dxa"/>
            <w:tcBorders>
              <w:top w:val="single" w:sz="2" w:space="0" w:color="auto"/>
              <w:left w:val="single" w:sz="2" w:space="0" w:color="auto"/>
              <w:bottom w:val="single" w:sz="2" w:space="0" w:color="auto"/>
              <w:right w:val="single" w:sz="2" w:space="0" w:color="auto"/>
            </w:tcBorders>
            <w:vAlign w:val="center"/>
          </w:tcPr>
          <w:p w14:paraId="619E1DC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成都润家商业管理有限公司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09E8CA7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2AAE32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1,534,165.37</w:t>
            </w:r>
          </w:p>
        </w:tc>
      </w:tr>
      <w:tr w:rsidR="006C011D" w:rsidRPr="005A284F" w14:paraId="1D4524B3"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43C5B48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合同负债</w:t>
            </w:r>
          </w:p>
        </w:tc>
        <w:tc>
          <w:tcPr>
            <w:tcW w:w="2410" w:type="dxa"/>
            <w:tcBorders>
              <w:top w:val="single" w:sz="2" w:space="0" w:color="auto"/>
              <w:left w:val="single" w:sz="2" w:space="0" w:color="auto"/>
              <w:bottom w:val="single" w:sz="2" w:space="0" w:color="auto"/>
              <w:right w:val="single" w:sz="2" w:space="0" w:color="auto"/>
            </w:tcBorders>
            <w:vAlign w:val="center"/>
          </w:tcPr>
          <w:p w14:paraId="12AB600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青岛飞熊领鲜科技有限公司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538EF2B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2E01FC9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1,035,467.94</w:t>
            </w:r>
          </w:p>
        </w:tc>
      </w:tr>
      <w:tr w:rsidR="006C011D" w:rsidRPr="005A284F" w14:paraId="27B041E5"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009D9EB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39DE114B" w14:textId="77777777" w:rsidR="006C011D" w:rsidRPr="005A284F" w:rsidRDefault="006C011D">
            <w:pPr>
              <w:spacing w:after="0" w:line="240" w:lineRule="exac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174A430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309,020.17</w:t>
            </w:r>
          </w:p>
        </w:tc>
        <w:tc>
          <w:tcPr>
            <w:tcW w:w="2410" w:type="dxa"/>
            <w:tcBorders>
              <w:top w:val="single" w:sz="2" w:space="0" w:color="auto"/>
              <w:left w:val="single" w:sz="2" w:space="0" w:color="auto"/>
              <w:bottom w:val="single" w:sz="2" w:space="0" w:color="auto"/>
              <w:right w:val="single" w:sz="2" w:space="0" w:color="auto"/>
            </w:tcBorders>
            <w:vAlign w:val="center"/>
          </w:tcPr>
          <w:p w14:paraId="16FA9EF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214,518,990.07</w:t>
            </w:r>
          </w:p>
        </w:tc>
      </w:tr>
    </w:tbl>
    <w:p w14:paraId="2FDCA677" w14:textId="77777777" w:rsidR="006C011D" w:rsidRPr="005A284F" w:rsidRDefault="00000000">
      <w:pPr>
        <w:pStyle w:val="3"/>
        <w:spacing w:line="280" w:lineRule="exact"/>
        <w:jc w:val="left"/>
        <w:rPr>
          <w:rFonts w:ascii="Times New Roman" w:hAnsi="Times New Roman" w:cs="Times New Roman"/>
          <w:b/>
          <w:bCs/>
        </w:rPr>
      </w:pPr>
      <w:bookmarkStart w:id="422" w:name="_Toc989375"/>
      <w:r w:rsidRPr="005A284F">
        <w:rPr>
          <w:rFonts w:ascii="Times New Roman" w:hAnsi="Times New Roman" w:cs="Times New Roman"/>
          <w:b/>
          <w:bCs/>
        </w:rPr>
        <w:t>7</w:t>
      </w:r>
      <w:r w:rsidRPr="005A284F">
        <w:rPr>
          <w:rFonts w:ascii="Times New Roman" w:hAnsi="Times New Roman" w:cs="Times New Roman"/>
          <w:b/>
          <w:bCs/>
        </w:rPr>
        <w:t>、关联方承诺</w:t>
      </w:r>
      <w:bookmarkEnd w:id="422"/>
    </w:p>
    <w:p w14:paraId="3EEAE684" w14:textId="4B259C2E" w:rsidR="000309B5" w:rsidRPr="005A284F" w:rsidRDefault="00000000" w:rsidP="003101BC">
      <w:pPr>
        <w:pStyle w:val="a3"/>
        <w:spacing w:before="0" w:beforeAutospacing="0" w:after="0" w:afterAutospacing="0" w:line="276" w:lineRule="auto"/>
        <w:ind w:firstLineChars="200" w:firstLine="360"/>
        <w:jc w:val="both"/>
        <w:divId w:val="1385301206"/>
        <w:rPr>
          <w:rFonts w:ascii="Times New Roman" w:hAnsi="Times New Roman" w:cs="Times New Roman"/>
          <w:sz w:val="21"/>
          <w:szCs w:val="21"/>
        </w:rPr>
      </w:pPr>
      <w:r w:rsidRPr="005A284F">
        <w:rPr>
          <w:rFonts w:ascii="Times New Roman" w:hAnsi="Times New Roman" w:cs="Times New Roman"/>
          <w:color w:val="000000"/>
          <w:sz w:val="18"/>
          <w:szCs w:val="18"/>
        </w:rPr>
        <w:t>公司实际控制人戴学斌、董翔，公司控股股东蓝润发展控股集团有限公司，公司股</w:t>
      </w:r>
      <w:r w:rsidRPr="005A284F">
        <w:rPr>
          <w:rFonts w:ascii="Times New Roman" w:hAnsi="Times New Roman" w:cs="Times New Roman"/>
          <w:color w:val="000000"/>
          <w:spacing w:val="-1"/>
          <w:sz w:val="18"/>
          <w:szCs w:val="18"/>
        </w:rPr>
        <w:t>东龙大食品集团有限公司、伊藤</w:t>
      </w:r>
      <w:r w:rsidRPr="005A284F">
        <w:rPr>
          <w:rFonts w:ascii="Times New Roman" w:hAnsi="Times New Roman" w:cs="Times New Roman"/>
          <w:color w:val="000000"/>
          <w:spacing w:val="1"/>
          <w:sz w:val="18"/>
          <w:szCs w:val="18"/>
        </w:rPr>
        <w:t>忠（中国）集团有限公司（</w:t>
      </w:r>
      <w:r w:rsidRPr="005A284F">
        <w:rPr>
          <w:rFonts w:ascii="Times New Roman" w:hAnsi="Times New Roman" w:cs="Times New Roman"/>
          <w:color w:val="000000"/>
          <w:spacing w:val="1"/>
          <w:sz w:val="18"/>
          <w:szCs w:val="18"/>
        </w:rPr>
        <w:t>2021</w:t>
      </w:r>
      <w:r w:rsidRPr="005A284F">
        <w:rPr>
          <w:rFonts w:ascii="Times New Roman" w:hAnsi="Times New Roman" w:cs="Times New Roman"/>
          <w:color w:val="000000"/>
          <w:spacing w:val="1"/>
          <w:sz w:val="18"/>
          <w:szCs w:val="18"/>
        </w:rPr>
        <w:t>年度已减持）、莱阳银龙投资有限公</w:t>
      </w:r>
      <w:r w:rsidRPr="005A284F">
        <w:rPr>
          <w:rFonts w:ascii="Times New Roman" w:hAnsi="Times New Roman" w:cs="Times New Roman"/>
          <w:color w:val="000000"/>
          <w:sz w:val="18"/>
          <w:szCs w:val="18"/>
        </w:rPr>
        <w:t>司，公司董事、监事、高级管理人员已作出关于避免</w:t>
      </w:r>
      <w:r w:rsidRPr="005A284F">
        <w:rPr>
          <w:rFonts w:ascii="Times New Roman" w:hAnsi="Times New Roman" w:cs="Times New Roman"/>
          <w:color w:val="000000"/>
          <w:sz w:val="18"/>
          <w:szCs w:val="18"/>
        </w:rPr>
        <w:t xml:space="preserve"> </w:t>
      </w:r>
      <w:r w:rsidRPr="005A284F">
        <w:rPr>
          <w:rFonts w:ascii="Times New Roman" w:hAnsi="Times New Roman" w:cs="Times New Roman"/>
          <w:color w:val="000000"/>
          <w:sz w:val="18"/>
          <w:szCs w:val="18"/>
        </w:rPr>
        <w:t>或减少关联交易的承诺，承诺其及其控股或控制的企业（公司及其控股或控制的企业除外）与公司及其控股</w:t>
      </w:r>
      <w:r w:rsidRPr="005A284F">
        <w:rPr>
          <w:rFonts w:ascii="Times New Roman" w:hAnsi="Times New Roman" w:cs="Times New Roman"/>
          <w:color w:val="000000"/>
          <w:spacing w:val="-1"/>
          <w:sz w:val="18"/>
          <w:szCs w:val="18"/>
        </w:rPr>
        <w:t>或控制的企业</w:t>
      </w:r>
      <w:r w:rsidRPr="005A284F">
        <w:rPr>
          <w:rFonts w:ascii="Times New Roman" w:hAnsi="Times New Roman" w:cs="Times New Roman"/>
          <w:color w:val="000000"/>
          <w:sz w:val="18"/>
          <w:szCs w:val="18"/>
        </w:rPr>
        <w:t>之间将尽可能地避免或减少关联交易；对于无法避免或者有合理原因而发生的关联交易，将遵循市场公正</w:t>
      </w:r>
      <w:r w:rsidRPr="005A284F">
        <w:rPr>
          <w:rFonts w:ascii="Times New Roman" w:hAnsi="Times New Roman" w:cs="Times New Roman"/>
          <w:color w:val="000000"/>
          <w:spacing w:val="-1"/>
          <w:sz w:val="18"/>
          <w:szCs w:val="18"/>
        </w:rPr>
        <w:t>、公平、公开的</w:t>
      </w:r>
      <w:r w:rsidRPr="005A284F">
        <w:rPr>
          <w:rFonts w:ascii="Times New Roman" w:hAnsi="Times New Roman" w:cs="Times New Roman"/>
          <w:color w:val="000000"/>
          <w:sz w:val="18"/>
          <w:szCs w:val="18"/>
        </w:rPr>
        <w:t> </w:t>
      </w:r>
      <w:r w:rsidRPr="005A284F">
        <w:rPr>
          <w:rFonts w:ascii="Times New Roman" w:hAnsi="Times New Roman" w:cs="Times New Roman"/>
          <w:color w:val="000000"/>
          <w:sz w:val="18"/>
          <w:szCs w:val="18"/>
        </w:rPr>
        <w:t>原则，并依法签订协议，履行合法程序，按照有关法律法规、规则以及公司章程等有关规定履行信息披露</w:t>
      </w:r>
      <w:r w:rsidRPr="005A284F">
        <w:rPr>
          <w:rFonts w:ascii="Times New Roman" w:hAnsi="Times New Roman" w:cs="Times New Roman"/>
          <w:color w:val="000000"/>
          <w:spacing w:val="-1"/>
          <w:sz w:val="18"/>
          <w:szCs w:val="18"/>
        </w:rPr>
        <w:t>义务和办理有关</w:t>
      </w:r>
      <w:r w:rsidRPr="005A284F">
        <w:rPr>
          <w:rFonts w:ascii="Times New Roman" w:hAnsi="Times New Roman" w:cs="Times New Roman"/>
          <w:color w:val="000000"/>
          <w:sz w:val="18"/>
          <w:szCs w:val="18"/>
        </w:rPr>
        <w:t>报批手续，保证不通过关联交易损害公司及其他股东的合法权益。承诺其及其控股或控制的企业（公司及其控股</w:t>
      </w:r>
      <w:r w:rsidRPr="005A284F">
        <w:rPr>
          <w:rFonts w:ascii="Times New Roman" w:hAnsi="Times New Roman" w:cs="Times New Roman"/>
          <w:color w:val="000000"/>
          <w:spacing w:val="-1"/>
          <w:sz w:val="18"/>
          <w:szCs w:val="18"/>
        </w:rPr>
        <w:t>或控制的企业除外）不向公司拆借、占用公司资金或采取由公司代垫款、代偿债务等方式侵占公司资金。</w:t>
      </w:r>
    </w:p>
    <w:p w14:paraId="549A3423" w14:textId="77777777" w:rsidR="006C011D" w:rsidRPr="005A284F" w:rsidRDefault="00000000">
      <w:pPr>
        <w:pStyle w:val="3"/>
        <w:spacing w:line="280" w:lineRule="exact"/>
        <w:jc w:val="left"/>
        <w:rPr>
          <w:rFonts w:ascii="Times New Roman" w:hAnsi="Times New Roman" w:cs="Times New Roman"/>
          <w:b/>
          <w:bCs/>
        </w:rPr>
      </w:pPr>
      <w:bookmarkStart w:id="423" w:name="_Toc989376"/>
      <w:r w:rsidRPr="005A284F">
        <w:rPr>
          <w:rFonts w:ascii="Times New Roman" w:hAnsi="Times New Roman" w:cs="Times New Roman"/>
          <w:b/>
          <w:bCs/>
        </w:rPr>
        <w:lastRenderedPageBreak/>
        <w:t>8</w:t>
      </w:r>
      <w:r w:rsidRPr="005A284F">
        <w:rPr>
          <w:rFonts w:ascii="Times New Roman" w:hAnsi="Times New Roman" w:cs="Times New Roman"/>
          <w:b/>
          <w:bCs/>
        </w:rPr>
        <w:t>、其他</w:t>
      </w:r>
      <w:bookmarkEnd w:id="423"/>
    </w:p>
    <w:p w14:paraId="3ACF08EB" w14:textId="77777777" w:rsidR="000309B5" w:rsidRPr="005A284F" w:rsidRDefault="00000000">
      <w:pPr>
        <w:pStyle w:val="a3"/>
        <w:divId w:val="314533667"/>
        <w:rPr>
          <w:rFonts w:ascii="Times New Roman" w:hAnsi="Times New Roman" w:cs="Times New Roman"/>
          <w:sz w:val="18"/>
          <w:szCs w:val="18"/>
        </w:rPr>
      </w:pPr>
      <w:r w:rsidRPr="005A284F">
        <w:rPr>
          <w:rFonts w:ascii="Times New Roman" w:hAnsi="Times New Roman" w:cs="Times New Roman"/>
          <w:sz w:val="18"/>
          <w:szCs w:val="18"/>
        </w:rPr>
        <w:t>无</w:t>
      </w:r>
    </w:p>
    <w:p w14:paraId="3395EFEC"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424" w:name="_Toc989377"/>
      <w:r w:rsidRPr="005A284F">
        <w:rPr>
          <w:rFonts w:ascii="Times New Roman" w:eastAsia="宋体" w:hAnsi="Times New Roman" w:cs="Times New Roman"/>
          <w:b/>
          <w:bCs/>
          <w:sz w:val="24"/>
          <w:szCs w:val="24"/>
        </w:rPr>
        <w:t>十五、股份支付</w:t>
      </w:r>
      <w:bookmarkEnd w:id="424"/>
    </w:p>
    <w:p w14:paraId="1A21EE54" w14:textId="77777777" w:rsidR="006C011D" w:rsidRPr="005A284F" w:rsidRDefault="00000000">
      <w:pPr>
        <w:pStyle w:val="3"/>
        <w:spacing w:line="280" w:lineRule="exact"/>
        <w:jc w:val="left"/>
        <w:rPr>
          <w:rFonts w:ascii="Times New Roman" w:hAnsi="Times New Roman" w:cs="Times New Roman"/>
          <w:b/>
          <w:bCs/>
        </w:rPr>
      </w:pPr>
      <w:bookmarkStart w:id="425" w:name="_Toc989378"/>
      <w:r w:rsidRPr="005A284F">
        <w:rPr>
          <w:rFonts w:ascii="Times New Roman" w:hAnsi="Times New Roman" w:cs="Times New Roman"/>
          <w:b/>
          <w:bCs/>
        </w:rPr>
        <w:t>1</w:t>
      </w:r>
      <w:r w:rsidRPr="005A284F">
        <w:rPr>
          <w:rFonts w:ascii="Times New Roman" w:hAnsi="Times New Roman" w:cs="Times New Roman"/>
          <w:b/>
          <w:bCs/>
        </w:rPr>
        <w:t>、股份支付总体情况</w:t>
      </w:r>
      <w:bookmarkEnd w:id="425"/>
    </w:p>
    <w:p w14:paraId="22C0CBD5" w14:textId="77777777" w:rsidR="006C011D" w:rsidRPr="003101BC" w:rsidRDefault="00000000">
      <w:pPr>
        <w:spacing w:before="100" w:after="100" w:line="240" w:lineRule="exact"/>
        <w:rPr>
          <w:rFonts w:ascii="宋体" w:eastAsia="宋体" w:hAnsi="宋体" w:cs="Times New Roman" w:hint="eastAsia"/>
          <w:sz w:val="18"/>
          <w:szCs w:val="18"/>
        </w:rPr>
      </w:pPr>
      <w:r w:rsidRPr="003101BC">
        <w:rPr>
          <w:rFonts w:ascii="宋体" w:eastAsia="宋体" w:hAnsi="宋体" w:cs="Times New Roman"/>
          <w:sz w:val="18"/>
          <w:szCs w:val="18"/>
        </w:rPr>
        <w:t xml:space="preserve">□适用 </w:t>
      </w:r>
      <w:r w:rsidRPr="003101BC">
        <w:rPr>
          <w:rFonts w:ascii="宋体" w:eastAsia="宋体" w:hAnsi="宋体" w:cs="Times New Roman"/>
          <w:sz w:val="18"/>
          <w:szCs w:val="18"/>
        </w:rPr>
        <w:sym w:font="Wingdings 2" w:char="F052"/>
      </w:r>
      <w:r w:rsidRPr="003101BC">
        <w:rPr>
          <w:rFonts w:ascii="宋体" w:eastAsia="宋体" w:hAnsi="宋体" w:cs="Times New Roman"/>
          <w:sz w:val="18"/>
          <w:szCs w:val="18"/>
        </w:rPr>
        <w:t>不适用</w:t>
      </w:r>
    </w:p>
    <w:p w14:paraId="59587083" w14:textId="77777777" w:rsidR="006C011D" w:rsidRPr="005A284F" w:rsidRDefault="00000000">
      <w:pPr>
        <w:pStyle w:val="3"/>
        <w:spacing w:line="280" w:lineRule="exact"/>
        <w:jc w:val="left"/>
        <w:rPr>
          <w:rFonts w:ascii="Times New Roman" w:hAnsi="Times New Roman" w:cs="Times New Roman"/>
          <w:b/>
          <w:bCs/>
        </w:rPr>
      </w:pPr>
      <w:bookmarkStart w:id="426" w:name="_Toc989379"/>
      <w:r w:rsidRPr="005A284F">
        <w:rPr>
          <w:rFonts w:ascii="Times New Roman" w:hAnsi="Times New Roman" w:cs="Times New Roman"/>
          <w:b/>
          <w:bCs/>
        </w:rPr>
        <w:t>2</w:t>
      </w:r>
      <w:r w:rsidRPr="005A284F">
        <w:rPr>
          <w:rFonts w:ascii="Times New Roman" w:hAnsi="Times New Roman" w:cs="Times New Roman"/>
          <w:b/>
          <w:bCs/>
        </w:rPr>
        <w:t>、以权益结算的股份支付情况</w:t>
      </w:r>
      <w:bookmarkEnd w:id="426"/>
    </w:p>
    <w:p w14:paraId="30E12C08" w14:textId="77777777" w:rsidR="006C011D" w:rsidRPr="003101BC" w:rsidRDefault="00000000" w:rsidP="003101BC">
      <w:pPr>
        <w:spacing w:before="100" w:after="100" w:line="240" w:lineRule="exact"/>
        <w:rPr>
          <w:rFonts w:ascii="宋体" w:eastAsia="宋体" w:hAnsi="宋体" w:cs="Times New Roman" w:hint="eastAsia"/>
          <w:sz w:val="18"/>
          <w:szCs w:val="18"/>
        </w:rPr>
      </w:pPr>
      <w:r w:rsidRPr="003101BC">
        <w:rPr>
          <w:rFonts w:ascii="宋体" w:eastAsia="宋体" w:hAnsi="宋体" w:cs="Times New Roman"/>
          <w:sz w:val="18"/>
          <w:szCs w:val="18"/>
        </w:rPr>
        <w:t xml:space="preserve">□适用 </w:t>
      </w:r>
      <w:r w:rsidRPr="003101BC">
        <w:rPr>
          <w:rFonts w:ascii="宋体" w:eastAsia="宋体" w:hAnsi="宋体" w:cs="Times New Roman"/>
          <w:sz w:val="18"/>
          <w:szCs w:val="18"/>
        </w:rPr>
        <w:sym w:font="Wingdings 2" w:char="F052"/>
      </w:r>
      <w:r w:rsidRPr="003101BC">
        <w:rPr>
          <w:rFonts w:ascii="宋体" w:eastAsia="宋体" w:hAnsi="宋体" w:cs="Times New Roman"/>
          <w:sz w:val="18"/>
          <w:szCs w:val="18"/>
        </w:rPr>
        <w:t>不适用</w:t>
      </w:r>
    </w:p>
    <w:p w14:paraId="4962EB99" w14:textId="77777777" w:rsidR="006C011D" w:rsidRPr="005A284F" w:rsidRDefault="00000000">
      <w:pPr>
        <w:pStyle w:val="3"/>
        <w:spacing w:line="280" w:lineRule="exact"/>
        <w:jc w:val="left"/>
        <w:rPr>
          <w:rFonts w:ascii="Times New Roman" w:hAnsi="Times New Roman" w:cs="Times New Roman"/>
          <w:b/>
          <w:bCs/>
        </w:rPr>
      </w:pPr>
      <w:bookmarkStart w:id="427" w:name="_Toc989380"/>
      <w:r w:rsidRPr="005A284F">
        <w:rPr>
          <w:rFonts w:ascii="Times New Roman" w:hAnsi="Times New Roman" w:cs="Times New Roman"/>
          <w:b/>
          <w:bCs/>
        </w:rPr>
        <w:t>3</w:t>
      </w:r>
      <w:r w:rsidRPr="005A284F">
        <w:rPr>
          <w:rFonts w:ascii="Times New Roman" w:hAnsi="Times New Roman" w:cs="Times New Roman"/>
          <w:b/>
          <w:bCs/>
        </w:rPr>
        <w:t>、以现金结算的股份支付情况</w:t>
      </w:r>
      <w:bookmarkEnd w:id="427"/>
    </w:p>
    <w:p w14:paraId="72F52B5D" w14:textId="77777777" w:rsidR="006C011D" w:rsidRPr="003101BC" w:rsidRDefault="00000000" w:rsidP="003101BC">
      <w:pPr>
        <w:spacing w:before="100" w:after="100" w:line="240" w:lineRule="exact"/>
        <w:rPr>
          <w:rFonts w:ascii="宋体" w:eastAsia="宋体" w:hAnsi="宋体" w:cs="Times New Roman" w:hint="eastAsia"/>
          <w:sz w:val="18"/>
          <w:szCs w:val="18"/>
        </w:rPr>
      </w:pPr>
      <w:r w:rsidRPr="003101BC">
        <w:rPr>
          <w:rFonts w:ascii="宋体" w:eastAsia="宋体" w:hAnsi="宋体" w:cs="Times New Roman"/>
          <w:sz w:val="18"/>
          <w:szCs w:val="18"/>
        </w:rPr>
        <w:t xml:space="preserve">□适用 </w:t>
      </w:r>
      <w:r w:rsidRPr="003101BC">
        <w:rPr>
          <w:rFonts w:ascii="宋体" w:eastAsia="宋体" w:hAnsi="宋体" w:cs="Times New Roman"/>
          <w:sz w:val="18"/>
          <w:szCs w:val="18"/>
        </w:rPr>
        <w:sym w:font="Wingdings 2" w:char="F052"/>
      </w:r>
      <w:r w:rsidRPr="003101BC">
        <w:rPr>
          <w:rFonts w:ascii="宋体" w:eastAsia="宋体" w:hAnsi="宋体" w:cs="Times New Roman"/>
          <w:sz w:val="18"/>
          <w:szCs w:val="18"/>
        </w:rPr>
        <w:t>不适用</w:t>
      </w:r>
    </w:p>
    <w:p w14:paraId="428D865F" w14:textId="77777777" w:rsidR="006C011D" w:rsidRPr="005A284F" w:rsidRDefault="00000000">
      <w:pPr>
        <w:pStyle w:val="3"/>
        <w:spacing w:line="280" w:lineRule="exact"/>
        <w:jc w:val="left"/>
        <w:rPr>
          <w:rFonts w:ascii="Times New Roman" w:hAnsi="Times New Roman" w:cs="Times New Roman"/>
          <w:b/>
          <w:bCs/>
        </w:rPr>
      </w:pPr>
      <w:bookmarkStart w:id="428" w:name="_Toc989381"/>
      <w:r w:rsidRPr="005A284F">
        <w:rPr>
          <w:rFonts w:ascii="Times New Roman" w:hAnsi="Times New Roman" w:cs="Times New Roman"/>
          <w:b/>
          <w:bCs/>
        </w:rPr>
        <w:t>4</w:t>
      </w:r>
      <w:r w:rsidRPr="005A284F">
        <w:rPr>
          <w:rFonts w:ascii="Times New Roman" w:hAnsi="Times New Roman" w:cs="Times New Roman"/>
          <w:b/>
          <w:bCs/>
        </w:rPr>
        <w:t>、本期股份支付费用</w:t>
      </w:r>
      <w:bookmarkEnd w:id="428"/>
    </w:p>
    <w:p w14:paraId="4A68C074" w14:textId="77777777" w:rsidR="006C011D" w:rsidRPr="003101BC" w:rsidRDefault="00000000">
      <w:pPr>
        <w:spacing w:before="100" w:after="100" w:line="240" w:lineRule="exact"/>
        <w:rPr>
          <w:rFonts w:ascii="宋体" w:eastAsia="宋体" w:hAnsi="宋体" w:cs="Times New Roman" w:hint="eastAsia"/>
          <w:sz w:val="18"/>
          <w:szCs w:val="18"/>
        </w:rPr>
      </w:pPr>
      <w:r w:rsidRPr="003101BC">
        <w:rPr>
          <w:rFonts w:ascii="宋体" w:eastAsia="宋体" w:hAnsi="宋体" w:cs="Times New Roman"/>
          <w:sz w:val="18"/>
          <w:szCs w:val="18"/>
        </w:rPr>
        <w:t xml:space="preserve">□适用 </w:t>
      </w:r>
      <w:r w:rsidRPr="003101BC">
        <w:rPr>
          <w:rFonts w:ascii="宋体" w:eastAsia="宋体" w:hAnsi="宋体" w:cs="Times New Roman"/>
          <w:sz w:val="18"/>
          <w:szCs w:val="18"/>
        </w:rPr>
        <w:sym w:font="Wingdings 2" w:char="F052"/>
      </w:r>
      <w:r w:rsidRPr="003101BC">
        <w:rPr>
          <w:rFonts w:ascii="宋体" w:eastAsia="宋体" w:hAnsi="宋体" w:cs="Times New Roman"/>
          <w:sz w:val="18"/>
          <w:szCs w:val="18"/>
        </w:rPr>
        <w:t>不适用</w:t>
      </w:r>
    </w:p>
    <w:p w14:paraId="2FAC0918" w14:textId="77777777" w:rsidR="006C011D" w:rsidRPr="005A284F" w:rsidRDefault="00000000">
      <w:pPr>
        <w:pStyle w:val="3"/>
        <w:spacing w:line="280" w:lineRule="exact"/>
        <w:jc w:val="left"/>
        <w:rPr>
          <w:rFonts w:ascii="Times New Roman" w:hAnsi="Times New Roman" w:cs="Times New Roman"/>
          <w:b/>
          <w:bCs/>
        </w:rPr>
      </w:pPr>
      <w:bookmarkStart w:id="429" w:name="_Toc989382"/>
      <w:r w:rsidRPr="005A284F">
        <w:rPr>
          <w:rFonts w:ascii="Times New Roman" w:hAnsi="Times New Roman" w:cs="Times New Roman"/>
          <w:b/>
          <w:bCs/>
        </w:rPr>
        <w:t>5</w:t>
      </w:r>
      <w:r w:rsidRPr="005A284F">
        <w:rPr>
          <w:rFonts w:ascii="Times New Roman" w:hAnsi="Times New Roman" w:cs="Times New Roman"/>
          <w:b/>
          <w:bCs/>
        </w:rPr>
        <w:t>、股份支付的修改、终止情况</w:t>
      </w:r>
      <w:bookmarkEnd w:id="429"/>
    </w:p>
    <w:p w14:paraId="75E5A738" w14:textId="77777777" w:rsidR="000309B5" w:rsidRPr="005A284F" w:rsidRDefault="00000000">
      <w:pPr>
        <w:pStyle w:val="a3"/>
        <w:divId w:val="387807095"/>
        <w:rPr>
          <w:rFonts w:ascii="Times New Roman" w:hAnsi="Times New Roman" w:cs="Times New Roman"/>
          <w:sz w:val="18"/>
          <w:szCs w:val="18"/>
        </w:rPr>
      </w:pPr>
      <w:r w:rsidRPr="005A284F">
        <w:rPr>
          <w:rFonts w:ascii="Times New Roman" w:hAnsi="Times New Roman" w:cs="Times New Roman"/>
          <w:sz w:val="18"/>
          <w:szCs w:val="18"/>
        </w:rPr>
        <w:t>无</w:t>
      </w:r>
    </w:p>
    <w:p w14:paraId="064D16D1" w14:textId="77777777" w:rsidR="006C011D" w:rsidRPr="005A284F" w:rsidRDefault="00000000">
      <w:pPr>
        <w:pStyle w:val="3"/>
        <w:spacing w:line="280" w:lineRule="exact"/>
        <w:jc w:val="left"/>
        <w:rPr>
          <w:rFonts w:ascii="Times New Roman" w:hAnsi="Times New Roman" w:cs="Times New Roman"/>
          <w:b/>
          <w:bCs/>
        </w:rPr>
      </w:pPr>
      <w:bookmarkStart w:id="430" w:name="_Toc989383"/>
      <w:r w:rsidRPr="005A284F">
        <w:rPr>
          <w:rFonts w:ascii="Times New Roman" w:hAnsi="Times New Roman" w:cs="Times New Roman"/>
          <w:b/>
          <w:bCs/>
        </w:rPr>
        <w:t>6</w:t>
      </w:r>
      <w:r w:rsidRPr="005A284F">
        <w:rPr>
          <w:rFonts w:ascii="Times New Roman" w:hAnsi="Times New Roman" w:cs="Times New Roman"/>
          <w:b/>
          <w:bCs/>
        </w:rPr>
        <w:t>、其他</w:t>
      </w:r>
      <w:r w:rsidRPr="005A284F">
        <w:rPr>
          <w:rFonts w:ascii="Times New Roman" w:hAnsi="Times New Roman" w:cs="Times New Roman"/>
          <w:b/>
          <w:bCs/>
        </w:rPr>
        <w:t xml:space="preserve"> </w:t>
      </w:r>
      <w:bookmarkEnd w:id="430"/>
    </w:p>
    <w:p w14:paraId="567112FC" w14:textId="77777777" w:rsidR="000309B5" w:rsidRPr="005A284F" w:rsidRDefault="00000000">
      <w:pPr>
        <w:pStyle w:val="a3"/>
        <w:divId w:val="2083678616"/>
        <w:rPr>
          <w:rFonts w:ascii="Times New Roman" w:hAnsi="Times New Roman" w:cs="Times New Roman"/>
          <w:sz w:val="18"/>
          <w:szCs w:val="18"/>
        </w:rPr>
      </w:pPr>
      <w:r w:rsidRPr="005A284F">
        <w:rPr>
          <w:rFonts w:ascii="Times New Roman" w:hAnsi="Times New Roman" w:cs="Times New Roman"/>
          <w:sz w:val="18"/>
          <w:szCs w:val="18"/>
        </w:rPr>
        <w:t>无</w:t>
      </w:r>
    </w:p>
    <w:p w14:paraId="4AF23D31"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431" w:name="_Toc989384"/>
      <w:r w:rsidRPr="005A284F">
        <w:rPr>
          <w:rFonts w:ascii="Times New Roman" w:eastAsia="宋体" w:hAnsi="Times New Roman" w:cs="Times New Roman"/>
          <w:b/>
          <w:bCs/>
          <w:sz w:val="24"/>
          <w:szCs w:val="24"/>
        </w:rPr>
        <w:t>十六、承诺及或有事项</w:t>
      </w:r>
      <w:bookmarkEnd w:id="431"/>
    </w:p>
    <w:p w14:paraId="2E37D46B" w14:textId="77777777" w:rsidR="000309B5" w:rsidRPr="005A284F" w:rsidRDefault="00000000">
      <w:pPr>
        <w:pStyle w:val="a3"/>
        <w:divId w:val="2130077274"/>
        <w:rPr>
          <w:rFonts w:ascii="Times New Roman" w:hAnsi="Times New Roman" w:cs="Times New Roman"/>
          <w:sz w:val="18"/>
          <w:szCs w:val="18"/>
        </w:rPr>
      </w:pPr>
      <w:r w:rsidRPr="005A284F">
        <w:rPr>
          <w:rFonts w:ascii="Times New Roman" w:hAnsi="Times New Roman" w:cs="Times New Roman"/>
          <w:sz w:val="18"/>
          <w:szCs w:val="18"/>
        </w:rPr>
        <w:t>无</w:t>
      </w:r>
    </w:p>
    <w:p w14:paraId="2EDCCB23"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432" w:name="_Toc989390"/>
      <w:r w:rsidRPr="005A284F">
        <w:rPr>
          <w:rFonts w:ascii="Times New Roman" w:eastAsia="宋体" w:hAnsi="Times New Roman" w:cs="Times New Roman"/>
          <w:b/>
          <w:bCs/>
          <w:sz w:val="24"/>
          <w:szCs w:val="24"/>
        </w:rPr>
        <w:t>十七、资产负债表日后事项</w:t>
      </w:r>
      <w:bookmarkEnd w:id="432"/>
    </w:p>
    <w:p w14:paraId="1DB12D60" w14:textId="77777777" w:rsidR="000309B5" w:rsidRPr="005A284F" w:rsidRDefault="00000000">
      <w:pPr>
        <w:pStyle w:val="a3"/>
        <w:divId w:val="980965782"/>
        <w:rPr>
          <w:rFonts w:ascii="Times New Roman" w:hAnsi="Times New Roman" w:cs="Times New Roman"/>
          <w:sz w:val="18"/>
          <w:szCs w:val="18"/>
        </w:rPr>
      </w:pPr>
      <w:r w:rsidRPr="005A284F">
        <w:rPr>
          <w:rFonts w:ascii="Times New Roman" w:hAnsi="Times New Roman" w:cs="Times New Roman"/>
          <w:sz w:val="18"/>
          <w:szCs w:val="18"/>
        </w:rPr>
        <w:t>无</w:t>
      </w:r>
    </w:p>
    <w:p w14:paraId="31268575"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433" w:name="_Toc989395"/>
      <w:r w:rsidRPr="005A284F">
        <w:rPr>
          <w:rFonts w:ascii="Times New Roman" w:eastAsia="宋体" w:hAnsi="Times New Roman" w:cs="Times New Roman"/>
          <w:b/>
          <w:bCs/>
          <w:sz w:val="24"/>
          <w:szCs w:val="24"/>
        </w:rPr>
        <w:t>十八、其他重要事项</w:t>
      </w:r>
      <w:bookmarkEnd w:id="433"/>
    </w:p>
    <w:p w14:paraId="02E20B0A" w14:textId="77777777" w:rsidR="000309B5" w:rsidRPr="005A284F" w:rsidRDefault="00000000">
      <w:pPr>
        <w:pStyle w:val="a3"/>
        <w:divId w:val="1851874797"/>
        <w:rPr>
          <w:rFonts w:ascii="Times New Roman" w:hAnsi="Times New Roman" w:cs="Times New Roman"/>
          <w:sz w:val="18"/>
          <w:szCs w:val="18"/>
        </w:rPr>
      </w:pPr>
      <w:r w:rsidRPr="005A284F">
        <w:rPr>
          <w:rFonts w:ascii="Times New Roman" w:hAnsi="Times New Roman" w:cs="Times New Roman"/>
          <w:sz w:val="18"/>
          <w:szCs w:val="18"/>
        </w:rPr>
        <w:t>无</w:t>
      </w:r>
    </w:p>
    <w:p w14:paraId="34CE2991"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434" w:name="_Toc989412"/>
      <w:r w:rsidRPr="005A284F">
        <w:rPr>
          <w:rFonts w:ascii="Times New Roman" w:eastAsia="宋体" w:hAnsi="Times New Roman" w:cs="Times New Roman"/>
          <w:b/>
          <w:bCs/>
          <w:sz w:val="24"/>
          <w:szCs w:val="24"/>
        </w:rPr>
        <w:lastRenderedPageBreak/>
        <w:t>十九、母公司财务报表主要项目注释</w:t>
      </w:r>
      <w:bookmarkEnd w:id="434"/>
    </w:p>
    <w:p w14:paraId="641D7C96" w14:textId="77777777" w:rsidR="006C011D" w:rsidRPr="005A284F" w:rsidRDefault="00000000">
      <w:pPr>
        <w:pStyle w:val="3"/>
        <w:spacing w:line="280" w:lineRule="exact"/>
        <w:jc w:val="left"/>
        <w:rPr>
          <w:rFonts w:ascii="Times New Roman" w:hAnsi="Times New Roman" w:cs="Times New Roman"/>
          <w:b/>
          <w:bCs/>
        </w:rPr>
      </w:pPr>
      <w:bookmarkStart w:id="435" w:name="_Toc989413"/>
      <w:r w:rsidRPr="005A284F">
        <w:rPr>
          <w:rFonts w:ascii="Times New Roman" w:hAnsi="Times New Roman" w:cs="Times New Roman"/>
          <w:b/>
          <w:bCs/>
        </w:rPr>
        <w:t>1</w:t>
      </w:r>
      <w:r w:rsidRPr="005A284F">
        <w:rPr>
          <w:rFonts w:ascii="Times New Roman" w:hAnsi="Times New Roman" w:cs="Times New Roman"/>
          <w:b/>
          <w:bCs/>
        </w:rPr>
        <w:t>、应收账款</w:t>
      </w:r>
      <w:bookmarkEnd w:id="435"/>
    </w:p>
    <w:p w14:paraId="5A418053" w14:textId="77777777"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436" w:name="_Toc989414"/>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1</w:t>
      </w:r>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 xml:space="preserve"> </w:t>
      </w:r>
      <w:r w:rsidRPr="005A284F">
        <w:rPr>
          <w:rFonts w:ascii="Times New Roman" w:eastAsia="宋体" w:hAnsi="Times New Roman" w:cs="Times New Roman"/>
          <w:b/>
          <w:bCs/>
          <w:sz w:val="21"/>
          <w:szCs w:val="21"/>
        </w:rPr>
        <w:t>按账龄披露</w:t>
      </w:r>
      <w:bookmarkEnd w:id="436"/>
    </w:p>
    <w:p w14:paraId="1DE4D755" w14:textId="77777777" w:rsidR="006C011D" w:rsidRPr="005A284F" w:rsidRDefault="00000000">
      <w:pPr>
        <w:spacing w:before="120" w:after="12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3FFB089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258FE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0F4BD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DD61B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期初账面余额</w:t>
            </w:r>
          </w:p>
        </w:tc>
      </w:tr>
      <w:tr w:rsidR="006C011D" w:rsidRPr="005A284F" w14:paraId="79A8282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866C65"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年以内（含</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6BF90DB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402,929,751.22</w:t>
            </w:r>
          </w:p>
        </w:tc>
        <w:tc>
          <w:tcPr>
            <w:tcW w:w="3213" w:type="dxa"/>
            <w:tcBorders>
              <w:top w:val="single" w:sz="2" w:space="0" w:color="auto"/>
              <w:left w:val="single" w:sz="2" w:space="0" w:color="auto"/>
              <w:bottom w:val="single" w:sz="2" w:space="0" w:color="auto"/>
              <w:right w:val="single" w:sz="2" w:space="0" w:color="auto"/>
            </w:tcBorders>
            <w:vAlign w:val="center"/>
          </w:tcPr>
          <w:p w14:paraId="4C9134E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381,346,298.26</w:t>
            </w:r>
          </w:p>
        </w:tc>
      </w:tr>
      <w:tr w:rsidR="006C011D" w:rsidRPr="005A284F" w14:paraId="4FA5207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319925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1-3</w:t>
            </w:r>
            <w:r w:rsidRPr="005A284F">
              <w:rPr>
                <w:rFonts w:ascii="Times New Roman" w:eastAsia="宋体" w:hAnsi="Times New Roman" w:cs="Times New Roman"/>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4710381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311,274,859.32</w:t>
            </w:r>
          </w:p>
        </w:tc>
        <w:tc>
          <w:tcPr>
            <w:tcW w:w="3213" w:type="dxa"/>
            <w:tcBorders>
              <w:top w:val="single" w:sz="2" w:space="0" w:color="auto"/>
              <w:left w:val="single" w:sz="2" w:space="0" w:color="auto"/>
              <w:bottom w:val="single" w:sz="2" w:space="0" w:color="auto"/>
              <w:right w:val="single" w:sz="2" w:space="0" w:color="auto"/>
            </w:tcBorders>
            <w:vAlign w:val="center"/>
          </w:tcPr>
          <w:p w14:paraId="5443FF4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320,469,396.60</w:t>
            </w:r>
          </w:p>
        </w:tc>
      </w:tr>
      <w:tr w:rsidR="006C011D" w:rsidRPr="005A284F" w14:paraId="1E43725F"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CDBF8C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4-6</w:t>
            </w:r>
            <w:r w:rsidRPr="005A284F">
              <w:rPr>
                <w:rFonts w:ascii="Times New Roman" w:eastAsia="宋体" w:hAnsi="Times New Roman" w:cs="Times New Roman"/>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6DE3F24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60,443,049.78</w:t>
            </w:r>
          </w:p>
        </w:tc>
        <w:tc>
          <w:tcPr>
            <w:tcW w:w="3213" w:type="dxa"/>
            <w:tcBorders>
              <w:top w:val="single" w:sz="2" w:space="0" w:color="auto"/>
              <w:left w:val="single" w:sz="2" w:space="0" w:color="auto"/>
              <w:bottom w:val="single" w:sz="2" w:space="0" w:color="auto"/>
              <w:right w:val="single" w:sz="2" w:space="0" w:color="auto"/>
            </w:tcBorders>
            <w:vAlign w:val="center"/>
          </w:tcPr>
          <w:p w14:paraId="5CD2CE5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36,749,977.97</w:t>
            </w:r>
          </w:p>
        </w:tc>
      </w:tr>
      <w:tr w:rsidR="006C011D" w:rsidRPr="005A284F" w14:paraId="2B46DD7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C875CE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7-9</w:t>
            </w:r>
            <w:r w:rsidRPr="005A284F">
              <w:rPr>
                <w:rFonts w:ascii="Times New Roman" w:eastAsia="宋体" w:hAnsi="Times New Roman" w:cs="Times New Roman"/>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10042B8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27,106,745.66</w:t>
            </w:r>
          </w:p>
        </w:tc>
        <w:tc>
          <w:tcPr>
            <w:tcW w:w="3213" w:type="dxa"/>
            <w:tcBorders>
              <w:top w:val="single" w:sz="2" w:space="0" w:color="auto"/>
              <w:left w:val="single" w:sz="2" w:space="0" w:color="auto"/>
              <w:bottom w:val="single" w:sz="2" w:space="0" w:color="auto"/>
              <w:right w:val="single" w:sz="2" w:space="0" w:color="auto"/>
            </w:tcBorders>
            <w:vAlign w:val="center"/>
          </w:tcPr>
          <w:p w14:paraId="0B071F4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9,270,252.29</w:t>
            </w:r>
          </w:p>
        </w:tc>
      </w:tr>
      <w:tr w:rsidR="006C011D" w:rsidRPr="005A284F" w14:paraId="68B2FA29"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8AA60A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10-12</w:t>
            </w:r>
            <w:r w:rsidRPr="005A284F">
              <w:rPr>
                <w:rFonts w:ascii="Times New Roman" w:eastAsia="宋体" w:hAnsi="Times New Roman" w:cs="Times New Roman"/>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1B4A419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4,105,096.46</w:t>
            </w:r>
          </w:p>
        </w:tc>
        <w:tc>
          <w:tcPr>
            <w:tcW w:w="3213" w:type="dxa"/>
            <w:tcBorders>
              <w:top w:val="single" w:sz="2" w:space="0" w:color="auto"/>
              <w:left w:val="single" w:sz="2" w:space="0" w:color="auto"/>
              <w:bottom w:val="single" w:sz="2" w:space="0" w:color="auto"/>
              <w:right w:val="single" w:sz="2" w:space="0" w:color="auto"/>
            </w:tcBorders>
            <w:vAlign w:val="center"/>
          </w:tcPr>
          <w:p w14:paraId="0AC2A7F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14,856,671.40</w:t>
            </w:r>
          </w:p>
        </w:tc>
      </w:tr>
      <w:tr w:rsidR="006C011D" w:rsidRPr="005A284F" w14:paraId="3AC3EF4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33D6A7"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至</w:t>
            </w: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20BEA3C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78,615,362.23</w:t>
            </w:r>
          </w:p>
        </w:tc>
        <w:tc>
          <w:tcPr>
            <w:tcW w:w="3213" w:type="dxa"/>
            <w:tcBorders>
              <w:top w:val="single" w:sz="2" w:space="0" w:color="auto"/>
              <w:left w:val="single" w:sz="2" w:space="0" w:color="auto"/>
              <w:bottom w:val="single" w:sz="2" w:space="0" w:color="auto"/>
              <w:right w:val="single" w:sz="2" w:space="0" w:color="auto"/>
            </w:tcBorders>
            <w:vAlign w:val="center"/>
          </w:tcPr>
          <w:p w14:paraId="4C9CE9D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79,170,147.91</w:t>
            </w:r>
          </w:p>
        </w:tc>
      </w:tr>
      <w:tr w:rsidR="006C011D" w:rsidRPr="005A284F" w14:paraId="5870ADC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BFD256"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至</w:t>
            </w: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1EF4E8A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26,703,454.70</w:t>
            </w:r>
          </w:p>
        </w:tc>
        <w:tc>
          <w:tcPr>
            <w:tcW w:w="3213" w:type="dxa"/>
            <w:tcBorders>
              <w:top w:val="single" w:sz="2" w:space="0" w:color="auto"/>
              <w:left w:val="single" w:sz="2" w:space="0" w:color="auto"/>
              <w:bottom w:val="single" w:sz="2" w:space="0" w:color="auto"/>
              <w:right w:val="single" w:sz="2" w:space="0" w:color="auto"/>
            </w:tcBorders>
            <w:vAlign w:val="center"/>
          </w:tcPr>
          <w:p w14:paraId="348E76C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9,942,626.65</w:t>
            </w:r>
          </w:p>
        </w:tc>
      </w:tr>
      <w:tr w:rsidR="006C011D" w:rsidRPr="005A284F" w14:paraId="7E84EA7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C694AF"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年以上</w:t>
            </w:r>
          </w:p>
        </w:tc>
        <w:tc>
          <w:tcPr>
            <w:tcW w:w="3213" w:type="dxa"/>
            <w:tcBorders>
              <w:top w:val="single" w:sz="2" w:space="0" w:color="auto"/>
              <w:left w:val="single" w:sz="2" w:space="0" w:color="auto"/>
              <w:bottom w:val="single" w:sz="2" w:space="0" w:color="auto"/>
              <w:right w:val="single" w:sz="2" w:space="0" w:color="auto"/>
            </w:tcBorders>
            <w:vAlign w:val="center"/>
          </w:tcPr>
          <w:p w14:paraId="5E42FA0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2,649,141.94</w:t>
            </w:r>
          </w:p>
        </w:tc>
        <w:tc>
          <w:tcPr>
            <w:tcW w:w="3213" w:type="dxa"/>
            <w:tcBorders>
              <w:top w:val="single" w:sz="2" w:space="0" w:color="auto"/>
              <w:left w:val="single" w:sz="2" w:space="0" w:color="auto"/>
              <w:bottom w:val="single" w:sz="2" w:space="0" w:color="auto"/>
              <w:right w:val="single" w:sz="2" w:space="0" w:color="auto"/>
            </w:tcBorders>
            <w:vAlign w:val="center"/>
          </w:tcPr>
          <w:p w14:paraId="4A7ED38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21,410.80</w:t>
            </w:r>
          </w:p>
        </w:tc>
      </w:tr>
      <w:tr w:rsidR="006C011D" w:rsidRPr="005A284F" w14:paraId="6791A5C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23683D" w14:textId="77777777" w:rsidR="006C011D" w:rsidRPr="005A284F" w:rsidRDefault="00000000">
            <w:pPr>
              <w:spacing w:before="40" w:after="4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至</w:t>
            </w: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0562CEF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2,649,141.94</w:t>
            </w:r>
          </w:p>
        </w:tc>
        <w:tc>
          <w:tcPr>
            <w:tcW w:w="3213" w:type="dxa"/>
            <w:tcBorders>
              <w:top w:val="single" w:sz="2" w:space="0" w:color="auto"/>
              <w:left w:val="single" w:sz="2" w:space="0" w:color="auto"/>
              <w:bottom w:val="single" w:sz="2" w:space="0" w:color="auto"/>
              <w:right w:val="single" w:sz="2" w:space="0" w:color="auto"/>
            </w:tcBorders>
            <w:vAlign w:val="center"/>
          </w:tcPr>
          <w:p w14:paraId="3AABB02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21,410.80</w:t>
            </w:r>
          </w:p>
        </w:tc>
      </w:tr>
      <w:tr w:rsidR="006C011D" w:rsidRPr="005A284F" w14:paraId="031270C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90B1EE"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1F06E8F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510,897,710.09</w:t>
            </w:r>
          </w:p>
        </w:tc>
        <w:tc>
          <w:tcPr>
            <w:tcW w:w="3213" w:type="dxa"/>
            <w:tcBorders>
              <w:top w:val="single" w:sz="2" w:space="0" w:color="auto"/>
              <w:left w:val="single" w:sz="2" w:space="0" w:color="auto"/>
              <w:bottom w:val="single" w:sz="2" w:space="0" w:color="auto"/>
              <w:right w:val="single" w:sz="2" w:space="0" w:color="auto"/>
            </w:tcBorders>
            <w:vAlign w:val="center"/>
          </w:tcPr>
          <w:p w14:paraId="67249FC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470,480,483.62</w:t>
            </w:r>
          </w:p>
        </w:tc>
      </w:tr>
    </w:tbl>
    <w:p w14:paraId="757D7A2D" w14:textId="77777777"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437" w:name="_Toc989415"/>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2</w:t>
      </w:r>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 xml:space="preserve"> </w:t>
      </w:r>
      <w:r w:rsidRPr="005A284F">
        <w:rPr>
          <w:rFonts w:ascii="Times New Roman" w:eastAsia="宋体" w:hAnsi="Times New Roman" w:cs="Times New Roman"/>
          <w:b/>
          <w:bCs/>
          <w:sz w:val="21"/>
          <w:szCs w:val="21"/>
        </w:rPr>
        <w:t>按坏账计提方法分类披露</w:t>
      </w:r>
      <w:bookmarkEnd w:id="437"/>
    </w:p>
    <w:p w14:paraId="69C5022A"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75"/>
        <w:gridCol w:w="876"/>
        <w:gridCol w:w="877"/>
        <w:gridCol w:w="876"/>
        <w:gridCol w:w="877"/>
        <w:gridCol w:w="876"/>
        <w:gridCol w:w="876"/>
        <w:gridCol w:w="877"/>
        <w:gridCol w:w="876"/>
        <w:gridCol w:w="877"/>
        <w:gridCol w:w="876"/>
      </w:tblGrid>
      <w:tr w:rsidR="006C011D" w:rsidRPr="005A284F" w14:paraId="4FE23436" w14:textId="77777777">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5F0F2B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479CB1D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61608BD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r>
      <w:tr w:rsidR="006C011D" w:rsidRPr="005A284F" w14:paraId="76225F5B" w14:textId="77777777">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3F9EBC9" w14:textId="77777777" w:rsidR="006C011D" w:rsidRPr="005A284F" w:rsidRDefault="006C011D">
            <w:pPr>
              <w:rPr>
                <w:rFonts w:ascii="Times New Roman" w:eastAsia="宋体" w:hAnsi="Times New Roman" w:cs="Times New Roman"/>
              </w:rPr>
            </w:pP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5D754A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0D6CA2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B162B4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C885A2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5F86BE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6506AE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账面价值</w:t>
            </w:r>
          </w:p>
        </w:tc>
      </w:tr>
      <w:tr w:rsidR="006C011D" w:rsidRPr="005A284F" w14:paraId="4F3283F5" w14:textId="77777777">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FB129C9" w14:textId="77777777" w:rsidR="006C011D" w:rsidRPr="005A284F" w:rsidRDefault="006C011D">
            <w:pPr>
              <w:rPr>
                <w:rFonts w:ascii="Times New Roman" w:eastAsia="宋体" w:hAnsi="Times New Roman" w:cs="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A9CC41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B1B3F1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F4FE03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659AB2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9078C60" w14:textId="77777777" w:rsidR="006C011D" w:rsidRPr="005A284F" w:rsidRDefault="006C011D">
            <w:pPr>
              <w:rPr>
                <w:rFonts w:ascii="Times New Roman" w:eastAsia="宋体" w:hAnsi="Times New Roman" w:cs="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1A101D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8D13D9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E34E6E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E8B215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A8A858F" w14:textId="77777777" w:rsidR="006C011D" w:rsidRPr="005A284F" w:rsidRDefault="006C011D">
            <w:pPr>
              <w:rPr>
                <w:rFonts w:ascii="Times New Roman" w:eastAsia="宋体" w:hAnsi="Times New Roman" w:cs="Times New Roman"/>
              </w:rPr>
            </w:pPr>
          </w:p>
        </w:tc>
      </w:tr>
      <w:tr w:rsidR="006C011D" w:rsidRPr="005A284F" w14:paraId="27AEB1FE"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FFD3301"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按单项计提坏账准备的应收账款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14:paraId="0F9AA7E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66,924,700.35</w:t>
            </w:r>
          </w:p>
        </w:tc>
        <w:tc>
          <w:tcPr>
            <w:tcW w:w="876" w:type="dxa"/>
            <w:tcBorders>
              <w:top w:val="single" w:sz="2" w:space="0" w:color="auto"/>
              <w:left w:val="single" w:sz="2" w:space="0" w:color="auto"/>
              <w:bottom w:val="single" w:sz="2" w:space="0" w:color="auto"/>
              <w:right w:val="single" w:sz="2" w:space="0" w:color="auto"/>
            </w:tcBorders>
            <w:vAlign w:val="center"/>
          </w:tcPr>
          <w:p w14:paraId="3B26EF2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13.10%</w:t>
            </w:r>
          </w:p>
        </w:tc>
        <w:tc>
          <w:tcPr>
            <w:tcW w:w="876" w:type="dxa"/>
            <w:tcBorders>
              <w:top w:val="single" w:sz="2" w:space="0" w:color="auto"/>
              <w:left w:val="single" w:sz="2" w:space="0" w:color="auto"/>
              <w:bottom w:val="single" w:sz="2" w:space="0" w:color="auto"/>
              <w:right w:val="single" w:sz="2" w:space="0" w:color="auto"/>
            </w:tcBorders>
            <w:vAlign w:val="center"/>
          </w:tcPr>
          <w:p w14:paraId="5FB2710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66,924,700.35</w:t>
            </w:r>
          </w:p>
        </w:tc>
        <w:tc>
          <w:tcPr>
            <w:tcW w:w="876" w:type="dxa"/>
            <w:tcBorders>
              <w:top w:val="single" w:sz="2" w:space="0" w:color="auto"/>
              <w:left w:val="single" w:sz="2" w:space="0" w:color="auto"/>
              <w:bottom w:val="single" w:sz="2" w:space="0" w:color="auto"/>
              <w:right w:val="single" w:sz="2" w:space="0" w:color="auto"/>
            </w:tcBorders>
            <w:vAlign w:val="center"/>
          </w:tcPr>
          <w:p w14:paraId="5BA7180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3451690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237435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64,685,177.80</w:t>
            </w:r>
          </w:p>
        </w:tc>
        <w:tc>
          <w:tcPr>
            <w:tcW w:w="876" w:type="dxa"/>
            <w:tcBorders>
              <w:top w:val="single" w:sz="2" w:space="0" w:color="auto"/>
              <w:left w:val="single" w:sz="2" w:space="0" w:color="auto"/>
              <w:bottom w:val="single" w:sz="2" w:space="0" w:color="auto"/>
              <w:right w:val="single" w:sz="2" w:space="0" w:color="auto"/>
            </w:tcBorders>
            <w:vAlign w:val="center"/>
          </w:tcPr>
          <w:p w14:paraId="0D1FBFA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13.75%</w:t>
            </w:r>
          </w:p>
        </w:tc>
        <w:tc>
          <w:tcPr>
            <w:tcW w:w="876" w:type="dxa"/>
            <w:tcBorders>
              <w:top w:val="single" w:sz="2" w:space="0" w:color="auto"/>
              <w:left w:val="single" w:sz="2" w:space="0" w:color="auto"/>
              <w:bottom w:val="single" w:sz="2" w:space="0" w:color="auto"/>
              <w:right w:val="single" w:sz="2" w:space="0" w:color="auto"/>
            </w:tcBorders>
            <w:vAlign w:val="center"/>
          </w:tcPr>
          <w:p w14:paraId="1608D32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64,685,177.80</w:t>
            </w:r>
          </w:p>
        </w:tc>
        <w:tc>
          <w:tcPr>
            <w:tcW w:w="876" w:type="dxa"/>
            <w:tcBorders>
              <w:top w:val="single" w:sz="2" w:space="0" w:color="auto"/>
              <w:left w:val="single" w:sz="2" w:space="0" w:color="auto"/>
              <w:bottom w:val="single" w:sz="2" w:space="0" w:color="auto"/>
              <w:right w:val="single" w:sz="2" w:space="0" w:color="auto"/>
            </w:tcBorders>
            <w:vAlign w:val="center"/>
          </w:tcPr>
          <w:p w14:paraId="6B990BF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696D785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r>
      <w:tr w:rsidR="006C011D" w:rsidRPr="005A284F" w14:paraId="103E2C83"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3EF37EF"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B41C3C9" w14:textId="77777777" w:rsidR="006C011D" w:rsidRPr="005A284F" w:rsidRDefault="006C011D">
            <w:pPr>
              <w:rPr>
                <w:rFonts w:ascii="Times New Roman" w:eastAsia="宋体" w:hAnsi="Times New Roman" w:cs="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500C883" w14:textId="77777777" w:rsidR="006C011D" w:rsidRPr="005A284F" w:rsidRDefault="006C011D">
            <w:pPr>
              <w:rPr>
                <w:rFonts w:ascii="Times New Roman" w:eastAsia="宋体" w:hAnsi="Times New Roman" w:cs="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A194944" w14:textId="77777777" w:rsidR="006C011D" w:rsidRPr="005A284F" w:rsidRDefault="006C011D">
            <w:pPr>
              <w:rPr>
                <w:rFonts w:ascii="Times New Roman" w:eastAsia="宋体" w:hAnsi="Times New Roman" w:cs="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71CA352" w14:textId="77777777" w:rsidR="006C011D" w:rsidRPr="005A284F" w:rsidRDefault="006C011D">
            <w:pPr>
              <w:rPr>
                <w:rFonts w:ascii="Times New Roman" w:eastAsia="宋体" w:hAnsi="Times New Roman" w:cs="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0B27706" w14:textId="77777777" w:rsidR="006C011D" w:rsidRPr="005A284F" w:rsidRDefault="006C011D">
            <w:pPr>
              <w:rPr>
                <w:rFonts w:ascii="Times New Roman" w:eastAsia="宋体" w:hAnsi="Times New Roman" w:cs="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98D1325" w14:textId="77777777" w:rsidR="006C011D" w:rsidRPr="005A284F" w:rsidRDefault="006C011D">
            <w:pPr>
              <w:rPr>
                <w:rFonts w:ascii="Times New Roman" w:eastAsia="宋体" w:hAnsi="Times New Roman" w:cs="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42456D8" w14:textId="77777777" w:rsidR="006C011D" w:rsidRPr="005A284F" w:rsidRDefault="006C011D">
            <w:pPr>
              <w:rPr>
                <w:rFonts w:ascii="Times New Roman" w:eastAsia="宋体" w:hAnsi="Times New Roman" w:cs="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1248597" w14:textId="77777777" w:rsidR="006C011D" w:rsidRPr="005A284F" w:rsidRDefault="006C011D">
            <w:pPr>
              <w:rPr>
                <w:rFonts w:ascii="Times New Roman" w:eastAsia="宋体" w:hAnsi="Times New Roman" w:cs="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125EBFD" w14:textId="77777777" w:rsidR="006C011D" w:rsidRPr="005A284F" w:rsidRDefault="006C011D">
            <w:pPr>
              <w:rPr>
                <w:rFonts w:ascii="Times New Roman" w:eastAsia="宋体" w:hAnsi="Times New Roman" w:cs="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6DB2599" w14:textId="77777777" w:rsidR="006C011D" w:rsidRPr="005A284F" w:rsidRDefault="006C011D">
            <w:pPr>
              <w:rPr>
                <w:rFonts w:ascii="Times New Roman" w:eastAsia="宋体" w:hAnsi="Times New Roman" w:cs="Times New Roman"/>
              </w:rPr>
            </w:pPr>
          </w:p>
        </w:tc>
      </w:tr>
      <w:tr w:rsidR="006C011D" w:rsidRPr="005A284F" w14:paraId="29B67EA8"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C3E4D78"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按组合计提坏账准备的应收账款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14:paraId="3D2ED10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443,973,009.74</w:t>
            </w:r>
          </w:p>
        </w:tc>
        <w:tc>
          <w:tcPr>
            <w:tcW w:w="876" w:type="dxa"/>
            <w:tcBorders>
              <w:top w:val="single" w:sz="2" w:space="0" w:color="auto"/>
              <w:left w:val="single" w:sz="2" w:space="0" w:color="auto"/>
              <w:bottom w:val="single" w:sz="2" w:space="0" w:color="auto"/>
              <w:right w:val="single" w:sz="2" w:space="0" w:color="auto"/>
            </w:tcBorders>
            <w:vAlign w:val="center"/>
          </w:tcPr>
          <w:p w14:paraId="4816E57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86.90%</w:t>
            </w:r>
          </w:p>
        </w:tc>
        <w:tc>
          <w:tcPr>
            <w:tcW w:w="876" w:type="dxa"/>
            <w:tcBorders>
              <w:top w:val="single" w:sz="2" w:space="0" w:color="auto"/>
              <w:left w:val="single" w:sz="2" w:space="0" w:color="auto"/>
              <w:bottom w:val="single" w:sz="2" w:space="0" w:color="auto"/>
              <w:right w:val="single" w:sz="2" w:space="0" w:color="auto"/>
            </w:tcBorders>
            <w:vAlign w:val="center"/>
          </w:tcPr>
          <w:p w14:paraId="316E0F3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7,174,582.93</w:t>
            </w:r>
          </w:p>
        </w:tc>
        <w:tc>
          <w:tcPr>
            <w:tcW w:w="876" w:type="dxa"/>
            <w:tcBorders>
              <w:top w:val="single" w:sz="2" w:space="0" w:color="auto"/>
              <w:left w:val="single" w:sz="2" w:space="0" w:color="auto"/>
              <w:bottom w:val="single" w:sz="2" w:space="0" w:color="auto"/>
              <w:right w:val="single" w:sz="2" w:space="0" w:color="auto"/>
            </w:tcBorders>
            <w:vAlign w:val="center"/>
          </w:tcPr>
          <w:p w14:paraId="6649F2D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1.62%</w:t>
            </w:r>
          </w:p>
        </w:tc>
        <w:tc>
          <w:tcPr>
            <w:tcW w:w="876" w:type="dxa"/>
            <w:tcBorders>
              <w:top w:val="single" w:sz="2" w:space="0" w:color="auto"/>
              <w:left w:val="single" w:sz="2" w:space="0" w:color="auto"/>
              <w:bottom w:val="single" w:sz="2" w:space="0" w:color="auto"/>
              <w:right w:val="single" w:sz="2" w:space="0" w:color="auto"/>
            </w:tcBorders>
            <w:vAlign w:val="center"/>
          </w:tcPr>
          <w:p w14:paraId="3DF6F23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436,798,426.81</w:t>
            </w:r>
          </w:p>
        </w:tc>
        <w:tc>
          <w:tcPr>
            <w:tcW w:w="876" w:type="dxa"/>
            <w:tcBorders>
              <w:top w:val="single" w:sz="2" w:space="0" w:color="auto"/>
              <w:left w:val="single" w:sz="2" w:space="0" w:color="auto"/>
              <w:bottom w:val="single" w:sz="2" w:space="0" w:color="auto"/>
              <w:right w:val="single" w:sz="2" w:space="0" w:color="auto"/>
            </w:tcBorders>
            <w:vAlign w:val="center"/>
          </w:tcPr>
          <w:p w14:paraId="45B7BB7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405,795,305.82</w:t>
            </w:r>
          </w:p>
        </w:tc>
        <w:tc>
          <w:tcPr>
            <w:tcW w:w="876" w:type="dxa"/>
            <w:tcBorders>
              <w:top w:val="single" w:sz="2" w:space="0" w:color="auto"/>
              <w:left w:val="single" w:sz="2" w:space="0" w:color="auto"/>
              <w:bottom w:val="single" w:sz="2" w:space="0" w:color="auto"/>
              <w:right w:val="single" w:sz="2" w:space="0" w:color="auto"/>
            </w:tcBorders>
            <w:vAlign w:val="center"/>
          </w:tcPr>
          <w:p w14:paraId="34A0A67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86.25%</w:t>
            </w:r>
          </w:p>
        </w:tc>
        <w:tc>
          <w:tcPr>
            <w:tcW w:w="876" w:type="dxa"/>
            <w:tcBorders>
              <w:top w:val="single" w:sz="2" w:space="0" w:color="auto"/>
              <w:left w:val="single" w:sz="2" w:space="0" w:color="auto"/>
              <w:bottom w:val="single" w:sz="2" w:space="0" w:color="auto"/>
              <w:right w:val="single" w:sz="2" w:space="0" w:color="auto"/>
            </w:tcBorders>
            <w:vAlign w:val="center"/>
          </w:tcPr>
          <w:p w14:paraId="122001D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7,312,950.37</w:t>
            </w:r>
          </w:p>
        </w:tc>
        <w:tc>
          <w:tcPr>
            <w:tcW w:w="876" w:type="dxa"/>
            <w:tcBorders>
              <w:top w:val="single" w:sz="2" w:space="0" w:color="auto"/>
              <w:left w:val="single" w:sz="2" w:space="0" w:color="auto"/>
              <w:bottom w:val="single" w:sz="2" w:space="0" w:color="auto"/>
              <w:right w:val="single" w:sz="2" w:space="0" w:color="auto"/>
            </w:tcBorders>
            <w:vAlign w:val="center"/>
          </w:tcPr>
          <w:p w14:paraId="70F2AB2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1.80%</w:t>
            </w:r>
          </w:p>
        </w:tc>
        <w:tc>
          <w:tcPr>
            <w:tcW w:w="876" w:type="dxa"/>
            <w:tcBorders>
              <w:top w:val="single" w:sz="2" w:space="0" w:color="auto"/>
              <w:left w:val="single" w:sz="2" w:space="0" w:color="auto"/>
              <w:bottom w:val="single" w:sz="2" w:space="0" w:color="auto"/>
              <w:right w:val="single" w:sz="2" w:space="0" w:color="auto"/>
            </w:tcBorders>
            <w:vAlign w:val="center"/>
          </w:tcPr>
          <w:p w14:paraId="289CFD8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398,482,355.45</w:t>
            </w:r>
          </w:p>
        </w:tc>
      </w:tr>
      <w:tr w:rsidR="006C011D" w:rsidRPr="005A284F" w14:paraId="3FD82A16"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925B45E" w14:textId="77777777" w:rsidR="006C011D" w:rsidRPr="005A284F" w:rsidRDefault="00000000">
            <w:pPr>
              <w:spacing w:before="40" w:after="40" w:line="240" w:lineRule="exact"/>
              <w:ind w:firstLineChars="100" w:firstLine="180"/>
              <w:rPr>
                <w:rFonts w:ascii="Times New Roman" w:eastAsia="宋体" w:hAnsi="Times New Roman" w:cs="Times New Roman"/>
                <w:sz w:val="18"/>
                <w:szCs w:val="18"/>
              </w:rPr>
            </w:pPr>
            <w:r w:rsidRPr="005A284F">
              <w:rPr>
                <w:rFonts w:ascii="Times New Roman" w:eastAsia="宋体" w:hAnsi="Times New Roman" w:cs="Times New Roman"/>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68562FA" w14:textId="77777777" w:rsidR="006C011D" w:rsidRPr="005A284F" w:rsidRDefault="006C011D">
            <w:pPr>
              <w:rPr>
                <w:rFonts w:ascii="Times New Roman" w:eastAsia="宋体" w:hAnsi="Times New Roman" w:cs="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632C8B8" w14:textId="77777777" w:rsidR="006C011D" w:rsidRPr="005A284F" w:rsidRDefault="006C011D">
            <w:pPr>
              <w:rPr>
                <w:rFonts w:ascii="Times New Roman" w:eastAsia="宋体" w:hAnsi="Times New Roman" w:cs="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54B01A7" w14:textId="77777777" w:rsidR="006C011D" w:rsidRPr="005A284F" w:rsidRDefault="006C011D">
            <w:pPr>
              <w:rPr>
                <w:rFonts w:ascii="Times New Roman" w:eastAsia="宋体" w:hAnsi="Times New Roman" w:cs="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98B3019" w14:textId="77777777" w:rsidR="006C011D" w:rsidRPr="005A284F" w:rsidRDefault="006C011D">
            <w:pPr>
              <w:rPr>
                <w:rFonts w:ascii="Times New Roman" w:eastAsia="宋体" w:hAnsi="Times New Roman" w:cs="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BC0ED0D" w14:textId="77777777" w:rsidR="006C011D" w:rsidRPr="005A284F" w:rsidRDefault="006C011D">
            <w:pPr>
              <w:rPr>
                <w:rFonts w:ascii="Times New Roman" w:eastAsia="宋体" w:hAnsi="Times New Roman" w:cs="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352C785" w14:textId="77777777" w:rsidR="006C011D" w:rsidRPr="005A284F" w:rsidRDefault="006C011D">
            <w:pPr>
              <w:rPr>
                <w:rFonts w:ascii="Times New Roman" w:eastAsia="宋体" w:hAnsi="Times New Roman" w:cs="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9BCEAD9" w14:textId="77777777" w:rsidR="006C011D" w:rsidRPr="005A284F" w:rsidRDefault="006C011D">
            <w:pPr>
              <w:rPr>
                <w:rFonts w:ascii="Times New Roman" w:eastAsia="宋体" w:hAnsi="Times New Roman" w:cs="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F8A3CC7" w14:textId="77777777" w:rsidR="006C011D" w:rsidRPr="005A284F" w:rsidRDefault="006C011D">
            <w:pPr>
              <w:rPr>
                <w:rFonts w:ascii="Times New Roman" w:eastAsia="宋体" w:hAnsi="Times New Roman" w:cs="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54AAD1A" w14:textId="77777777" w:rsidR="006C011D" w:rsidRPr="005A284F" w:rsidRDefault="006C011D">
            <w:pPr>
              <w:rPr>
                <w:rFonts w:ascii="Times New Roman" w:eastAsia="宋体" w:hAnsi="Times New Roman" w:cs="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CDFC6BD" w14:textId="77777777" w:rsidR="006C011D" w:rsidRPr="005A284F" w:rsidRDefault="006C011D">
            <w:pPr>
              <w:rPr>
                <w:rFonts w:ascii="Times New Roman" w:eastAsia="宋体" w:hAnsi="Times New Roman" w:cs="Times New Roman"/>
              </w:rPr>
            </w:pPr>
          </w:p>
        </w:tc>
      </w:tr>
      <w:tr w:rsidR="006C011D" w:rsidRPr="005A284F" w14:paraId="56988E51"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62D3574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合并范围内关联方款项组合</w:t>
            </w:r>
          </w:p>
        </w:tc>
        <w:tc>
          <w:tcPr>
            <w:tcW w:w="876" w:type="dxa"/>
            <w:tcBorders>
              <w:top w:val="single" w:sz="2" w:space="0" w:color="auto"/>
              <w:left w:val="single" w:sz="2" w:space="0" w:color="auto"/>
              <w:bottom w:val="single" w:sz="2" w:space="0" w:color="auto"/>
              <w:right w:val="single" w:sz="2" w:space="0" w:color="auto"/>
            </w:tcBorders>
            <w:vAlign w:val="center"/>
          </w:tcPr>
          <w:p w14:paraId="60C7E4A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148,355,814.54</w:t>
            </w:r>
          </w:p>
        </w:tc>
        <w:tc>
          <w:tcPr>
            <w:tcW w:w="876" w:type="dxa"/>
            <w:tcBorders>
              <w:top w:val="single" w:sz="2" w:space="0" w:color="auto"/>
              <w:left w:val="single" w:sz="2" w:space="0" w:color="auto"/>
              <w:bottom w:val="single" w:sz="2" w:space="0" w:color="auto"/>
              <w:right w:val="single" w:sz="2" w:space="0" w:color="auto"/>
            </w:tcBorders>
            <w:vAlign w:val="center"/>
          </w:tcPr>
          <w:p w14:paraId="6F9AEA4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29.04%</w:t>
            </w:r>
          </w:p>
        </w:tc>
        <w:tc>
          <w:tcPr>
            <w:tcW w:w="876" w:type="dxa"/>
            <w:tcBorders>
              <w:top w:val="single" w:sz="2" w:space="0" w:color="auto"/>
              <w:left w:val="single" w:sz="2" w:space="0" w:color="auto"/>
              <w:bottom w:val="single" w:sz="2" w:space="0" w:color="auto"/>
              <w:right w:val="single" w:sz="2" w:space="0" w:color="auto"/>
            </w:tcBorders>
            <w:vAlign w:val="center"/>
          </w:tcPr>
          <w:p w14:paraId="251A6DF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876" w:type="dxa"/>
            <w:tcBorders>
              <w:top w:val="single" w:sz="2" w:space="0" w:color="auto"/>
              <w:left w:val="single" w:sz="2" w:space="0" w:color="auto"/>
              <w:bottom w:val="single" w:sz="2" w:space="0" w:color="auto"/>
              <w:right w:val="single" w:sz="2" w:space="0" w:color="auto"/>
            </w:tcBorders>
            <w:vAlign w:val="center"/>
          </w:tcPr>
          <w:p w14:paraId="01F8DA2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876" w:type="dxa"/>
            <w:tcBorders>
              <w:top w:val="single" w:sz="2" w:space="0" w:color="auto"/>
              <w:left w:val="single" w:sz="2" w:space="0" w:color="auto"/>
              <w:bottom w:val="single" w:sz="2" w:space="0" w:color="auto"/>
              <w:right w:val="single" w:sz="2" w:space="0" w:color="auto"/>
            </w:tcBorders>
            <w:vAlign w:val="center"/>
          </w:tcPr>
          <w:p w14:paraId="42D49EB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148,355,814.54</w:t>
            </w:r>
          </w:p>
        </w:tc>
        <w:tc>
          <w:tcPr>
            <w:tcW w:w="876" w:type="dxa"/>
            <w:tcBorders>
              <w:top w:val="single" w:sz="2" w:space="0" w:color="auto"/>
              <w:left w:val="single" w:sz="2" w:space="0" w:color="auto"/>
              <w:bottom w:val="single" w:sz="2" w:space="0" w:color="auto"/>
              <w:right w:val="single" w:sz="2" w:space="0" w:color="auto"/>
            </w:tcBorders>
            <w:vAlign w:val="center"/>
          </w:tcPr>
          <w:p w14:paraId="71DAC3C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109,858,833.31</w:t>
            </w:r>
          </w:p>
        </w:tc>
        <w:tc>
          <w:tcPr>
            <w:tcW w:w="876" w:type="dxa"/>
            <w:tcBorders>
              <w:top w:val="single" w:sz="2" w:space="0" w:color="auto"/>
              <w:left w:val="single" w:sz="2" w:space="0" w:color="auto"/>
              <w:bottom w:val="single" w:sz="2" w:space="0" w:color="auto"/>
              <w:right w:val="single" w:sz="2" w:space="0" w:color="auto"/>
            </w:tcBorders>
            <w:vAlign w:val="center"/>
          </w:tcPr>
          <w:p w14:paraId="70968C1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23.35%</w:t>
            </w:r>
          </w:p>
        </w:tc>
        <w:tc>
          <w:tcPr>
            <w:tcW w:w="876" w:type="dxa"/>
            <w:tcBorders>
              <w:top w:val="single" w:sz="2" w:space="0" w:color="auto"/>
              <w:left w:val="single" w:sz="2" w:space="0" w:color="auto"/>
              <w:bottom w:val="single" w:sz="2" w:space="0" w:color="auto"/>
              <w:right w:val="single" w:sz="2" w:space="0" w:color="auto"/>
            </w:tcBorders>
            <w:vAlign w:val="center"/>
          </w:tcPr>
          <w:p w14:paraId="5A88B7C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876" w:type="dxa"/>
            <w:tcBorders>
              <w:top w:val="single" w:sz="2" w:space="0" w:color="auto"/>
              <w:left w:val="single" w:sz="2" w:space="0" w:color="auto"/>
              <w:bottom w:val="single" w:sz="2" w:space="0" w:color="auto"/>
              <w:right w:val="single" w:sz="2" w:space="0" w:color="auto"/>
            </w:tcBorders>
            <w:vAlign w:val="center"/>
          </w:tcPr>
          <w:p w14:paraId="4A0019E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876" w:type="dxa"/>
            <w:tcBorders>
              <w:top w:val="single" w:sz="2" w:space="0" w:color="auto"/>
              <w:left w:val="single" w:sz="2" w:space="0" w:color="auto"/>
              <w:bottom w:val="single" w:sz="2" w:space="0" w:color="auto"/>
              <w:right w:val="single" w:sz="2" w:space="0" w:color="auto"/>
            </w:tcBorders>
            <w:vAlign w:val="center"/>
          </w:tcPr>
          <w:p w14:paraId="00EE720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109,858,833.31</w:t>
            </w:r>
          </w:p>
        </w:tc>
      </w:tr>
      <w:tr w:rsidR="006C011D" w:rsidRPr="005A284F" w14:paraId="34F54E02"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3598A03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账龄组合</w:t>
            </w:r>
          </w:p>
        </w:tc>
        <w:tc>
          <w:tcPr>
            <w:tcW w:w="876" w:type="dxa"/>
            <w:tcBorders>
              <w:top w:val="single" w:sz="2" w:space="0" w:color="auto"/>
              <w:left w:val="single" w:sz="2" w:space="0" w:color="auto"/>
              <w:bottom w:val="single" w:sz="2" w:space="0" w:color="auto"/>
              <w:right w:val="single" w:sz="2" w:space="0" w:color="auto"/>
            </w:tcBorders>
            <w:vAlign w:val="center"/>
          </w:tcPr>
          <w:p w14:paraId="3B47BE7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295,617,195.20</w:t>
            </w:r>
          </w:p>
        </w:tc>
        <w:tc>
          <w:tcPr>
            <w:tcW w:w="876" w:type="dxa"/>
            <w:tcBorders>
              <w:top w:val="single" w:sz="2" w:space="0" w:color="auto"/>
              <w:left w:val="single" w:sz="2" w:space="0" w:color="auto"/>
              <w:bottom w:val="single" w:sz="2" w:space="0" w:color="auto"/>
              <w:right w:val="single" w:sz="2" w:space="0" w:color="auto"/>
            </w:tcBorders>
            <w:vAlign w:val="center"/>
          </w:tcPr>
          <w:p w14:paraId="4A62BC9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57.86%</w:t>
            </w:r>
          </w:p>
        </w:tc>
        <w:tc>
          <w:tcPr>
            <w:tcW w:w="876" w:type="dxa"/>
            <w:tcBorders>
              <w:top w:val="single" w:sz="2" w:space="0" w:color="auto"/>
              <w:left w:val="single" w:sz="2" w:space="0" w:color="auto"/>
              <w:bottom w:val="single" w:sz="2" w:space="0" w:color="auto"/>
              <w:right w:val="single" w:sz="2" w:space="0" w:color="auto"/>
            </w:tcBorders>
            <w:vAlign w:val="center"/>
          </w:tcPr>
          <w:p w14:paraId="48E8B84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7,174,582.93</w:t>
            </w:r>
          </w:p>
        </w:tc>
        <w:tc>
          <w:tcPr>
            <w:tcW w:w="876" w:type="dxa"/>
            <w:tcBorders>
              <w:top w:val="single" w:sz="2" w:space="0" w:color="auto"/>
              <w:left w:val="single" w:sz="2" w:space="0" w:color="auto"/>
              <w:bottom w:val="single" w:sz="2" w:space="0" w:color="auto"/>
              <w:right w:val="single" w:sz="2" w:space="0" w:color="auto"/>
            </w:tcBorders>
            <w:vAlign w:val="center"/>
          </w:tcPr>
          <w:p w14:paraId="22F25F1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2.43%</w:t>
            </w:r>
          </w:p>
        </w:tc>
        <w:tc>
          <w:tcPr>
            <w:tcW w:w="876" w:type="dxa"/>
            <w:tcBorders>
              <w:top w:val="single" w:sz="2" w:space="0" w:color="auto"/>
              <w:left w:val="single" w:sz="2" w:space="0" w:color="auto"/>
              <w:bottom w:val="single" w:sz="2" w:space="0" w:color="auto"/>
              <w:right w:val="single" w:sz="2" w:space="0" w:color="auto"/>
            </w:tcBorders>
            <w:vAlign w:val="center"/>
          </w:tcPr>
          <w:p w14:paraId="4736293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288,442,612.27</w:t>
            </w:r>
          </w:p>
        </w:tc>
        <w:tc>
          <w:tcPr>
            <w:tcW w:w="876" w:type="dxa"/>
            <w:tcBorders>
              <w:top w:val="single" w:sz="2" w:space="0" w:color="auto"/>
              <w:left w:val="single" w:sz="2" w:space="0" w:color="auto"/>
              <w:bottom w:val="single" w:sz="2" w:space="0" w:color="auto"/>
              <w:right w:val="single" w:sz="2" w:space="0" w:color="auto"/>
            </w:tcBorders>
            <w:vAlign w:val="center"/>
          </w:tcPr>
          <w:p w14:paraId="03D8814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295,936,472.51</w:t>
            </w:r>
          </w:p>
        </w:tc>
        <w:tc>
          <w:tcPr>
            <w:tcW w:w="876" w:type="dxa"/>
            <w:tcBorders>
              <w:top w:val="single" w:sz="2" w:space="0" w:color="auto"/>
              <w:left w:val="single" w:sz="2" w:space="0" w:color="auto"/>
              <w:bottom w:val="single" w:sz="2" w:space="0" w:color="auto"/>
              <w:right w:val="single" w:sz="2" w:space="0" w:color="auto"/>
            </w:tcBorders>
            <w:vAlign w:val="center"/>
          </w:tcPr>
          <w:p w14:paraId="23E4F15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62.90%</w:t>
            </w:r>
          </w:p>
        </w:tc>
        <w:tc>
          <w:tcPr>
            <w:tcW w:w="876" w:type="dxa"/>
            <w:tcBorders>
              <w:top w:val="single" w:sz="2" w:space="0" w:color="auto"/>
              <w:left w:val="single" w:sz="2" w:space="0" w:color="auto"/>
              <w:bottom w:val="single" w:sz="2" w:space="0" w:color="auto"/>
              <w:right w:val="single" w:sz="2" w:space="0" w:color="auto"/>
            </w:tcBorders>
            <w:vAlign w:val="center"/>
          </w:tcPr>
          <w:p w14:paraId="210A667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7,312,950.37</w:t>
            </w:r>
          </w:p>
        </w:tc>
        <w:tc>
          <w:tcPr>
            <w:tcW w:w="876" w:type="dxa"/>
            <w:tcBorders>
              <w:top w:val="single" w:sz="2" w:space="0" w:color="auto"/>
              <w:left w:val="single" w:sz="2" w:space="0" w:color="auto"/>
              <w:bottom w:val="single" w:sz="2" w:space="0" w:color="auto"/>
              <w:right w:val="single" w:sz="2" w:space="0" w:color="auto"/>
            </w:tcBorders>
            <w:vAlign w:val="center"/>
          </w:tcPr>
          <w:p w14:paraId="2709223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2.47%</w:t>
            </w:r>
          </w:p>
        </w:tc>
        <w:tc>
          <w:tcPr>
            <w:tcW w:w="876" w:type="dxa"/>
            <w:tcBorders>
              <w:top w:val="single" w:sz="2" w:space="0" w:color="auto"/>
              <w:left w:val="single" w:sz="2" w:space="0" w:color="auto"/>
              <w:bottom w:val="single" w:sz="2" w:space="0" w:color="auto"/>
              <w:right w:val="single" w:sz="2" w:space="0" w:color="auto"/>
            </w:tcBorders>
            <w:vAlign w:val="center"/>
          </w:tcPr>
          <w:p w14:paraId="2471988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288,623,522.14</w:t>
            </w:r>
          </w:p>
        </w:tc>
      </w:tr>
      <w:tr w:rsidR="006C011D" w:rsidRPr="005A284F" w14:paraId="74833E78"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1BE69D5"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14:paraId="40EEF8A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510,897,710.09</w:t>
            </w:r>
          </w:p>
        </w:tc>
        <w:tc>
          <w:tcPr>
            <w:tcW w:w="876" w:type="dxa"/>
            <w:tcBorders>
              <w:top w:val="single" w:sz="2" w:space="0" w:color="auto"/>
              <w:left w:val="single" w:sz="2" w:space="0" w:color="auto"/>
              <w:bottom w:val="single" w:sz="2" w:space="0" w:color="auto"/>
              <w:right w:val="single" w:sz="2" w:space="0" w:color="auto"/>
            </w:tcBorders>
            <w:vAlign w:val="center"/>
          </w:tcPr>
          <w:p w14:paraId="2AC6FF0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2F339FB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74,099,283.28</w:t>
            </w:r>
          </w:p>
        </w:tc>
        <w:tc>
          <w:tcPr>
            <w:tcW w:w="876" w:type="dxa"/>
            <w:tcBorders>
              <w:top w:val="single" w:sz="2" w:space="0" w:color="auto"/>
              <w:left w:val="single" w:sz="2" w:space="0" w:color="auto"/>
              <w:bottom w:val="single" w:sz="2" w:space="0" w:color="auto"/>
              <w:right w:val="single" w:sz="2" w:space="0" w:color="auto"/>
            </w:tcBorders>
            <w:vAlign w:val="center"/>
          </w:tcPr>
          <w:p w14:paraId="6A8405D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14.50%</w:t>
            </w:r>
          </w:p>
        </w:tc>
        <w:tc>
          <w:tcPr>
            <w:tcW w:w="876" w:type="dxa"/>
            <w:tcBorders>
              <w:top w:val="single" w:sz="2" w:space="0" w:color="auto"/>
              <w:left w:val="single" w:sz="2" w:space="0" w:color="auto"/>
              <w:bottom w:val="single" w:sz="2" w:space="0" w:color="auto"/>
              <w:right w:val="single" w:sz="2" w:space="0" w:color="auto"/>
            </w:tcBorders>
            <w:vAlign w:val="center"/>
          </w:tcPr>
          <w:p w14:paraId="65E06CA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436,798,426.81</w:t>
            </w:r>
          </w:p>
        </w:tc>
        <w:tc>
          <w:tcPr>
            <w:tcW w:w="876" w:type="dxa"/>
            <w:tcBorders>
              <w:top w:val="single" w:sz="2" w:space="0" w:color="auto"/>
              <w:left w:val="single" w:sz="2" w:space="0" w:color="auto"/>
              <w:bottom w:val="single" w:sz="2" w:space="0" w:color="auto"/>
              <w:right w:val="single" w:sz="2" w:space="0" w:color="auto"/>
            </w:tcBorders>
            <w:vAlign w:val="center"/>
          </w:tcPr>
          <w:p w14:paraId="6DB45BC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470,480,483.62</w:t>
            </w:r>
          </w:p>
        </w:tc>
        <w:tc>
          <w:tcPr>
            <w:tcW w:w="876" w:type="dxa"/>
            <w:tcBorders>
              <w:top w:val="single" w:sz="2" w:space="0" w:color="auto"/>
              <w:left w:val="single" w:sz="2" w:space="0" w:color="auto"/>
              <w:bottom w:val="single" w:sz="2" w:space="0" w:color="auto"/>
              <w:right w:val="single" w:sz="2" w:space="0" w:color="auto"/>
            </w:tcBorders>
            <w:vAlign w:val="center"/>
          </w:tcPr>
          <w:p w14:paraId="3B32458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12A20A5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71,998,128.17</w:t>
            </w:r>
          </w:p>
        </w:tc>
        <w:tc>
          <w:tcPr>
            <w:tcW w:w="876" w:type="dxa"/>
            <w:tcBorders>
              <w:top w:val="single" w:sz="2" w:space="0" w:color="auto"/>
              <w:left w:val="single" w:sz="2" w:space="0" w:color="auto"/>
              <w:bottom w:val="single" w:sz="2" w:space="0" w:color="auto"/>
              <w:right w:val="single" w:sz="2" w:space="0" w:color="auto"/>
            </w:tcBorders>
            <w:vAlign w:val="center"/>
          </w:tcPr>
          <w:p w14:paraId="6D72505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15.30%</w:t>
            </w:r>
          </w:p>
        </w:tc>
        <w:tc>
          <w:tcPr>
            <w:tcW w:w="876" w:type="dxa"/>
            <w:tcBorders>
              <w:top w:val="single" w:sz="2" w:space="0" w:color="auto"/>
              <w:left w:val="single" w:sz="2" w:space="0" w:color="auto"/>
              <w:bottom w:val="single" w:sz="2" w:space="0" w:color="auto"/>
              <w:right w:val="single" w:sz="2" w:space="0" w:color="auto"/>
            </w:tcBorders>
            <w:vAlign w:val="center"/>
          </w:tcPr>
          <w:p w14:paraId="5581ED8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398,482,355.45</w:t>
            </w:r>
          </w:p>
        </w:tc>
      </w:tr>
    </w:tbl>
    <w:p w14:paraId="2E2D3B8E" w14:textId="77777777" w:rsidR="006C011D" w:rsidRPr="005A284F" w:rsidRDefault="00000000">
      <w:pPr>
        <w:spacing w:before="120" w:after="12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6C011D" w:rsidRPr="005A284F" w14:paraId="591DD53B"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85272A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名称</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E064A9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426934D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r>
      <w:tr w:rsidR="006C011D" w:rsidRPr="005A284F" w14:paraId="514A9F26"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88A1531" w14:textId="77777777" w:rsidR="006C011D" w:rsidRPr="005A284F" w:rsidRDefault="006C011D">
            <w:pPr>
              <w:rPr>
                <w:rFonts w:ascii="Times New Roman" w:eastAsia="宋体" w:hAnsi="Times New Roman" w:cs="Times New Roman"/>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45BF41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6AEB59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7787EE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4A8333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3C2792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计提比例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6AEF71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计提理由</w:t>
            </w:r>
          </w:p>
        </w:tc>
      </w:tr>
      <w:tr w:rsidR="006C011D" w:rsidRPr="005A284F" w14:paraId="6E86BCA5"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36C8549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青岛中和盛杰食品有限公司</w:t>
            </w:r>
          </w:p>
        </w:tc>
        <w:tc>
          <w:tcPr>
            <w:tcW w:w="1377" w:type="dxa"/>
            <w:tcBorders>
              <w:top w:val="single" w:sz="2" w:space="0" w:color="auto"/>
              <w:left w:val="single" w:sz="2" w:space="0" w:color="auto"/>
              <w:bottom w:val="single" w:sz="2" w:space="0" w:color="auto"/>
              <w:right w:val="single" w:sz="2" w:space="0" w:color="auto"/>
            </w:tcBorders>
            <w:vAlign w:val="center"/>
          </w:tcPr>
          <w:p w14:paraId="3E60F76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41,129,028.88</w:t>
            </w:r>
          </w:p>
        </w:tc>
        <w:tc>
          <w:tcPr>
            <w:tcW w:w="1377" w:type="dxa"/>
            <w:tcBorders>
              <w:top w:val="single" w:sz="2" w:space="0" w:color="auto"/>
              <w:left w:val="single" w:sz="2" w:space="0" w:color="auto"/>
              <w:bottom w:val="single" w:sz="2" w:space="0" w:color="auto"/>
              <w:right w:val="single" w:sz="2" w:space="0" w:color="auto"/>
            </w:tcBorders>
            <w:vAlign w:val="center"/>
          </w:tcPr>
          <w:p w14:paraId="28FFCAC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41,129,028.88</w:t>
            </w:r>
          </w:p>
        </w:tc>
        <w:tc>
          <w:tcPr>
            <w:tcW w:w="1377" w:type="dxa"/>
            <w:tcBorders>
              <w:top w:val="single" w:sz="2" w:space="0" w:color="auto"/>
              <w:left w:val="single" w:sz="2" w:space="0" w:color="auto"/>
              <w:bottom w:val="single" w:sz="2" w:space="0" w:color="auto"/>
              <w:right w:val="single" w:sz="2" w:space="0" w:color="auto"/>
            </w:tcBorders>
            <w:vAlign w:val="center"/>
          </w:tcPr>
          <w:p w14:paraId="78136CD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41,129,532.88</w:t>
            </w:r>
          </w:p>
        </w:tc>
        <w:tc>
          <w:tcPr>
            <w:tcW w:w="1377" w:type="dxa"/>
            <w:tcBorders>
              <w:top w:val="single" w:sz="2" w:space="0" w:color="auto"/>
              <w:left w:val="single" w:sz="2" w:space="0" w:color="auto"/>
              <w:bottom w:val="single" w:sz="2" w:space="0" w:color="auto"/>
              <w:right w:val="single" w:sz="2" w:space="0" w:color="auto"/>
            </w:tcBorders>
            <w:vAlign w:val="center"/>
          </w:tcPr>
          <w:p w14:paraId="1C435C8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41,129,532.88</w:t>
            </w:r>
          </w:p>
        </w:tc>
        <w:tc>
          <w:tcPr>
            <w:tcW w:w="1377" w:type="dxa"/>
            <w:tcBorders>
              <w:top w:val="single" w:sz="2" w:space="0" w:color="auto"/>
              <w:left w:val="single" w:sz="2" w:space="0" w:color="auto"/>
              <w:bottom w:val="single" w:sz="2" w:space="0" w:color="auto"/>
              <w:right w:val="single" w:sz="2" w:space="0" w:color="auto"/>
            </w:tcBorders>
            <w:vAlign w:val="center"/>
          </w:tcPr>
          <w:p w14:paraId="5F42958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14:paraId="186ED24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净资产为负，判断收回可能性较小</w:t>
            </w:r>
          </w:p>
        </w:tc>
      </w:tr>
      <w:tr w:rsidR="006C011D" w:rsidRPr="005A284F" w14:paraId="088F5036"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41FFFCA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云南福照食品有限公司</w:t>
            </w:r>
          </w:p>
        </w:tc>
        <w:tc>
          <w:tcPr>
            <w:tcW w:w="1377" w:type="dxa"/>
            <w:tcBorders>
              <w:top w:val="single" w:sz="2" w:space="0" w:color="auto"/>
              <w:left w:val="single" w:sz="2" w:space="0" w:color="auto"/>
              <w:bottom w:val="single" w:sz="2" w:space="0" w:color="auto"/>
              <w:right w:val="single" w:sz="2" w:space="0" w:color="auto"/>
            </w:tcBorders>
            <w:vAlign w:val="center"/>
          </w:tcPr>
          <w:p w14:paraId="148B7B8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21,058,777.18</w:t>
            </w:r>
          </w:p>
        </w:tc>
        <w:tc>
          <w:tcPr>
            <w:tcW w:w="1377" w:type="dxa"/>
            <w:tcBorders>
              <w:top w:val="single" w:sz="2" w:space="0" w:color="auto"/>
              <w:left w:val="single" w:sz="2" w:space="0" w:color="auto"/>
              <w:bottom w:val="single" w:sz="2" w:space="0" w:color="auto"/>
              <w:right w:val="single" w:sz="2" w:space="0" w:color="auto"/>
            </w:tcBorders>
            <w:vAlign w:val="center"/>
          </w:tcPr>
          <w:p w14:paraId="460F28C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21,058,777.18</w:t>
            </w:r>
          </w:p>
        </w:tc>
        <w:tc>
          <w:tcPr>
            <w:tcW w:w="1377" w:type="dxa"/>
            <w:tcBorders>
              <w:top w:val="single" w:sz="2" w:space="0" w:color="auto"/>
              <w:left w:val="single" w:sz="2" w:space="0" w:color="auto"/>
              <w:bottom w:val="single" w:sz="2" w:space="0" w:color="auto"/>
              <w:right w:val="single" w:sz="2" w:space="0" w:color="auto"/>
            </w:tcBorders>
            <w:vAlign w:val="center"/>
          </w:tcPr>
          <w:p w14:paraId="4E9D789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23,297,795.73</w:t>
            </w:r>
          </w:p>
        </w:tc>
        <w:tc>
          <w:tcPr>
            <w:tcW w:w="1377" w:type="dxa"/>
            <w:tcBorders>
              <w:top w:val="single" w:sz="2" w:space="0" w:color="auto"/>
              <w:left w:val="single" w:sz="2" w:space="0" w:color="auto"/>
              <w:bottom w:val="single" w:sz="2" w:space="0" w:color="auto"/>
              <w:right w:val="single" w:sz="2" w:space="0" w:color="auto"/>
            </w:tcBorders>
            <w:vAlign w:val="center"/>
          </w:tcPr>
          <w:p w14:paraId="0A275E0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23,297,795.73</w:t>
            </w:r>
          </w:p>
        </w:tc>
        <w:tc>
          <w:tcPr>
            <w:tcW w:w="1377" w:type="dxa"/>
            <w:tcBorders>
              <w:top w:val="single" w:sz="2" w:space="0" w:color="auto"/>
              <w:left w:val="single" w:sz="2" w:space="0" w:color="auto"/>
              <w:bottom w:val="single" w:sz="2" w:space="0" w:color="auto"/>
              <w:right w:val="single" w:sz="2" w:space="0" w:color="auto"/>
            </w:tcBorders>
            <w:vAlign w:val="center"/>
          </w:tcPr>
          <w:p w14:paraId="234FA02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14:paraId="40BF5E3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净资产为负，判断收回可能性较小</w:t>
            </w:r>
          </w:p>
        </w:tc>
      </w:tr>
      <w:tr w:rsidR="006C011D" w:rsidRPr="005A284F" w14:paraId="7736B1F0"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7D04D95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湖北龙大肉食品有限公司</w:t>
            </w:r>
          </w:p>
        </w:tc>
        <w:tc>
          <w:tcPr>
            <w:tcW w:w="1377" w:type="dxa"/>
            <w:tcBorders>
              <w:top w:val="single" w:sz="2" w:space="0" w:color="auto"/>
              <w:left w:val="single" w:sz="2" w:space="0" w:color="auto"/>
              <w:bottom w:val="single" w:sz="2" w:space="0" w:color="auto"/>
              <w:right w:val="single" w:sz="2" w:space="0" w:color="auto"/>
            </w:tcBorders>
            <w:vAlign w:val="center"/>
          </w:tcPr>
          <w:p w14:paraId="3E13DC5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1,000,000.00</w:t>
            </w:r>
          </w:p>
        </w:tc>
        <w:tc>
          <w:tcPr>
            <w:tcW w:w="1377" w:type="dxa"/>
            <w:tcBorders>
              <w:top w:val="single" w:sz="2" w:space="0" w:color="auto"/>
              <w:left w:val="single" w:sz="2" w:space="0" w:color="auto"/>
              <w:bottom w:val="single" w:sz="2" w:space="0" w:color="auto"/>
              <w:right w:val="single" w:sz="2" w:space="0" w:color="auto"/>
            </w:tcBorders>
            <w:vAlign w:val="center"/>
          </w:tcPr>
          <w:p w14:paraId="1AF9C74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1,000,000.00</w:t>
            </w:r>
          </w:p>
        </w:tc>
        <w:tc>
          <w:tcPr>
            <w:tcW w:w="1377" w:type="dxa"/>
            <w:tcBorders>
              <w:top w:val="single" w:sz="2" w:space="0" w:color="auto"/>
              <w:left w:val="single" w:sz="2" w:space="0" w:color="auto"/>
              <w:bottom w:val="single" w:sz="2" w:space="0" w:color="auto"/>
              <w:right w:val="single" w:sz="2" w:space="0" w:color="auto"/>
            </w:tcBorders>
            <w:vAlign w:val="center"/>
          </w:tcPr>
          <w:p w14:paraId="7B5FEE4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1,000,000.00</w:t>
            </w:r>
          </w:p>
        </w:tc>
        <w:tc>
          <w:tcPr>
            <w:tcW w:w="1377" w:type="dxa"/>
            <w:tcBorders>
              <w:top w:val="single" w:sz="2" w:space="0" w:color="auto"/>
              <w:left w:val="single" w:sz="2" w:space="0" w:color="auto"/>
              <w:bottom w:val="single" w:sz="2" w:space="0" w:color="auto"/>
              <w:right w:val="single" w:sz="2" w:space="0" w:color="auto"/>
            </w:tcBorders>
            <w:vAlign w:val="center"/>
          </w:tcPr>
          <w:p w14:paraId="2A44E5B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1,000,000.00</w:t>
            </w:r>
          </w:p>
        </w:tc>
        <w:tc>
          <w:tcPr>
            <w:tcW w:w="1377" w:type="dxa"/>
            <w:tcBorders>
              <w:top w:val="single" w:sz="2" w:space="0" w:color="auto"/>
              <w:left w:val="single" w:sz="2" w:space="0" w:color="auto"/>
              <w:bottom w:val="single" w:sz="2" w:space="0" w:color="auto"/>
              <w:right w:val="single" w:sz="2" w:space="0" w:color="auto"/>
            </w:tcBorders>
            <w:vAlign w:val="center"/>
          </w:tcPr>
          <w:p w14:paraId="302CB7A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14:paraId="3E8E614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净资产为负，判断收回可能性较小</w:t>
            </w:r>
          </w:p>
        </w:tc>
      </w:tr>
      <w:tr w:rsidR="006C011D" w:rsidRPr="005A284F" w14:paraId="01523412"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0855398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青岛家乐福商业有限公司</w:t>
            </w:r>
          </w:p>
        </w:tc>
        <w:tc>
          <w:tcPr>
            <w:tcW w:w="1377" w:type="dxa"/>
            <w:tcBorders>
              <w:top w:val="single" w:sz="2" w:space="0" w:color="auto"/>
              <w:left w:val="single" w:sz="2" w:space="0" w:color="auto"/>
              <w:bottom w:val="single" w:sz="2" w:space="0" w:color="auto"/>
              <w:right w:val="single" w:sz="2" w:space="0" w:color="auto"/>
            </w:tcBorders>
            <w:vAlign w:val="center"/>
          </w:tcPr>
          <w:p w14:paraId="488CB4E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779,775.48</w:t>
            </w:r>
          </w:p>
        </w:tc>
        <w:tc>
          <w:tcPr>
            <w:tcW w:w="1377" w:type="dxa"/>
            <w:tcBorders>
              <w:top w:val="single" w:sz="2" w:space="0" w:color="auto"/>
              <w:left w:val="single" w:sz="2" w:space="0" w:color="auto"/>
              <w:bottom w:val="single" w:sz="2" w:space="0" w:color="auto"/>
              <w:right w:val="single" w:sz="2" w:space="0" w:color="auto"/>
            </w:tcBorders>
            <w:vAlign w:val="center"/>
          </w:tcPr>
          <w:p w14:paraId="5904D8F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779,775.48</w:t>
            </w:r>
          </w:p>
        </w:tc>
        <w:tc>
          <w:tcPr>
            <w:tcW w:w="1377" w:type="dxa"/>
            <w:tcBorders>
              <w:top w:val="single" w:sz="2" w:space="0" w:color="auto"/>
              <w:left w:val="single" w:sz="2" w:space="0" w:color="auto"/>
              <w:bottom w:val="single" w:sz="2" w:space="0" w:color="auto"/>
              <w:right w:val="single" w:sz="2" w:space="0" w:color="auto"/>
            </w:tcBorders>
            <w:vAlign w:val="center"/>
          </w:tcPr>
          <w:p w14:paraId="2A0517E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779,775.48</w:t>
            </w:r>
          </w:p>
        </w:tc>
        <w:tc>
          <w:tcPr>
            <w:tcW w:w="1377" w:type="dxa"/>
            <w:tcBorders>
              <w:top w:val="single" w:sz="2" w:space="0" w:color="auto"/>
              <w:left w:val="single" w:sz="2" w:space="0" w:color="auto"/>
              <w:bottom w:val="single" w:sz="2" w:space="0" w:color="auto"/>
              <w:right w:val="single" w:sz="2" w:space="0" w:color="auto"/>
            </w:tcBorders>
            <w:vAlign w:val="center"/>
          </w:tcPr>
          <w:p w14:paraId="2074043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779,775.48</w:t>
            </w:r>
          </w:p>
        </w:tc>
        <w:tc>
          <w:tcPr>
            <w:tcW w:w="1377" w:type="dxa"/>
            <w:tcBorders>
              <w:top w:val="single" w:sz="2" w:space="0" w:color="auto"/>
              <w:left w:val="single" w:sz="2" w:space="0" w:color="auto"/>
              <w:bottom w:val="single" w:sz="2" w:space="0" w:color="auto"/>
              <w:right w:val="single" w:sz="2" w:space="0" w:color="auto"/>
            </w:tcBorders>
            <w:vAlign w:val="center"/>
          </w:tcPr>
          <w:p w14:paraId="1DD37EE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14:paraId="55B7A56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客户经营出现问题，无力偿还债务</w:t>
            </w:r>
          </w:p>
        </w:tc>
      </w:tr>
      <w:tr w:rsidR="006C011D" w:rsidRPr="005A284F" w14:paraId="1930D695"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49A4587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青岛龙大鲜生供应链有限公司</w:t>
            </w:r>
          </w:p>
        </w:tc>
        <w:tc>
          <w:tcPr>
            <w:tcW w:w="1377" w:type="dxa"/>
            <w:tcBorders>
              <w:top w:val="single" w:sz="2" w:space="0" w:color="auto"/>
              <w:left w:val="single" w:sz="2" w:space="0" w:color="auto"/>
              <w:bottom w:val="single" w:sz="2" w:space="0" w:color="auto"/>
              <w:right w:val="single" w:sz="2" w:space="0" w:color="auto"/>
            </w:tcBorders>
            <w:vAlign w:val="center"/>
          </w:tcPr>
          <w:p w14:paraId="40E3142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501,547.38</w:t>
            </w:r>
          </w:p>
        </w:tc>
        <w:tc>
          <w:tcPr>
            <w:tcW w:w="1377" w:type="dxa"/>
            <w:tcBorders>
              <w:top w:val="single" w:sz="2" w:space="0" w:color="auto"/>
              <w:left w:val="single" w:sz="2" w:space="0" w:color="auto"/>
              <w:bottom w:val="single" w:sz="2" w:space="0" w:color="auto"/>
              <w:right w:val="single" w:sz="2" w:space="0" w:color="auto"/>
            </w:tcBorders>
            <w:vAlign w:val="center"/>
          </w:tcPr>
          <w:p w14:paraId="62897E6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501,547.38</w:t>
            </w:r>
          </w:p>
        </w:tc>
        <w:tc>
          <w:tcPr>
            <w:tcW w:w="1377" w:type="dxa"/>
            <w:tcBorders>
              <w:top w:val="single" w:sz="2" w:space="0" w:color="auto"/>
              <w:left w:val="single" w:sz="2" w:space="0" w:color="auto"/>
              <w:bottom w:val="single" w:sz="2" w:space="0" w:color="auto"/>
              <w:right w:val="single" w:sz="2" w:space="0" w:color="auto"/>
            </w:tcBorders>
            <w:vAlign w:val="center"/>
          </w:tcPr>
          <w:p w14:paraId="4FC2110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501,547.38</w:t>
            </w:r>
          </w:p>
        </w:tc>
        <w:tc>
          <w:tcPr>
            <w:tcW w:w="1377" w:type="dxa"/>
            <w:tcBorders>
              <w:top w:val="single" w:sz="2" w:space="0" w:color="auto"/>
              <w:left w:val="single" w:sz="2" w:space="0" w:color="auto"/>
              <w:bottom w:val="single" w:sz="2" w:space="0" w:color="auto"/>
              <w:right w:val="single" w:sz="2" w:space="0" w:color="auto"/>
            </w:tcBorders>
            <w:vAlign w:val="center"/>
          </w:tcPr>
          <w:p w14:paraId="6313FF7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501,547.38</w:t>
            </w:r>
          </w:p>
        </w:tc>
        <w:tc>
          <w:tcPr>
            <w:tcW w:w="1377" w:type="dxa"/>
            <w:tcBorders>
              <w:top w:val="single" w:sz="2" w:space="0" w:color="auto"/>
              <w:left w:val="single" w:sz="2" w:space="0" w:color="auto"/>
              <w:bottom w:val="single" w:sz="2" w:space="0" w:color="auto"/>
              <w:right w:val="single" w:sz="2" w:space="0" w:color="auto"/>
            </w:tcBorders>
            <w:vAlign w:val="center"/>
          </w:tcPr>
          <w:p w14:paraId="113BCAA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14:paraId="3DDB17E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客户经营出现问题，无力偿还债务</w:t>
            </w:r>
          </w:p>
        </w:tc>
      </w:tr>
      <w:tr w:rsidR="006C011D" w:rsidRPr="005A284F" w14:paraId="509E135D"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01A4C78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上海吾里贸易有限公司</w:t>
            </w:r>
          </w:p>
        </w:tc>
        <w:tc>
          <w:tcPr>
            <w:tcW w:w="1377" w:type="dxa"/>
            <w:tcBorders>
              <w:top w:val="single" w:sz="2" w:space="0" w:color="auto"/>
              <w:left w:val="single" w:sz="2" w:space="0" w:color="auto"/>
              <w:bottom w:val="single" w:sz="2" w:space="0" w:color="auto"/>
              <w:right w:val="single" w:sz="2" w:space="0" w:color="auto"/>
            </w:tcBorders>
            <w:vAlign w:val="center"/>
          </w:tcPr>
          <w:p w14:paraId="2988599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125,926.73</w:t>
            </w:r>
          </w:p>
        </w:tc>
        <w:tc>
          <w:tcPr>
            <w:tcW w:w="1377" w:type="dxa"/>
            <w:tcBorders>
              <w:top w:val="single" w:sz="2" w:space="0" w:color="auto"/>
              <w:left w:val="single" w:sz="2" w:space="0" w:color="auto"/>
              <w:bottom w:val="single" w:sz="2" w:space="0" w:color="auto"/>
              <w:right w:val="single" w:sz="2" w:space="0" w:color="auto"/>
            </w:tcBorders>
            <w:vAlign w:val="center"/>
          </w:tcPr>
          <w:p w14:paraId="6EE2E3B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125,926.73</w:t>
            </w:r>
          </w:p>
        </w:tc>
        <w:tc>
          <w:tcPr>
            <w:tcW w:w="1377" w:type="dxa"/>
            <w:tcBorders>
              <w:top w:val="single" w:sz="2" w:space="0" w:color="auto"/>
              <w:left w:val="single" w:sz="2" w:space="0" w:color="auto"/>
              <w:bottom w:val="single" w:sz="2" w:space="0" w:color="auto"/>
              <w:right w:val="single" w:sz="2" w:space="0" w:color="auto"/>
            </w:tcBorders>
            <w:vAlign w:val="center"/>
          </w:tcPr>
          <w:p w14:paraId="1147606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125,926.73</w:t>
            </w:r>
          </w:p>
        </w:tc>
        <w:tc>
          <w:tcPr>
            <w:tcW w:w="1377" w:type="dxa"/>
            <w:tcBorders>
              <w:top w:val="single" w:sz="2" w:space="0" w:color="auto"/>
              <w:left w:val="single" w:sz="2" w:space="0" w:color="auto"/>
              <w:bottom w:val="single" w:sz="2" w:space="0" w:color="auto"/>
              <w:right w:val="single" w:sz="2" w:space="0" w:color="auto"/>
            </w:tcBorders>
            <w:vAlign w:val="center"/>
          </w:tcPr>
          <w:p w14:paraId="7A4A1B0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125,926.73</w:t>
            </w:r>
          </w:p>
        </w:tc>
        <w:tc>
          <w:tcPr>
            <w:tcW w:w="1377" w:type="dxa"/>
            <w:tcBorders>
              <w:top w:val="single" w:sz="2" w:space="0" w:color="auto"/>
              <w:left w:val="single" w:sz="2" w:space="0" w:color="auto"/>
              <w:bottom w:val="single" w:sz="2" w:space="0" w:color="auto"/>
              <w:right w:val="single" w:sz="2" w:space="0" w:color="auto"/>
            </w:tcBorders>
            <w:vAlign w:val="center"/>
          </w:tcPr>
          <w:p w14:paraId="07FB733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14:paraId="5480147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客户经营出现问题，无力偿还债务</w:t>
            </w:r>
          </w:p>
        </w:tc>
      </w:tr>
      <w:tr w:rsidR="006C011D" w:rsidRPr="005A284F" w14:paraId="1A20B59D"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5B59B37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青岛凯恩斯包装有限公司</w:t>
            </w:r>
          </w:p>
        </w:tc>
        <w:tc>
          <w:tcPr>
            <w:tcW w:w="1377" w:type="dxa"/>
            <w:tcBorders>
              <w:top w:val="single" w:sz="2" w:space="0" w:color="auto"/>
              <w:left w:val="single" w:sz="2" w:space="0" w:color="auto"/>
              <w:bottom w:val="single" w:sz="2" w:space="0" w:color="auto"/>
              <w:right w:val="single" w:sz="2" w:space="0" w:color="auto"/>
            </w:tcBorders>
            <w:vAlign w:val="center"/>
          </w:tcPr>
          <w:p w14:paraId="1B46F6E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90,122.15</w:t>
            </w:r>
          </w:p>
        </w:tc>
        <w:tc>
          <w:tcPr>
            <w:tcW w:w="1377" w:type="dxa"/>
            <w:tcBorders>
              <w:top w:val="single" w:sz="2" w:space="0" w:color="auto"/>
              <w:left w:val="single" w:sz="2" w:space="0" w:color="auto"/>
              <w:bottom w:val="single" w:sz="2" w:space="0" w:color="auto"/>
              <w:right w:val="single" w:sz="2" w:space="0" w:color="auto"/>
            </w:tcBorders>
            <w:vAlign w:val="center"/>
          </w:tcPr>
          <w:p w14:paraId="0C7A125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90,122.15</w:t>
            </w:r>
          </w:p>
        </w:tc>
        <w:tc>
          <w:tcPr>
            <w:tcW w:w="1377" w:type="dxa"/>
            <w:tcBorders>
              <w:top w:val="single" w:sz="2" w:space="0" w:color="auto"/>
              <w:left w:val="single" w:sz="2" w:space="0" w:color="auto"/>
              <w:bottom w:val="single" w:sz="2" w:space="0" w:color="auto"/>
              <w:right w:val="single" w:sz="2" w:space="0" w:color="auto"/>
            </w:tcBorders>
            <w:vAlign w:val="center"/>
          </w:tcPr>
          <w:p w14:paraId="421E966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90,122.15</w:t>
            </w:r>
          </w:p>
        </w:tc>
        <w:tc>
          <w:tcPr>
            <w:tcW w:w="1377" w:type="dxa"/>
            <w:tcBorders>
              <w:top w:val="single" w:sz="2" w:space="0" w:color="auto"/>
              <w:left w:val="single" w:sz="2" w:space="0" w:color="auto"/>
              <w:bottom w:val="single" w:sz="2" w:space="0" w:color="auto"/>
              <w:right w:val="single" w:sz="2" w:space="0" w:color="auto"/>
            </w:tcBorders>
            <w:vAlign w:val="center"/>
          </w:tcPr>
          <w:p w14:paraId="2A7DD95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90,122.15</w:t>
            </w:r>
          </w:p>
        </w:tc>
        <w:tc>
          <w:tcPr>
            <w:tcW w:w="1377" w:type="dxa"/>
            <w:tcBorders>
              <w:top w:val="single" w:sz="2" w:space="0" w:color="auto"/>
              <w:left w:val="single" w:sz="2" w:space="0" w:color="auto"/>
              <w:bottom w:val="single" w:sz="2" w:space="0" w:color="auto"/>
              <w:right w:val="single" w:sz="2" w:space="0" w:color="auto"/>
            </w:tcBorders>
            <w:vAlign w:val="center"/>
          </w:tcPr>
          <w:p w14:paraId="3907E79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14:paraId="7F4BCDB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客户经营出现问题，无力偿还债务</w:t>
            </w:r>
          </w:p>
        </w:tc>
      </w:tr>
      <w:tr w:rsidR="006C011D" w:rsidRPr="005A284F" w14:paraId="0EA7B81F"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3E3F584"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0B4EAC9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64,685,177.80</w:t>
            </w:r>
          </w:p>
        </w:tc>
        <w:tc>
          <w:tcPr>
            <w:tcW w:w="1377" w:type="dxa"/>
            <w:tcBorders>
              <w:top w:val="single" w:sz="2" w:space="0" w:color="auto"/>
              <w:left w:val="single" w:sz="2" w:space="0" w:color="auto"/>
              <w:bottom w:val="single" w:sz="2" w:space="0" w:color="auto"/>
              <w:right w:val="single" w:sz="2" w:space="0" w:color="auto"/>
            </w:tcBorders>
            <w:vAlign w:val="center"/>
          </w:tcPr>
          <w:p w14:paraId="6440A6A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64,685,177.80</w:t>
            </w:r>
          </w:p>
        </w:tc>
        <w:tc>
          <w:tcPr>
            <w:tcW w:w="1377" w:type="dxa"/>
            <w:tcBorders>
              <w:top w:val="single" w:sz="2" w:space="0" w:color="auto"/>
              <w:left w:val="single" w:sz="2" w:space="0" w:color="auto"/>
              <w:bottom w:val="single" w:sz="2" w:space="0" w:color="auto"/>
              <w:right w:val="single" w:sz="2" w:space="0" w:color="auto"/>
            </w:tcBorders>
            <w:vAlign w:val="center"/>
          </w:tcPr>
          <w:p w14:paraId="1F452CA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66,924,700.35</w:t>
            </w:r>
          </w:p>
        </w:tc>
        <w:tc>
          <w:tcPr>
            <w:tcW w:w="1377" w:type="dxa"/>
            <w:tcBorders>
              <w:top w:val="single" w:sz="2" w:space="0" w:color="auto"/>
              <w:left w:val="single" w:sz="2" w:space="0" w:color="auto"/>
              <w:bottom w:val="single" w:sz="2" w:space="0" w:color="auto"/>
              <w:right w:val="single" w:sz="2" w:space="0" w:color="auto"/>
            </w:tcBorders>
            <w:vAlign w:val="center"/>
          </w:tcPr>
          <w:p w14:paraId="3BCFDFE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66,924,700.35</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0CDB92C" w14:textId="77777777" w:rsidR="006C011D" w:rsidRPr="005A284F" w:rsidRDefault="006C011D">
            <w:pPr>
              <w:rPr>
                <w:rFonts w:ascii="Times New Roman" w:eastAsia="宋体" w:hAnsi="Times New Roman" w:cs="Times New Roman"/>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F45AA6B" w14:textId="77777777" w:rsidR="006C011D" w:rsidRPr="005A284F" w:rsidRDefault="006C011D">
            <w:pPr>
              <w:rPr>
                <w:rFonts w:ascii="Times New Roman" w:eastAsia="宋体" w:hAnsi="Times New Roman" w:cs="Times New Roman"/>
              </w:rPr>
            </w:pPr>
          </w:p>
        </w:tc>
      </w:tr>
    </w:tbl>
    <w:p w14:paraId="1F165F75" w14:textId="77777777" w:rsidR="006C011D" w:rsidRPr="005A284F" w:rsidRDefault="00000000">
      <w:pPr>
        <w:spacing w:before="120" w:after="12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6C011D" w:rsidRPr="005A284F" w14:paraId="74AECA43" w14:textId="77777777">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858C7A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40F0E5D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r>
      <w:tr w:rsidR="006C011D" w:rsidRPr="005A284F" w14:paraId="7E0811F6" w14:textId="77777777">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0926605" w14:textId="77777777" w:rsidR="006C011D" w:rsidRPr="005A284F" w:rsidRDefault="006C011D">
            <w:pPr>
              <w:rPr>
                <w:rFonts w:ascii="Times New Roman" w:eastAsia="宋体" w:hAnsi="Times New Roman" w:cs="Times New Roman"/>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B60CD6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BB5689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97A908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计提比例</w:t>
            </w:r>
          </w:p>
        </w:tc>
      </w:tr>
      <w:tr w:rsidR="006C011D" w:rsidRPr="005A284F" w14:paraId="36ABCBDA"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16A6190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1-3</w:t>
            </w:r>
            <w:r w:rsidRPr="005A284F">
              <w:rPr>
                <w:rFonts w:ascii="Times New Roman" w:eastAsia="宋体" w:hAnsi="Times New Roman" w:cs="Times New Roman"/>
                <w:sz w:val="18"/>
                <w:szCs w:val="18"/>
              </w:rPr>
              <w:t>月</w:t>
            </w:r>
          </w:p>
        </w:tc>
        <w:tc>
          <w:tcPr>
            <w:tcW w:w="2410" w:type="dxa"/>
            <w:tcBorders>
              <w:top w:val="single" w:sz="2" w:space="0" w:color="auto"/>
              <w:left w:val="single" w:sz="2" w:space="0" w:color="auto"/>
              <w:bottom w:val="single" w:sz="2" w:space="0" w:color="auto"/>
              <w:right w:val="single" w:sz="2" w:space="0" w:color="auto"/>
            </w:tcBorders>
            <w:vAlign w:val="center"/>
          </w:tcPr>
          <w:p w14:paraId="7D1B1BB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244,911,019.28</w:t>
            </w:r>
          </w:p>
        </w:tc>
        <w:tc>
          <w:tcPr>
            <w:tcW w:w="2410" w:type="dxa"/>
            <w:tcBorders>
              <w:top w:val="single" w:sz="2" w:space="0" w:color="auto"/>
              <w:left w:val="single" w:sz="2" w:space="0" w:color="auto"/>
              <w:bottom w:val="single" w:sz="2" w:space="0" w:color="auto"/>
              <w:right w:val="single" w:sz="2" w:space="0" w:color="auto"/>
            </w:tcBorders>
            <w:vAlign w:val="center"/>
          </w:tcPr>
          <w:p w14:paraId="1404786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5,510,497.93</w:t>
            </w:r>
          </w:p>
        </w:tc>
        <w:tc>
          <w:tcPr>
            <w:tcW w:w="2410" w:type="dxa"/>
            <w:tcBorders>
              <w:top w:val="single" w:sz="2" w:space="0" w:color="auto"/>
              <w:left w:val="single" w:sz="2" w:space="0" w:color="auto"/>
              <w:bottom w:val="single" w:sz="2" w:space="0" w:color="auto"/>
              <w:right w:val="single" w:sz="2" w:space="0" w:color="auto"/>
            </w:tcBorders>
            <w:vAlign w:val="center"/>
          </w:tcPr>
          <w:p w14:paraId="0A8BF7B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2.25%</w:t>
            </w:r>
          </w:p>
        </w:tc>
      </w:tr>
      <w:tr w:rsidR="006C011D" w:rsidRPr="005A284F" w14:paraId="361FB5E6"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77B83AE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4-6</w:t>
            </w:r>
            <w:r w:rsidRPr="005A284F">
              <w:rPr>
                <w:rFonts w:ascii="Times New Roman" w:eastAsia="宋体" w:hAnsi="Times New Roman" w:cs="Times New Roman"/>
                <w:sz w:val="18"/>
                <w:szCs w:val="18"/>
              </w:rPr>
              <w:t>月</w:t>
            </w:r>
          </w:p>
        </w:tc>
        <w:tc>
          <w:tcPr>
            <w:tcW w:w="2410" w:type="dxa"/>
            <w:tcBorders>
              <w:top w:val="single" w:sz="2" w:space="0" w:color="auto"/>
              <w:left w:val="single" w:sz="2" w:space="0" w:color="auto"/>
              <w:bottom w:val="single" w:sz="2" w:space="0" w:color="auto"/>
              <w:right w:val="single" w:sz="2" w:space="0" w:color="auto"/>
            </w:tcBorders>
            <w:vAlign w:val="center"/>
          </w:tcPr>
          <w:p w14:paraId="71B82EB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37,507,300.14</w:t>
            </w:r>
          </w:p>
        </w:tc>
        <w:tc>
          <w:tcPr>
            <w:tcW w:w="2410" w:type="dxa"/>
            <w:tcBorders>
              <w:top w:val="single" w:sz="2" w:space="0" w:color="auto"/>
              <w:left w:val="single" w:sz="2" w:space="0" w:color="auto"/>
              <w:bottom w:val="single" w:sz="2" w:space="0" w:color="auto"/>
              <w:right w:val="single" w:sz="2" w:space="0" w:color="auto"/>
            </w:tcBorders>
            <w:vAlign w:val="center"/>
          </w:tcPr>
          <w:p w14:paraId="41E5264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843,914.25</w:t>
            </w:r>
          </w:p>
        </w:tc>
        <w:tc>
          <w:tcPr>
            <w:tcW w:w="2410" w:type="dxa"/>
            <w:tcBorders>
              <w:top w:val="single" w:sz="2" w:space="0" w:color="auto"/>
              <w:left w:val="single" w:sz="2" w:space="0" w:color="auto"/>
              <w:bottom w:val="single" w:sz="2" w:space="0" w:color="auto"/>
              <w:right w:val="single" w:sz="2" w:space="0" w:color="auto"/>
            </w:tcBorders>
            <w:vAlign w:val="center"/>
          </w:tcPr>
          <w:p w14:paraId="0EFA5F1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2.25%</w:t>
            </w:r>
          </w:p>
        </w:tc>
      </w:tr>
      <w:tr w:rsidR="006C011D" w:rsidRPr="005A284F" w14:paraId="63F81318"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799214A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7-9</w:t>
            </w:r>
            <w:r w:rsidRPr="005A284F">
              <w:rPr>
                <w:rFonts w:ascii="Times New Roman" w:eastAsia="宋体" w:hAnsi="Times New Roman" w:cs="Times New Roman"/>
                <w:sz w:val="18"/>
                <w:szCs w:val="18"/>
              </w:rPr>
              <w:t>月</w:t>
            </w:r>
          </w:p>
        </w:tc>
        <w:tc>
          <w:tcPr>
            <w:tcW w:w="2410" w:type="dxa"/>
            <w:tcBorders>
              <w:top w:val="single" w:sz="2" w:space="0" w:color="auto"/>
              <w:left w:val="single" w:sz="2" w:space="0" w:color="auto"/>
              <w:bottom w:val="single" w:sz="2" w:space="0" w:color="auto"/>
              <w:right w:val="single" w:sz="2" w:space="0" w:color="auto"/>
            </w:tcBorders>
            <w:vAlign w:val="center"/>
          </w:tcPr>
          <w:p w14:paraId="742EBA7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9,984,334.16</w:t>
            </w:r>
          </w:p>
        </w:tc>
        <w:tc>
          <w:tcPr>
            <w:tcW w:w="2410" w:type="dxa"/>
            <w:tcBorders>
              <w:top w:val="single" w:sz="2" w:space="0" w:color="auto"/>
              <w:left w:val="single" w:sz="2" w:space="0" w:color="auto"/>
              <w:bottom w:val="single" w:sz="2" w:space="0" w:color="auto"/>
              <w:right w:val="single" w:sz="2" w:space="0" w:color="auto"/>
            </w:tcBorders>
            <w:vAlign w:val="center"/>
          </w:tcPr>
          <w:p w14:paraId="3FB4F7E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224,647.52</w:t>
            </w:r>
          </w:p>
        </w:tc>
        <w:tc>
          <w:tcPr>
            <w:tcW w:w="2410" w:type="dxa"/>
            <w:tcBorders>
              <w:top w:val="single" w:sz="2" w:space="0" w:color="auto"/>
              <w:left w:val="single" w:sz="2" w:space="0" w:color="auto"/>
              <w:bottom w:val="single" w:sz="2" w:space="0" w:color="auto"/>
              <w:right w:val="single" w:sz="2" w:space="0" w:color="auto"/>
            </w:tcBorders>
            <w:vAlign w:val="center"/>
          </w:tcPr>
          <w:p w14:paraId="1C96E5B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2.25%</w:t>
            </w:r>
          </w:p>
        </w:tc>
      </w:tr>
      <w:tr w:rsidR="006C011D" w:rsidRPr="005A284F" w14:paraId="074AFE6A"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3F01699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10-12</w:t>
            </w:r>
            <w:r w:rsidRPr="005A284F">
              <w:rPr>
                <w:rFonts w:ascii="Times New Roman" w:eastAsia="宋体" w:hAnsi="Times New Roman" w:cs="Times New Roman"/>
                <w:sz w:val="18"/>
                <w:szCs w:val="18"/>
              </w:rPr>
              <w:t>月</w:t>
            </w:r>
          </w:p>
        </w:tc>
        <w:tc>
          <w:tcPr>
            <w:tcW w:w="2410" w:type="dxa"/>
            <w:tcBorders>
              <w:top w:val="single" w:sz="2" w:space="0" w:color="auto"/>
              <w:left w:val="single" w:sz="2" w:space="0" w:color="auto"/>
              <w:bottom w:val="single" w:sz="2" w:space="0" w:color="auto"/>
              <w:right w:val="single" w:sz="2" w:space="0" w:color="auto"/>
            </w:tcBorders>
            <w:vAlign w:val="center"/>
          </w:tcPr>
          <w:p w14:paraId="343CB8F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1,037,121.89</w:t>
            </w:r>
          </w:p>
        </w:tc>
        <w:tc>
          <w:tcPr>
            <w:tcW w:w="2410" w:type="dxa"/>
            <w:tcBorders>
              <w:top w:val="single" w:sz="2" w:space="0" w:color="auto"/>
              <w:left w:val="single" w:sz="2" w:space="0" w:color="auto"/>
              <w:bottom w:val="single" w:sz="2" w:space="0" w:color="auto"/>
              <w:right w:val="single" w:sz="2" w:space="0" w:color="auto"/>
            </w:tcBorders>
            <w:vAlign w:val="center"/>
          </w:tcPr>
          <w:p w14:paraId="188FF5C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23,335.24</w:t>
            </w:r>
          </w:p>
        </w:tc>
        <w:tc>
          <w:tcPr>
            <w:tcW w:w="2410" w:type="dxa"/>
            <w:tcBorders>
              <w:top w:val="single" w:sz="2" w:space="0" w:color="auto"/>
              <w:left w:val="single" w:sz="2" w:space="0" w:color="auto"/>
              <w:bottom w:val="single" w:sz="2" w:space="0" w:color="auto"/>
              <w:right w:val="single" w:sz="2" w:space="0" w:color="auto"/>
            </w:tcBorders>
            <w:vAlign w:val="center"/>
          </w:tcPr>
          <w:p w14:paraId="65D3BEC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2.25%</w:t>
            </w:r>
          </w:p>
        </w:tc>
      </w:tr>
      <w:tr w:rsidR="006C011D" w:rsidRPr="005A284F" w14:paraId="1415E53E"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630ED05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年</w:t>
            </w:r>
          </w:p>
        </w:tc>
        <w:tc>
          <w:tcPr>
            <w:tcW w:w="2410" w:type="dxa"/>
            <w:tcBorders>
              <w:top w:val="single" w:sz="2" w:space="0" w:color="auto"/>
              <w:left w:val="single" w:sz="2" w:space="0" w:color="auto"/>
              <w:bottom w:val="single" w:sz="2" w:space="0" w:color="auto"/>
              <w:right w:val="single" w:sz="2" w:space="0" w:color="auto"/>
            </w:tcBorders>
            <w:vAlign w:val="center"/>
          </w:tcPr>
          <w:p w14:paraId="4A5C984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2,069,061.40</w:t>
            </w:r>
          </w:p>
        </w:tc>
        <w:tc>
          <w:tcPr>
            <w:tcW w:w="2410" w:type="dxa"/>
            <w:tcBorders>
              <w:top w:val="single" w:sz="2" w:space="0" w:color="auto"/>
              <w:left w:val="single" w:sz="2" w:space="0" w:color="auto"/>
              <w:bottom w:val="single" w:sz="2" w:space="0" w:color="auto"/>
              <w:right w:val="single" w:sz="2" w:space="0" w:color="auto"/>
            </w:tcBorders>
            <w:vAlign w:val="center"/>
          </w:tcPr>
          <w:p w14:paraId="5D4A34A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517,265.35</w:t>
            </w:r>
          </w:p>
        </w:tc>
        <w:tc>
          <w:tcPr>
            <w:tcW w:w="2410" w:type="dxa"/>
            <w:tcBorders>
              <w:top w:val="single" w:sz="2" w:space="0" w:color="auto"/>
              <w:left w:val="single" w:sz="2" w:space="0" w:color="auto"/>
              <w:bottom w:val="single" w:sz="2" w:space="0" w:color="auto"/>
              <w:right w:val="single" w:sz="2" w:space="0" w:color="auto"/>
            </w:tcBorders>
            <w:vAlign w:val="center"/>
          </w:tcPr>
          <w:p w14:paraId="02D3D81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25.00%</w:t>
            </w:r>
          </w:p>
        </w:tc>
      </w:tr>
      <w:tr w:rsidR="006C011D" w:rsidRPr="005A284F" w14:paraId="2A40BF5C"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27082AC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2-3</w:t>
            </w:r>
            <w:r w:rsidRPr="005A284F">
              <w:rPr>
                <w:rFonts w:ascii="Times New Roman" w:eastAsia="宋体" w:hAnsi="Times New Roman" w:cs="Times New Roman"/>
                <w:sz w:val="18"/>
                <w:szCs w:val="18"/>
              </w:rPr>
              <w:t>年</w:t>
            </w:r>
          </w:p>
        </w:tc>
        <w:tc>
          <w:tcPr>
            <w:tcW w:w="2410" w:type="dxa"/>
            <w:tcBorders>
              <w:top w:val="single" w:sz="2" w:space="0" w:color="auto"/>
              <w:left w:val="single" w:sz="2" w:space="0" w:color="auto"/>
              <w:bottom w:val="single" w:sz="2" w:space="0" w:color="auto"/>
              <w:right w:val="single" w:sz="2" w:space="0" w:color="auto"/>
            </w:tcBorders>
            <w:vAlign w:val="center"/>
          </w:tcPr>
          <w:p w14:paraId="7F5F02E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105,880.09</w:t>
            </w:r>
          </w:p>
        </w:tc>
        <w:tc>
          <w:tcPr>
            <w:tcW w:w="2410" w:type="dxa"/>
            <w:tcBorders>
              <w:top w:val="single" w:sz="2" w:space="0" w:color="auto"/>
              <w:left w:val="single" w:sz="2" w:space="0" w:color="auto"/>
              <w:bottom w:val="single" w:sz="2" w:space="0" w:color="auto"/>
              <w:right w:val="single" w:sz="2" w:space="0" w:color="auto"/>
            </w:tcBorders>
            <w:vAlign w:val="center"/>
          </w:tcPr>
          <w:p w14:paraId="7AFFC24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52,940.05</w:t>
            </w:r>
          </w:p>
        </w:tc>
        <w:tc>
          <w:tcPr>
            <w:tcW w:w="2410" w:type="dxa"/>
            <w:tcBorders>
              <w:top w:val="single" w:sz="2" w:space="0" w:color="auto"/>
              <w:left w:val="single" w:sz="2" w:space="0" w:color="auto"/>
              <w:bottom w:val="single" w:sz="2" w:space="0" w:color="auto"/>
              <w:right w:val="single" w:sz="2" w:space="0" w:color="auto"/>
            </w:tcBorders>
            <w:vAlign w:val="center"/>
          </w:tcPr>
          <w:p w14:paraId="40CD97A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50.00%</w:t>
            </w:r>
          </w:p>
        </w:tc>
      </w:tr>
      <w:tr w:rsidR="006C011D" w:rsidRPr="005A284F" w14:paraId="05BE63E6"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10F9FB6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3-4</w:t>
            </w:r>
            <w:r w:rsidRPr="005A284F">
              <w:rPr>
                <w:rFonts w:ascii="Times New Roman" w:eastAsia="宋体" w:hAnsi="Times New Roman" w:cs="Times New Roman"/>
                <w:sz w:val="18"/>
                <w:szCs w:val="18"/>
              </w:rPr>
              <w:t>年</w:t>
            </w:r>
          </w:p>
        </w:tc>
        <w:tc>
          <w:tcPr>
            <w:tcW w:w="2410" w:type="dxa"/>
            <w:tcBorders>
              <w:top w:val="single" w:sz="2" w:space="0" w:color="auto"/>
              <w:left w:val="single" w:sz="2" w:space="0" w:color="auto"/>
              <w:bottom w:val="single" w:sz="2" w:space="0" w:color="auto"/>
              <w:right w:val="single" w:sz="2" w:space="0" w:color="auto"/>
            </w:tcBorders>
            <w:vAlign w:val="center"/>
          </w:tcPr>
          <w:p w14:paraId="612E3CC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2,478.24</w:t>
            </w:r>
          </w:p>
        </w:tc>
        <w:tc>
          <w:tcPr>
            <w:tcW w:w="2410" w:type="dxa"/>
            <w:tcBorders>
              <w:top w:val="single" w:sz="2" w:space="0" w:color="auto"/>
              <w:left w:val="single" w:sz="2" w:space="0" w:color="auto"/>
              <w:bottom w:val="single" w:sz="2" w:space="0" w:color="auto"/>
              <w:right w:val="single" w:sz="2" w:space="0" w:color="auto"/>
            </w:tcBorders>
            <w:vAlign w:val="center"/>
          </w:tcPr>
          <w:p w14:paraId="45DDF45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1,982.59</w:t>
            </w:r>
          </w:p>
        </w:tc>
        <w:tc>
          <w:tcPr>
            <w:tcW w:w="2410" w:type="dxa"/>
            <w:tcBorders>
              <w:top w:val="single" w:sz="2" w:space="0" w:color="auto"/>
              <w:left w:val="single" w:sz="2" w:space="0" w:color="auto"/>
              <w:bottom w:val="single" w:sz="2" w:space="0" w:color="auto"/>
              <w:right w:val="single" w:sz="2" w:space="0" w:color="auto"/>
            </w:tcBorders>
            <w:vAlign w:val="center"/>
          </w:tcPr>
          <w:p w14:paraId="6EF3458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80.00%</w:t>
            </w:r>
          </w:p>
        </w:tc>
      </w:tr>
      <w:tr w:rsidR="006C011D" w:rsidRPr="005A284F" w14:paraId="685BDCF9"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40B0FBF"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6767FE2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295,617,195.20</w:t>
            </w:r>
          </w:p>
        </w:tc>
        <w:tc>
          <w:tcPr>
            <w:tcW w:w="2410" w:type="dxa"/>
            <w:tcBorders>
              <w:top w:val="single" w:sz="2" w:space="0" w:color="auto"/>
              <w:left w:val="single" w:sz="2" w:space="0" w:color="auto"/>
              <w:bottom w:val="single" w:sz="2" w:space="0" w:color="auto"/>
              <w:right w:val="single" w:sz="2" w:space="0" w:color="auto"/>
            </w:tcBorders>
            <w:vAlign w:val="center"/>
          </w:tcPr>
          <w:p w14:paraId="1B8D3FF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7,174,582.93</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4DC7407" w14:textId="77777777" w:rsidR="006C011D" w:rsidRPr="005A284F" w:rsidRDefault="006C011D">
            <w:pPr>
              <w:rPr>
                <w:rFonts w:ascii="Times New Roman" w:eastAsia="宋体" w:hAnsi="Times New Roman" w:cs="Times New Roman"/>
              </w:rPr>
            </w:pPr>
          </w:p>
        </w:tc>
      </w:tr>
    </w:tbl>
    <w:p w14:paraId="273931A6"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确定该组合依据的说明：</w:t>
      </w:r>
    </w:p>
    <w:p w14:paraId="58326413" w14:textId="77777777" w:rsidR="000309B5" w:rsidRPr="005A284F" w:rsidRDefault="00000000">
      <w:pPr>
        <w:pStyle w:val="a3"/>
        <w:divId w:val="415176783"/>
        <w:rPr>
          <w:rFonts w:ascii="Times New Roman" w:hAnsi="Times New Roman" w:cs="Times New Roman"/>
          <w:sz w:val="18"/>
          <w:szCs w:val="18"/>
        </w:rPr>
      </w:pPr>
      <w:r w:rsidRPr="005A284F">
        <w:rPr>
          <w:rFonts w:ascii="Times New Roman" w:hAnsi="Times New Roman" w:cs="Times New Roman"/>
          <w:sz w:val="18"/>
          <w:szCs w:val="18"/>
        </w:rPr>
        <w:t>无</w:t>
      </w:r>
    </w:p>
    <w:p w14:paraId="203624A4"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如是按照预期信用损失一般模型计提应收账款坏账准备：</w:t>
      </w:r>
    </w:p>
    <w:p w14:paraId="58286518" w14:textId="77777777" w:rsidR="006C011D" w:rsidRPr="003101BC" w:rsidRDefault="00000000">
      <w:pPr>
        <w:spacing w:before="100" w:after="100" w:line="240" w:lineRule="exact"/>
        <w:rPr>
          <w:rFonts w:ascii="宋体" w:eastAsia="宋体" w:hAnsi="宋体" w:cs="Times New Roman" w:hint="eastAsia"/>
          <w:sz w:val="18"/>
          <w:szCs w:val="18"/>
        </w:rPr>
      </w:pPr>
      <w:r w:rsidRPr="003101BC">
        <w:rPr>
          <w:rFonts w:ascii="宋体" w:eastAsia="宋体" w:hAnsi="宋体" w:cs="Times New Roman"/>
          <w:sz w:val="18"/>
          <w:szCs w:val="18"/>
        </w:rPr>
        <w:t xml:space="preserve">□适用 </w:t>
      </w:r>
      <w:r w:rsidRPr="003101BC">
        <w:rPr>
          <w:rFonts w:ascii="宋体" w:eastAsia="宋体" w:hAnsi="宋体" w:cs="Times New Roman"/>
          <w:sz w:val="18"/>
          <w:szCs w:val="18"/>
        </w:rPr>
        <w:sym w:font="Wingdings 2" w:char="F052"/>
      </w:r>
      <w:r w:rsidRPr="003101BC">
        <w:rPr>
          <w:rFonts w:ascii="宋体" w:eastAsia="宋体" w:hAnsi="宋体" w:cs="Times New Roman"/>
          <w:sz w:val="18"/>
          <w:szCs w:val="18"/>
        </w:rPr>
        <w:t>不适用</w:t>
      </w:r>
    </w:p>
    <w:p w14:paraId="20BB286E" w14:textId="2208E850"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438" w:name="_Toc989416"/>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3</w:t>
      </w:r>
      <w:r w:rsidRPr="005A284F">
        <w:rPr>
          <w:rFonts w:ascii="Times New Roman" w:eastAsia="宋体" w:hAnsi="Times New Roman" w:cs="Times New Roman"/>
          <w:b/>
          <w:bCs/>
          <w:sz w:val="21"/>
          <w:szCs w:val="21"/>
        </w:rPr>
        <w:t>）本期计提、收回或转回的坏账准备情况</w:t>
      </w:r>
      <w:bookmarkEnd w:id="438"/>
    </w:p>
    <w:p w14:paraId="470ACE37"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本期计提坏账准备情况：</w:t>
      </w:r>
    </w:p>
    <w:p w14:paraId="0495EE0C" w14:textId="77777777" w:rsidR="006C011D" w:rsidRPr="005A284F" w:rsidRDefault="00000000">
      <w:pPr>
        <w:spacing w:before="120" w:after="12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6C011D" w:rsidRPr="005A284F" w14:paraId="06C10116"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6DA029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4A18E6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74E1E14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88D7B5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r>
      <w:tr w:rsidR="006C011D" w:rsidRPr="005A284F" w14:paraId="1C6F16A2"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5536BFB" w14:textId="77777777" w:rsidR="006C011D" w:rsidRPr="005A284F" w:rsidRDefault="006C011D">
            <w:pPr>
              <w:rPr>
                <w:rFonts w:ascii="Times New Roman" w:eastAsia="宋体" w:hAnsi="Times New Roman" w:cs="Times New Roman"/>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C623E7E" w14:textId="77777777" w:rsidR="006C011D" w:rsidRPr="005A284F" w:rsidRDefault="006C011D">
            <w:pPr>
              <w:rPr>
                <w:rFonts w:ascii="Times New Roman" w:eastAsia="宋体" w:hAnsi="Times New Roman" w:cs="Times New Roman"/>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0045E7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2A8A3E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AA53A0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FB0C9B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C3806F1" w14:textId="77777777" w:rsidR="006C011D" w:rsidRPr="005A284F" w:rsidRDefault="006C011D">
            <w:pPr>
              <w:rPr>
                <w:rFonts w:ascii="Times New Roman" w:eastAsia="宋体" w:hAnsi="Times New Roman" w:cs="Times New Roman"/>
              </w:rPr>
            </w:pPr>
          </w:p>
        </w:tc>
      </w:tr>
      <w:tr w:rsidR="006C011D" w:rsidRPr="005A284F" w14:paraId="73C4D224"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6CC3F87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应收账款</w:t>
            </w:r>
          </w:p>
        </w:tc>
        <w:tc>
          <w:tcPr>
            <w:tcW w:w="1377" w:type="dxa"/>
            <w:tcBorders>
              <w:top w:val="single" w:sz="2" w:space="0" w:color="auto"/>
              <w:left w:val="single" w:sz="2" w:space="0" w:color="auto"/>
              <w:bottom w:val="single" w:sz="2" w:space="0" w:color="auto"/>
              <w:right w:val="single" w:sz="2" w:space="0" w:color="auto"/>
            </w:tcBorders>
            <w:vAlign w:val="center"/>
          </w:tcPr>
          <w:p w14:paraId="35203FE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71,998,128.17</w:t>
            </w:r>
          </w:p>
        </w:tc>
        <w:tc>
          <w:tcPr>
            <w:tcW w:w="1377" w:type="dxa"/>
            <w:tcBorders>
              <w:top w:val="single" w:sz="2" w:space="0" w:color="auto"/>
              <w:left w:val="single" w:sz="2" w:space="0" w:color="auto"/>
              <w:bottom w:val="single" w:sz="2" w:space="0" w:color="auto"/>
              <w:right w:val="single" w:sz="2" w:space="0" w:color="auto"/>
            </w:tcBorders>
            <w:vAlign w:val="center"/>
          </w:tcPr>
          <w:p w14:paraId="31415E9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2,101,155.11</w:t>
            </w:r>
          </w:p>
        </w:tc>
        <w:tc>
          <w:tcPr>
            <w:tcW w:w="1377" w:type="dxa"/>
            <w:tcBorders>
              <w:top w:val="single" w:sz="2" w:space="0" w:color="auto"/>
              <w:left w:val="single" w:sz="2" w:space="0" w:color="auto"/>
              <w:bottom w:val="single" w:sz="2" w:space="0" w:color="auto"/>
              <w:right w:val="single" w:sz="2" w:space="0" w:color="auto"/>
            </w:tcBorders>
            <w:vAlign w:val="center"/>
          </w:tcPr>
          <w:p w14:paraId="33D755A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6FD860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70B109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E8808C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74,099,283.28</w:t>
            </w:r>
          </w:p>
        </w:tc>
      </w:tr>
      <w:tr w:rsidR="006C011D" w:rsidRPr="005A284F" w14:paraId="3DCFB53B"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0BE9CFF"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合计</w:t>
            </w:r>
          </w:p>
        </w:tc>
        <w:tc>
          <w:tcPr>
            <w:tcW w:w="1377" w:type="dxa"/>
            <w:tcBorders>
              <w:top w:val="single" w:sz="2" w:space="0" w:color="auto"/>
              <w:left w:val="single" w:sz="2" w:space="0" w:color="auto"/>
              <w:bottom w:val="single" w:sz="2" w:space="0" w:color="auto"/>
              <w:right w:val="single" w:sz="2" w:space="0" w:color="auto"/>
            </w:tcBorders>
            <w:vAlign w:val="center"/>
          </w:tcPr>
          <w:p w14:paraId="0B99CE7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71,998,128.17</w:t>
            </w:r>
          </w:p>
        </w:tc>
        <w:tc>
          <w:tcPr>
            <w:tcW w:w="1377" w:type="dxa"/>
            <w:tcBorders>
              <w:top w:val="single" w:sz="2" w:space="0" w:color="auto"/>
              <w:left w:val="single" w:sz="2" w:space="0" w:color="auto"/>
              <w:bottom w:val="single" w:sz="2" w:space="0" w:color="auto"/>
              <w:right w:val="single" w:sz="2" w:space="0" w:color="auto"/>
            </w:tcBorders>
            <w:vAlign w:val="center"/>
          </w:tcPr>
          <w:p w14:paraId="269246F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2,101,155.11</w:t>
            </w:r>
          </w:p>
        </w:tc>
        <w:tc>
          <w:tcPr>
            <w:tcW w:w="1377" w:type="dxa"/>
            <w:tcBorders>
              <w:top w:val="single" w:sz="2" w:space="0" w:color="auto"/>
              <w:left w:val="single" w:sz="2" w:space="0" w:color="auto"/>
              <w:bottom w:val="single" w:sz="2" w:space="0" w:color="auto"/>
              <w:right w:val="single" w:sz="2" w:space="0" w:color="auto"/>
            </w:tcBorders>
            <w:vAlign w:val="center"/>
          </w:tcPr>
          <w:p w14:paraId="54B8E06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3866AA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6B62CD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5E3C37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74,099,283.28</w:t>
            </w:r>
          </w:p>
        </w:tc>
      </w:tr>
    </w:tbl>
    <w:p w14:paraId="25595CFA" w14:textId="4AC506D9" w:rsidR="006C011D" w:rsidRPr="003101BC" w:rsidRDefault="00000000" w:rsidP="003101BC">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其中本期坏账准备收回或转回金额重要的：</w:t>
      </w:r>
    </w:p>
    <w:p w14:paraId="7050B8E9" w14:textId="77777777" w:rsidR="000309B5" w:rsidRPr="005A284F" w:rsidRDefault="00000000">
      <w:pPr>
        <w:pStyle w:val="a3"/>
        <w:divId w:val="1215971871"/>
        <w:rPr>
          <w:rFonts w:ascii="Times New Roman" w:hAnsi="Times New Roman" w:cs="Times New Roman"/>
          <w:sz w:val="18"/>
          <w:szCs w:val="18"/>
        </w:rPr>
      </w:pPr>
      <w:r w:rsidRPr="005A284F">
        <w:rPr>
          <w:rFonts w:ascii="Times New Roman" w:hAnsi="Times New Roman" w:cs="Times New Roman"/>
          <w:sz w:val="18"/>
          <w:szCs w:val="18"/>
        </w:rPr>
        <w:t>无</w:t>
      </w:r>
    </w:p>
    <w:p w14:paraId="63D2B788" w14:textId="03A49F1B"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439" w:name="_Toc989417"/>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4</w:t>
      </w:r>
      <w:r w:rsidRPr="005A284F">
        <w:rPr>
          <w:rFonts w:ascii="Times New Roman" w:eastAsia="宋体" w:hAnsi="Times New Roman" w:cs="Times New Roman"/>
          <w:b/>
          <w:bCs/>
          <w:sz w:val="21"/>
          <w:szCs w:val="21"/>
        </w:rPr>
        <w:t>）本期实际核销的应收账款情况</w:t>
      </w:r>
      <w:bookmarkEnd w:id="439"/>
    </w:p>
    <w:p w14:paraId="23636CD8" w14:textId="77777777" w:rsidR="003101BC" w:rsidRPr="005A284F" w:rsidRDefault="003101BC" w:rsidP="003101BC">
      <w:pPr>
        <w:pStyle w:val="a3"/>
        <w:rPr>
          <w:rFonts w:ascii="Times New Roman" w:hAnsi="Times New Roman" w:cs="Times New Roman"/>
          <w:sz w:val="18"/>
          <w:szCs w:val="18"/>
        </w:rPr>
      </w:pPr>
      <w:bookmarkStart w:id="440" w:name="_Toc989418"/>
      <w:r w:rsidRPr="005A284F">
        <w:rPr>
          <w:rFonts w:ascii="Times New Roman" w:hAnsi="Times New Roman" w:cs="Times New Roman"/>
          <w:sz w:val="18"/>
          <w:szCs w:val="18"/>
        </w:rPr>
        <w:t>无</w:t>
      </w:r>
    </w:p>
    <w:p w14:paraId="0EF6E684" w14:textId="3853500B"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5</w:t>
      </w:r>
      <w:r w:rsidRPr="005A284F">
        <w:rPr>
          <w:rFonts w:ascii="Times New Roman" w:eastAsia="宋体" w:hAnsi="Times New Roman" w:cs="Times New Roman"/>
          <w:b/>
          <w:bCs/>
          <w:sz w:val="21"/>
          <w:szCs w:val="21"/>
        </w:rPr>
        <w:t>）按欠款方归集的期末余额前五名的应收账款和合同资产情况</w:t>
      </w:r>
      <w:bookmarkEnd w:id="440"/>
    </w:p>
    <w:p w14:paraId="30F6029D"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6C011D" w:rsidRPr="005A284F" w14:paraId="71784D5F"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8CEFE6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802863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应收账款期末余额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3E2D84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090B4E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应收账款和合同资产期末余额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A79AF5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占应收账款和合同资产期末余额合计数的比例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949060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应收账款坏账准备和合同资产减值准备期末余额</w:t>
            </w:r>
          </w:p>
        </w:tc>
      </w:tr>
      <w:tr w:rsidR="006C011D" w:rsidRPr="005A284F" w14:paraId="3753951C"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2F3D1CC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客户</w:t>
            </w:r>
            <w:r w:rsidRPr="005A284F">
              <w:rPr>
                <w:rFonts w:ascii="Times New Roman" w:eastAsia="宋体" w:hAnsi="Times New Roman" w:cs="Times New Roman"/>
                <w:sz w:val="18"/>
                <w:szCs w:val="18"/>
              </w:rPr>
              <w:t>A</w:t>
            </w:r>
          </w:p>
        </w:tc>
        <w:tc>
          <w:tcPr>
            <w:tcW w:w="1606" w:type="dxa"/>
            <w:tcBorders>
              <w:top w:val="single" w:sz="2" w:space="0" w:color="auto"/>
              <w:left w:val="single" w:sz="2" w:space="0" w:color="auto"/>
              <w:bottom w:val="single" w:sz="2" w:space="0" w:color="auto"/>
              <w:right w:val="single" w:sz="2" w:space="0" w:color="auto"/>
            </w:tcBorders>
            <w:vAlign w:val="center"/>
          </w:tcPr>
          <w:p w14:paraId="56854A5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68,463,933.29</w:t>
            </w:r>
          </w:p>
        </w:tc>
        <w:tc>
          <w:tcPr>
            <w:tcW w:w="1606" w:type="dxa"/>
            <w:tcBorders>
              <w:top w:val="single" w:sz="2" w:space="0" w:color="auto"/>
              <w:left w:val="single" w:sz="2" w:space="0" w:color="auto"/>
              <w:bottom w:val="single" w:sz="2" w:space="0" w:color="auto"/>
              <w:right w:val="single" w:sz="2" w:space="0" w:color="auto"/>
            </w:tcBorders>
            <w:vAlign w:val="center"/>
          </w:tcPr>
          <w:p w14:paraId="5282D6B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073C07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68,463,933.29</w:t>
            </w:r>
          </w:p>
        </w:tc>
        <w:tc>
          <w:tcPr>
            <w:tcW w:w="1606" w:type="dxa"/>
            <w:tcBorders>
              <w:top w:val="single" w:sz="2" w:space="0" w:color="auto"/>
              <w:left w:val="single" w:sz="2" w:space="0" w:color="auto"/>
              <w:bottom w:val="single" w:sz="2" w:space="0" w:color="auto"/>
              <w:right w:val="single" w:sz="2" w:space="0" w:color="auto"/>
            </w:tcBorders>
            <w:vAlign w:val="center"/>
          </w:tcPr>
          <w:p w14:paraId="73AA44A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13.40%</w:t>
            </w:r>
          </w:p>
        </w:tc>
        <w:tc>
          <w:tcPr>
            <w:tcW w:w="1606" w:type="dxa"/>
            <w:tcBorders>
              <w:top w:val="single" w:sz="2" w:space="0" w:color="auto"/>
              <w:left w:val="single" w:sz="2" w:space="0" w:color="auto"/>
              <w:bottom w:val="single" w:sz="2" w:space="0" w:color="auto"/>
              <w:right w:val="single" w:sz="2" w:space="0" w:color="auto"/>
            </w:tcBorders>
            <w:vAlign w:val="center"/>
          </w:tcPr>
          <w:p w14:paraId="6617BA51"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00E03E2"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C8C2B4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客户</w:t>
            </w:r>
            <w:r w:rsidRPr="005A284F">
              <w:rPr>
                <w:rFonts w:ascii="Times New Roman" w:eastAsia="宋体" w:hAnsi="Times New Roman" w:cs="Times New Roman"/>
                <w:sz w:val="18"/>
                <w:szCs w:val="18"/>
              </w:rPr>
              <w:t>B</w:t>
            </w:r>
          </w:p>
        </w:tc>
        <w:tc>
          <w:tcPr>
            <w:tcW w:w="1606" w:type="dxa"/>
            <w:tcBorders>
              <w:top w:val="single" w:sz="2" w:space="0" w:color="auto"/>
              <w:left w:val="single" w:sz="2" w:space="0" w:color="auto"/>
              <w:bottom w:val="single" w:sz="2" w:space="0" w:color="auto"/>
              <w:right w:val="single" w:sz="2" w:space="0" w:color="auto"/>
            </w:tcBorders>
            <w:vAlign w:val="center"/>
          </w:tcPr>
          <w:p w14:paraId="486580B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41,129,532.88</w:t>
            </w:r>
          </w:p>
        </w:tc>
        <w:tc>
          <w:tcPr>
            <w:tcW w:w="1606" w:type="dxa"/>
            <w:tcBorders>
              <w:top w:val="single" w:sz="2" w:space="0" w:color="auto"/>
              <w:left w:val="single" w:sz="2" w:space="0" w:color="auto"/>
              <w:bottom w:val="single" w:sz="2" w:space="0" w:color="auto"/>
              <w:right w:val="single" w:sz="2" w:space="0" w:color="auto"/>
            </w:tcBorders>
            <w:vAlign w:val="center"/>
          </w:tcPr>
          <w:p w14:paraId="790897B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9B23FF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41,129,532.88</w:t>
            </w:r>
          </w:p>
        </w:tc>
        <w:tc>
          <w:tcPr>
            <w:tcW w:w="1606" w:type="dxa"/>
            <w:tcBorders>
              <w:top w:val="single" w:sz="2" w:space="0" w:color="auto"/>
              <w:left w:val="single" w:sz="2" w:space="0" w:color="auto"/>
              <w:bottom w:val="single" w:sz="2" w:space="0" w:color="auto"/>
              <w:right w:val="single" w:sz="2" w:space="0" w:color="auto"/>
            </w:tcBorders>
            <w:vAlign w:val="center"/>
          </w:tcPr>
          <w:p w14:paraId="264DE9B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8.05%</w:t>
            </w:r>
          </w:p>
        </w:tc>
        <w:tc>
          <w:tcPr>
            <w:tcW w:w="1606" w:type="dxa"/>
            <w:tcBorders>
              <w:top w:val="single" w:sz="2" w:space="0" w:color="auto"/>
              <w:left w:val="single" w:sz="2" w:space="0" w:color="auto"/>
              <w:bottom w:val="single" w:sz="2" w:space="0" w:color="auto"/>
              <w:right w:val="single" w:sz="2" w:space="0" w:color="auto"/>
            </w:tcBorders>
            <w:vAlign w:val="center"/>
          </w:tcPr>
          <w:p w14:paraId="160CB1C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41,129,532.88</w:t>
            </w:r>
          </w:p>
        </w:tc>
      </w:tr>
      <w:tr w:rsidR="006C011D" w:rsidRPr="005A284F" w14:paraId="4F5017BE"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4B792A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客户</w:t>
            </w:r>
            <w:r w:rsidRPr="005A284F">
              <w:rPr>
                <w:rFonts w:ascii="Times New Roman" w:eastAsia="宋体" w:hAnsi="Times New Roman" w:cs="Times New Roman"/>
                <w:sz w:val="18"/>
                <w:szCs w:val="18"/>
              </w:rPr>
              <w:t>C</w:t>
            </w:r>
          </w:p>
        </w:tc>
        <w:tc>
          <w:tcPr>
            <w:tcW w:w="1606" w:type="dxa"/>
            <w:tcBorders>
              <w:top w:val="single" w:sz="2" w:space="0" w:color="auto"/>
              <w:left w:val="single" w:sz="2" w:space="0" w:color="auto"/>
              <w:bottom w:val="single" w:sz="2" w:space="0" w:color="auto"/>
              <w:right w:val="single" w:sz="2" w:space="0" w:color="auto"/>
            </w:tcBorders>
            <w:vAlign w:val="center"/>
          </w:tcPr>
          <w:p w14:paraId="0180CD5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34,930,389.67</w:t>
            </w:r>
          </w:p>
        </w:tc>
        <w:tc>
          <w:tcPr>
            <w:tcW w:w="1606" w:type="dxa"/>
            <w:tcBorders>
              <w:top w:val="single" w:sz="2" w:space="0" w:color="auto"/>
              <w:left w:val="single" w:sz="2" w:space="0" w:color="auto"/>
              <w:bottom w:val="single" w:sz="2" w:space="0" w:color="auto"/>
              <w:right w:val="single" w:sz="2" w:space="0" w:color="auto"/>
            </w:tcBorders>
            <w:vAlign w:val="center"/>
          </w:tcPr>
          <w:p w14:paraId="455208C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726838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34,930,389.67</w:t>
            </w:r>
          </w:p>
        </w:tc>
        <w:tc>
          <w:tcPr>
            <w:tcW w:w="1606" w:type="dxa"/>
            <w:tcBorders>
              <w:top w:val="single" w:sz="2" w:space="0" w:color="auto"/>
              <w:left w:val="single" w:sz="2" w:space="0" w:color="auto"/>
              <w:bottom w:val="single" w:sz="2" w:space="0" w:color="auto"/>
              <w:right w:val="single" w:sz="2" w:space="0" w:color="auto"/>
            </w:tcBorders>
            <w:vAlign w:val="center"/>
          </w:tcPr>
          <w:p w14:paraId="1B914FF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6.84%</w:t>
            </w:r>
          </w:p>
        </w:tc>
        <w:tc>
          <w:tcPr>
            <w:tcW w:w="1606" w:type="dxa"/>
            <w:tcBorders>
              <w:top w:val="single" w:sz="2" w:space="0" w:color="auto"/>
              <w:left w:val="single" w:sz="2" w:space="0" w:color="auto"/>
              <w:bottom w:val="single" w:sz="2" w:space="0" w:color="auto"/>
              <w:right w:val="single" w:sz="2" w:space="0" w:color="auto"/>
            </w:tcBorders>
            <w:vAlign w:val="center"/>
          </w:tcPr>
          <w:p w14:paraId="30B5F3A0"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2B29C7A"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4EABACF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客户</w:t>
            </w:r>
            <w:r w:rsidRPr="005A284F">
              <w:rPr>
                <w:rFonts w:ascii="Times New Roman" w:eastAsia="宋体" w:hAnsi="Times New Roman" w:cs="Times New Roman"/>
                <w:sz w:val="18"/>
                <w:szCs w:val="18"/>
              </w:rPr>
              <w:t>D</w:t>
            </w:r>
          </w:p>
        </w:tc>
        <w:tc>
          <w:tcPr>
            <w:tcW w:w="1606" w:type="dxa"/>
            <w:tcBorders>
              <w:top w:val="single" w:sz="2" w:space="0" w:color="auto"/>
              <w:left w:val="single" w:sz="2" w:space="0" w:color="auto"/>
              <w:bottom w:val="single" w:sz="2" w:space="0" w:color="auto"/>
              <w:right w:val="single" w:sz="2" w:space="0" w:color="auto"/>
            </w:tcBorders>
            <w:vAlign w:val="center"/>
          </w:tcPr>
          <w:p w14:paraId="2B174A8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25,252,855.20</w:t>
            </w:r>
          </w:p>
        </w:tc>
        <w:tc>
          <w:tcPr>
            <w:tcW w:w="1606" w:type="dxa"/>
            <w:tcBorders>
              <w:top w:val="single" w:sz="2" w:space="0" w:color="auto"/>
              <w:left w:val="single" w:sz="2" w:space="0" w:color="auto"/>
              <w:bottom w:val="single" w:sz="2" w:space="0" w:color="auto"/>
              <w:right w:val="single" w:sz="2" w:space="0" w:color="auto"/>
            </w:tcBorders>
            <w:vAlign w:val="center"/>
          </w:tcPr>
          <w:p w14:paraId="379241B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0EF867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25,252,855.20</w:t>
            </w:r>
          </w:p>
        </w:tc>
        <w:tc>
          <w:tcPr>
            <w:tcW w:w="1606" w:type="dxa"/>
            <w:tcBorders>
              <w:top w:val="single" w:sz="2" w:space="0" w:color="auto"/>
              <w:left w:val="single" w:sz="2" w:space="0" w:color="auto"/>
              <w:bottom w:val="single" w:sz="2" w:space="0" w:color="auto"/>
              <w:right w:val="single" w:sz="2" w:space="0" w:color="auto"/>
            </w:tcBorders>
            <w:vAlign w:val="center"/>
          </w:tcPr>
          <w:p w14:paraId="000712B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4.94%</w:t>
            </w:r>
          </w:p>
        </w:tc>
        <w:tc>
          <w:tcPr>
            <w:tcW w:w="1606" w:type="dxa"/>
            <w:tcBorders>
              <w:top w:val="single" w:sz="2" w:space="0" w:color="auto"/>
              <w:left w:val="single" w:sz="2" w:space="0" w:color="auto"/>
              <w:bottom w:val="single" w:sz="2" w:space="0" w:color="auto"/>
              <w:right w:val="single" w:sz="2" w:space="0" w:color="auto"/>
            </w:tcBorders>
            <w:vAlign w:val="center"/>
          </w:tcPr>
          <w:p w14:paraId="2A6513B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568,189.24</w:t>
            </w:r>
          </w:p>
        </w:tc>
      </w:tr>
      <w:tr w:rsidR="006C011D" w:rsidRPr="005A284F" w14:paraId="222CDA48"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929AFC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客户</w:t>
            </w:r>
            <w:r w:rsidRPr="005A284F">
              <w:rPr>
                <w:rFonts w:ascii="Times New Roman" w:eastAsia="宋体" w:hAnsi="Times New Roman" w:cs="Times New Roman"/>
                <w:sz w:val="18"/>
                <w:szCs w:val="18"/>
              </w:rPr>
              <w:t>E</w:t>
            </w:r>
          </w:p>
        </w:tc>
        <w:tc>
          <w:tcPr>
            <w:tcW w:w="1606" w:type="dxa"/>
            <w:tcBorders>
              <w:top w:val="single" w:sz="2" w:space="0" w:color="auto"/>
              <w:left w:val="single" w:sz="2" w:space="0" w:color="auto"/>
              <w:bottom w:val="single" w:sz="2" w:space="0" w:color="auto"/>
              <w:right w:val="single" w:sz="2" w:space="0" w:color="auto"/>
            </w:tcBorders>
            <w:vAlign w:val="center"/>
          </w:tcPr>
          <w:p w14:paraId="6F49310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23,297,795.73</w:t>
            </w:r>
          </w:p>
        </w:tc>
        <w:tc>
          <w:tcPr>
            <w:tcW w:w="1606" w:type="dxa"/>
            <w:tcBorders>
              <w:top w:val="single" w:sz="2" w:space="0" w:color="auto"/>
              <w:left w:val="single" w:sz="2" w:space="0" w:color="auto"/>
              <w:bottom w:val="single" w:sz="2" w:space="0" w:color="auto"/>
              <w:right w:val="single" w:sz="2" w:space="0" w:color="auto"/>
            </w:tcBorders>
            <w:vAlign w:val="center"/>
          </w:tcPr>
          <w:p w14:paraId="65EA0C6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EEAB89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23,297,795.73</w:t>
            </w:r>
          </w:p>
        </w:tc>
        <w:tc>
          <w:tcPr>
            <w:tcW w:w="1606" w:type="dxa"/>
            <w:tcBorders>
              <w:top w:val="single" w:sz="2" w:space="0" w:color="auto"/>
              <w:left w:val="single" w:sz="2" w:space="0" w:color="auto"/>
              <w:bottom w:val="single" w:sz="2" w:space="0" w:color="auto"/>
              <w:right w:val="single" w:sz="2" w:space="0" w:color="auto"/>
            </w:tcBorders>
            <w:vAlign w:val="center"/>
          </w:tcPr>
          <w:p w14:paraId="6DB8454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4.56%</w:t>
            </w:r>
          </w:p>
        </w:tc>
        <w:tc>
          <w:tcPr>
            <w:tcW w:w="1606" w:type="dxa"/>
            <w:tcBorders>
              <w:top w:val="single" w:sz="2" w:space="0" w:color="auto"/>
              <w:left w:val="single" w:sz="2" w:space="0" w:color="auto"/>
              <w:bottom w:val="single" w:sz="2" w:space="0" w:color="auto"/>
              <w:right w:val="single" w:sz="2" w:space="0" w:color="auto"/>
            </w:tcBorders>
            <w:vAlign w:val="center"/>
          </w:tcPr>
          <w:p w14:paraId="5146BF7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23,297,795.73</w:t>
            </w:r>
          </w:p>
        </w:tc>
      </w:tr>
      <w:tr w:rsidR="006C011D" w:rsidRPr="005A284F" w14:paraId="1FC3D928"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DBEB4A7"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14:paraId="082542D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193,074,506.77</w:t>
            </w:r>
          </w:p>
        </w:tc>
        <w:tc>
          <w:tcPr>
            <w:tcW w:w="1606" w:type="dxa"/>
            <w:tcBorders>
              <w:top w:val="single" w:sz="2" w:space="0" w:color="auto"/>
              <w:left w:val="single" w:sz="2" w:space="0" w:color="auto"/>
              <w:bottom w:val="single" w:sz="2" w:space="0" w:color="auto"/>
              <w:right w:val="single" w:sz="2" w:space="0" w:color="auto"/>
            </w:tcBorders>
            <w:vAlign w:val="center"/>
          </w:tcPr>
          <w:p w14:paraId="1882C3B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B9C375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193,074,506.77</w:t>
            </w:r>
          </w:p>
        </w:tc>
        <w:tc>
          <w:tcPr>
            <w:tcW w:w="1606" w:type="dxa"/>
            <w:tcBorders>
              <w:top w:val="single" w:sz="2" w:space="0" w:color="auto"/>
              <w:left w:val="single" w:sz="2" w:space="0" w:color="auto"/>
              <w:bottom w:val="single" w:sz="2" w:space="0" w:color="auto"/>
              <w:right w:val="single" w:sz="2" w:space="0" w:color="auto"/>
            </w:tcBorders>
            <w:vAlign w:val="center"/>
          </w:tcPr>
          <w:p w14:paraId="63043DA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37.79%</w:t>
            </w:r>
          </w:p>
        </w:tc>
        <w:tc>
          <w:tcPr>
            <w:tcW w:w="1606" w:type="dxa"/>
            <w:tcBorders>
              <w:top w:val="single" w:sz="2" w:space="0" w:color="auto"/>
              <w:left w:val="single" w:sz="2" w:space="0" w:color="auto"/>
              <w:bottom w:val="single" w:sz="2" w:space="0" w:color="auto"/>
              <w:right w:val="single" w:sz="2" w:space="0" w:color="auto"/>
            </w:tcBorders>
            <w:vAlign w:val="center"/>
          </w:tcPr>
          <w:p w14:paraId="34BF08D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64,995,517.85</w:t>
            </w:r>
          </w:p>
        </w:tc>
      </w:tr>
    </w:tbl>
    <w:p w14:paraId="376EA953" w14:textId="77777777" w:rsidR="006C011D" w:rsidRPr="005A284F" w:rsidRDefault="00000000">
      <w:pPr>
        <w:pStyle w:val="3"/>
        <w:spacing w:line="280" w:lineRule="exact"/>
        <w:jc w:val="left"/>
        <w:rPr>
          <w:rFonts w:ascii="Times New Roman" w:hAnsi="Times New Roman" w:cs="Times New Roman"/>
          <w:b/>
          <w:bCs/>
        </w:rPr>
      </w:pPr>
      <w:bookmarkStart w:id="441" w:name="_Toc989419"/>
      <w:r w:rsidRPr="005A284F">
        <w:rPr>
          <w:rFonts w:ascii="Times New Roman" w:hAnsi="Times New Roman" w:cs="Times New Roman"/>
          <w:b/>
          <w:bCs/>
        </w:rPr>
        <w:t>2</w:t>
      </w:r>
      <w:r w:rsidRPr="005A284F">
        <w:rPr>
          <w:rFonts w:ascii="Times New Roman" w:hAnsi="Times New Roman" w:cs="Times New Roman"/>
          <w:b/>
          <w:bCs/>
        </w:rPr>
        <w:t>、其他应收款</w:t>
      </w:r>
      <w:bookmarkEnd w:id="441"/>
    </w:p>
    <w:p w14:paraId="2B62AE2B"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26241D0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C0795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FCEB8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E3A45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r>
      <w:tr w:rsidR="006C011D" w:rsidRPr="005A284F" w14:paraId="0711426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799E2E"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14:paraId="1EB63D5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14:paraId="505C7C1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2,240,000.00</w:t>
            </w:r>
          </w:p>
        </w:tc>
      </w:tr>
      <w:tr w:rsidR="006C011D" w:rsidRPr="005A284F" w14:paraId="26649D2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2CCD78"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14:paraId="1DD357F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680,825,103.65</w:t>
            </w:r>
          </w:p>
        </w:tc>
        <w:tc>
          <w:tcPr>
            <w:tcW w:w="3213" w:type="dxa"/>
            <w:tcBorders>
              <w:top w:val="single" w:sz="2" w:space="0" w:color="auto"/>
              <w:left w:val="single" w:sz="2" w:space="0" w:color="auto"/>
              <w:bottom w:val="single" w:sz="2" w:space="0" w:color="auto"/>
              <w:right w:val="single" w:sz="2" w:space="0" w:color="auto"/>
            </w:tcBorders>
            <w:vAlign w:val="center"/>
          </w:tcPr>
          <w:p w14:paraId="4FE1D99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664,976,032.90</w:t>
            </w:r>
          </w:p>
        </w:tc>
      </w:tr>
      <w:tr w:rsidR="006C011D" w:rsidRPr="005A284F" w14:paraId="082BF47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ED4584"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3590D82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680,825,103.65</w:t>
            </w:r>
          </w:p>
        </w:tc>
        <w:tc>
          <w:tcPr>
            <w:tcW w:w="3213" w:type="dxa"/>
            <w:tcBorders>
              <w:top w:val="single" w:sz="2" w:space="0" w:color="auto"/>
              <w:left w:val="single" w:sz="2" w:space="0" w:color="auto"/>
              <w:bottom w:val="single" w:sz="2" w:space="0" w:color="auto"/>
              <w:right w:val="single" w:sz="2" w:space="0" w:color="auto"/>
            </w:tcBorders>
            <w:vAlign w:val="center"/>
          </w:tcPr>
          <w:p w14:paraId="10C2470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667,216,032.90</w:t>
            </w:r>
          </w:p>
        </w:tc>
      </w:tr>
    </w:tbl>
    <w:p w14:paraId="194D7A88" w14:textId="6F328AF6" w:rsidR="006C011D" w:rsidRPr="005A284F" w:rsidRDefault="00000000">
      <w:pPr>
        <w:keepNext/>
        <w:keepLines/>
        <w:spacing w:before="300" w:after="300" w:line="280" w:lineRule="exact"/>
        <w:outlineLvl w:val="3"/>
        <w:rPr>
          <w:rFonts w:ascii="Times New Roman" w:eastAsia="宋体" w:hAnsi="Times New Roman" w:cs="Times New Roman"/>
          <w:b/>
          <w:bCs/>
          <w:sz w:val="18"/>
          <w:szCs w:val="18"/>
        </w:rPr>
      </w:pPr>
      <w:bookmarkStart w:id="442" w:name="_Toc989420"/>
      <w:r w:rsidRPr="005A284F">
        <w:rPr>
          <w:rFonts w:ascii="Times New Roman" w:eastAsia="宋体" w:hAnsi="Times New Roman" w:cs="Times New Roman"/>
          <w:b/>
          <w:bCs/>
          <w:sz w:val="18"/>
          <w:szCs w:val="18"/>
        </w:rPr>
        <w:t>（</w:t>
      </w:r>
      <w:r w:rsidRPr="005A284F">
        <w:rPr>
          <w:rFonts w:ascii="Times New Roman" w:eastAsia="宋体" w:hAnsi="Times New Roman" w:cs="Times New Roman"/>
          <w:b/>
          <w:bCs/>
          <w:sz w:val="18"/>
          <w:szCs w:val="18"/>
        </w:rPr>
        <w:t>1</w:t>
      </w:r>
      <w:r w:rsidRPr="005A284F">
        <w:rPr>
          <w:rFonts w:ascii="Times New Roman" w:eastAsia="宋体" w:hAnsi="Times New Roman" w:cs="Times New Roman"/>
          <w:b/>
          <w:bCs/>
          <w:sz w:val="18"/>
          <w:szCs w:val="18"/>
        </w:rPr>
        <w:t>）应收利息</w:t>
      </w:r>
      <w:bookmarkEnd w:id="442"/>
    </w:p>
    <w:p w14:paraId="3D89DA57" w14:textId="77777777" w:rsidR="000309B5" w:rsidRPr="005A284F" w:rsidRDefault="00000000">
      <w:pPr>
        <w:pStyle w:val="a3"/>
        <w:divId w:val="1678802397"/>
        <w:rPr>
          <w:rFonts w:ascii="Times New Roman" w:hAnsi="Times New Roman" w:cs="Times New Roman"/>
          <w:sz w:val="18"/>
          <w:szCs w:val="18"/>
        </w:rPr>
      </w:pPr>
      <w:r w:rsidRPr="005A284F">
        <w:rPr>
          <w:rFonts w:ascii="Times New Roman" w:hAnsi="Times New Roman" w:cs="Times New Roman"/>
          <w:sz w:val="18"/>
          <w:szCs w:val="18"/>
        </w:rPr>
        <w:t>无</w:t>
      </w:r>
    </w:p>
    <w:p w14:paraId="2AAD32A9" w14:textId="56B142DD" w:rsidR="006C011D" w:rsidRPr="005A284F" w:rsidRDefault="00000000">
      <w:pPr>
        <w:keepNext/>
        <w:keepLines/>
        <w:spacing w:before="300" w:after="300" w:line="280" w:lineRule="exact"/>
        <w:outlineLvl w:val="3"/>
        <w:rPr>
          <w:rFonts w:ascii="Times New Roman" w:eastAsia="宋体" w:hAnsi="Times New Roman" w:cs="Times New Roman"/>
          <w:b/>
          <w:bCs/>
          <w:sz w:val="18"/>
          <w:szCs w:val="18"/>
        </w:rPr>
      </w:pPr>
      <w:bookmarkStart w:id="443" w:name="_Toc989426"/>
      <w:r w:rsidRPr="005A284F">
        <w:rPr>
          <w:rFonts w:ascii="Times New Roman" w:eastAsia="宋体" w:hAnsi="Times New Roman" w:cs="Times New Roman"/>
          <w:b/>
          <w:bCs/>
          <w:sz w:val="18"/>
          <w:szCs w:val="18"/>
        </w:rPr>
        <w:t>（</w:t>
      </w:r>
      <w:r w:rsidRPr="005A284F">
        <w:rPr>
          <w:rFonts w:ascii="Times New Roman" w:eastAsia="宋体" w:hAnsi="Times New Roman" w:cs="Times New Roman"/>
          <w:b/>
          <w:bCs/>
          <w:sz w:val="18"/>
          <w:szCs w:val="18"/>
        </w:rPr>
        <w:t>2</w:t>
      </w:r>
      <w:r w:rsidRPr="005A284F">
        <w:rPr>
          <w:rFonts w:ascii="Times New Roman" w:eastAsia="宋体" w:hAnsi="Times New Roman" w:cs="Times New Roman"/>
          <w:b/>
          <w:bCs/>
          <w:sz w:val="18"/>
          <w:szCs w:val="18"/>
        </w:rPr>
        <w:t>）应收股利</w:t>
      </w:r>
      <w:bookmarkEnd w:id="443"/>
    </w:p>
    <w:p w14:paraId="517D36CA" w14:textId="61F65BFA" w:rsidR="006C011D" w:rsidRPr="005A284F" w:rsidRDefault="00000000">
      <w:pPr>
        <w:keepNext/>
        <w:keepLines/>
        <w:spacing w:before="300" w:after="300" w:line="280" w:lineRule="exact"/>
        <w:outlineLvl w:val="4"/>
        <w:rPr>
          <w:rFonts w:ascii="Times New Roman" w:eastAsia="宋体" w:hAnsi="Times New Roman" w:cs="Times New Roman"/>
          <w:b/>
          <w:bCs/>
          <w:sz w:val="18"/>
          <w:szCs w:val="18"/>
        </w:rPr>
      </w:pPr>
      <w:bookmarkStart w:id="444" w:name="_Toc989427"/>
      <w:r w:rsidRPr="005A284F">
        <w:rPr>
          <w:rFonts w:ascii="Times New Roman" w:eastAsia="宋体" w:hAnsi="Times New Roman" w:cs="Times New Roman"/>
          <w:b/>
          <w:bCs/>
          <w:sz w:val="18"/>
          <w:szCs w:val="18"/>
        </w:rPr>
        <w:t>1</w:t>
      </w:r>
      <w:r w:rsidRPr="005A284F">
        <w:rPr>
          <w:rFonts w:ascii="Times New Roman" w:eastAsia="宋体" w:hAnsi="Times New Roman" w:cs="Times New Roman"/>
          <w:b/>
          <w:bCs/>
          <w:sz w:val="18"/>
          <w:szCs w:val="18"/>
        </w:rPr>
        <w:t>）应收股利分类</w:t>
      </w:r>
      <w:bookmarkEnd w:id="444"/>
    </w:p>
    <w:p w14:paraId="4BABC277"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6C469D3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503C5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或被投资单位</w:t>
            </w:r>
            <w:r w:rsidRPr="005A284F">
              <w:rPr>
                <w:rFonts w:ascii="Times New Roman" w:eastAsia="宋体" w:hAnsi="Times New Roman" w:cs="Times New Roman"/>
                <w:sz w:val="18"/>
                <w:szCs w:val="18"/>
              </w:rPr>
              <w:t>)</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2727F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3563E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r>
      <w:tr w:rsidR="006C011D" w:rsidRPr="005A284F" w14:paraId="2FBE158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C0A09F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蓬莱富龙肉食品有限公司</w:t>
            </w:r>
          </w:p>
        </w:tc>
        <w:tc>
          <w:tcPr>
            <w:tcW w:w="3213" w:type="dxa"/>
            <w:tcBorders>
              <w:top w:val="single" w:sz="2" w:space="0" w:color="auto"/>
              <w:left w:val="single" w:sz="2" w:space="0" w:color="auto"/>
              <w:bottom w:val="single" w:sz="2" w:space="0" w:color="auto"/>
              <w:right w:val="single" w:sz="2" w:space="0" w:color="auto"/>
            </w:tcBorders>
            <w:vAlign w:val="center"/>
          </w:tcPr>
          <w:p w14:paraId="582D318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8D2F2E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2,240,000.00</w:t>
            </w:r>
          </w:p>
        </w:tc>
      </w:tr>
      <w:tr w:rsidR="006C011D" w:rsidRPr="005A284F" w14:paraId="32C86A4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4C0AE6"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24AD7E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14:paraId="4C494AD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2,240,000.00</w:t>
            </w:r>
          </w:p>
        </w:tc>
      </w:tr>
    </w:tbl>
    <w:p w14:paraId="4DA2EA28" w14:textId="43336C2C" w:rsidR="006C011D" w:rsidRPr="005A284F" w:rsidRDefault="00000000">
      <w:pPr>
        <w:keepNext/>
        <w:keepLines/>
        <w:spacing w:before="300" w:after="300" w:line="280" w:lineRule="exact"/>
        <w:outlineLvl w:val="4"/>
        <w:rPr>
          <w:rFonts w:ascii="Times New Roman" w:eastAsia="宋体" w:hAnsi="Times New Roman" w:cs="Times New Roman"/>
          <w:b/>
          <w:bCs/>
          <w:sz w:val="18"/>
          <w:szCs w:val="18"/>
        </w:rPr>
      </w:pPr>
      <w:bookmarkStart w:id="445" w:name="_Toc989428"/>
      <w:r w:rsidRPr="005A284F">
        <w:rPr>
          <w:rFonts w:ascii="Times New Roman" w:eastAsia="宋体" w:hAnsi="Times New Roman" w:cs="Times New Roman"/>
          <w:b/>
          <w:bCs/>
          <w:sz w:val="18"/>
          <w:szCs w:val="18"/>
        </w:rPr>
        <w:t>2</w:t>
      </w:r>
      <w:r w:rsidRPr="005A284F">
        <w:rPr>
          <w:rFonts w:ascii="Times New Roman" w:eastAsia="宋体" w:hAnsi="Times New Roman" w:cs="Times New Roman"/>
          <w:b/>
          <w:bCs/>
          <w:sz w:val="18"/>
          <w:szCs w:val="18"/>
        </w:rPr>
        <w:t>）重要的账龄超过</w:t>
      </w:r>
      <w:r w:rsidRPr="005A284F">
        <w:rPr>
          <w:rFonts w:ascii="Times New Roman" w:eastAsia="宋体" w:hAnsi="Times New Roman" w:cs="Times New Roman"/>
          <w:b/>
          <w:bCs/>
          <w:sz w:val="18"/>
          <w:szCs w:val="18"/>
        </w:rPr>
        <w:t>1</w:t>
      </w:r>
      <w:r w:rsidRPr="005A284F">
        <w:rPr>
          <w:rFonts w:ascii="Times New Roman" w:eastAsia="宋体" w:hAnsi="Times New Roman" w:cs="Times New Roman"/>
          <w:b/>
          <w:bCs/>
          <w:sz w:val="18"/>
          <w:szCs w:val="18"/>
        </w:rPr>
        <w:t>年的应收股利</w:t>
      </w:r>
      <w:bookmarkEnd w:id="445"/>
    </w:p>
    <w:p w14:paraId="76FCAE22" w14:textId="77777777" w:rsidR="003101BC" w:rsidRPr="005A284F" w:rsidRDefault="003101BC" w:rsidP="003101BC">
      <w:pPr>
        <w:pStyle w:val="a3"/>
        <w:rPr>
          <w:rFonts w:ascii="Times New Roman" w:hAnsi="Times New Roman" w:cs="Times New Roman"/>
          <w:sz w:val="18"/>
          <w:szCs w:val="18"/>
        </w:rPr>
      </w:pPr>
      <w:r w:rsidRPr="005A284F">
        <w:rPr>
          <w:rFonts w:ascii="Times New Roman" w:hAnsi="Times New Roman" w:cs="Times New Roman"/>
          <w:sz w:val="18"/>
          <w:szCs w:val="18"/>
        </w:rPr>
        <w:t>无</w:t>
      </w:r>
    </w:p>
    <w:p w14:paraId="16271F6C" w14:textId="77777777" w:rsidR="006C011D" w:rsidRPr="005A284F" w:rsidRDefault="00000000">
      <w:pPr>
        <w:keepNext/>
        <w:keepLines/>
        <w:spacing w:before="300" w:after="300" w:line="280" w:lineRule="exact"/>
        <w:outlineLvl w:val="4"/>
        <w:rPr>
          <w:rFonts w:ascii="Times New Roman" w:eastAsia="宋体" w:hAnsi="Times New Roman" w:cs="Times New Roman"/>
          <w:b/>
          <w:bCs/>
          <w:sz w:val="18"/>
          <w:szCs w:val="18"/>
        </w:rPr>
      </w:pPr>
      <w:bookmarkStart w:id="446" w:name="_Toc989429"/>
      <w:r w:rsidRPr="005A284F">
        <w:rPr>
          <w:rFonts w:ascii="Times New Roman" w:eastAsia="宋体" w:hAnsi="Times New Roman" w:cs="Times New Roman"/>
          <w:b/>
          <w:bCs/>
          <w:sz w:val="18"/>
          <w:szCs w:val="18"/>
        </w:rPr>
        <w:lastRenderedPageBreak/>
        <w:t>3</w:t>
      </w:r>
      <w:r w:rsidRPr="005A284F">
        <w:rPr>
          <w:rFonts w:ascii="Times New Roman" w:eastAsia="宋体" w:hAnsi="Times New Roman" w:cs="Times New Roman"/>
          <w:b/>
          <w:bCs/>
          <w:sz w:val="18"/>
          <w:szCs w:val="18"/>
        </w:rPr>
        <w:t>）</w:t>
      </w:r>
      <w:r w:rsidRPr="005A284F">
        <w:rPr>
          <w:rFonts w:ascii="Times New Roman" w:eastAsia="宋体" w:hAnsi="Times New Roman" w:cs="Times New Roman"/>
          <w:b/>
          <w:bCs/>
          <w:sz w:val="18"/>
          <w:szCs w:val="18"/>
        </w:rPr>
        <w:t xml:space="preserve"> </w:t>
      </w:r>
      <w:r w:rsidRPr="005A284F">
        <w:rPr>
          <w:rFonts w:ascii="Times New Roman" w:eastAsia="宋体" w:hAnsi="Times New Roman" w:cs="Times New Roman"/>
          <w:b/>
          <w:bCs/>
          <w:sz w:val="18"/>
          <w:szCs w:val="18"/>
        </w:rPr>
        <w:t>按坏账计提方法分类披露</w:t>
      </w:r>
      <w:bookmarkEnd w:id="446"/>
    </w:p>
    <w:p w14:paraId="75ED1EF7" w14:textId="77777777" w:rsidR="006C011D" w:rsidRPr="003101BC" w:rsidRDefault="00000000">
      <w:pPr>
        <w:spacing w:before="100" w:after="100" w:line="240" w:lineRule="exact"/>
        <w:rPr>
          <w:rFonts w:ascii="宋体" w:eastAsia="宋体" w:hAnsi="宋体" w:cs="Times New Roman" w:hint="eastAsia"/>
          <w:sz w:val="18"/>
          <w:szCs w:val="18"/>
        </w:rPr>
      </w:pPr>
      <w:r w:rsidRPr="003101BC">
        <w:rPr>
          <w:rFonts w:ascii="宋体" w:eastAsia="宋体" w:hAnsi="宋体" w:cs="Times New Roman"/>
          <w:sz w:val="18"/>
          <w:szCs w:val="18"/>
        </w:rPr>
        <w:t xml:space="preserve">□适用 </w:t>
      </w:r>
      <w:r w:rsidRPr="003101BC">
        <w:rPr>
          <w:rFonts w:ascii="宋体" w:eastAsia="宋体" w:hAnsi="宋体" w:cs="Times New Roman"/>
          <w:sz w:val="18"/>
          <w:szCs w:val="18"/>
        </w:rPr>
        <w:sym w:font="Wingdings 2" w:char="F052"/>
      </w:r>
      <w:r w:rsidRPr="003101BC">
        <w:rPr>
          <w:rFonts w:ascii="宋体" w:eastAsia="宋体" w:hAnsi="宋体" w:cs="Times New Roman"/>
          <w:sz w:val="18"/>
          <w:szCs w:val="18"/>
        </w:rPr>
        <w:t>不适用</w:t>
      </w:r>
    </w:p>
    <w:p w14:paraId="24C9D46E" w14:textId="695F0381" w:rsidR="006C011D" w:rsidRPr="005A284F" w:rsidRDefault="00000000">
      <w:pPr>
        <w:keepNext/>
        <w:keepLines/>
        <w:spacing w:before="300" w:after="300" w:line="280" w:lineRule="exact"/>
        <w:outlineLvl w:val="4"/>
        <w:rPr>
          <w:rFonts w:ascii="Times New Roman" w:eastAsia="宋体" w:hAnsi="Times New Roman" w:cs="Times New Roman"/>
          <w:b/>
          <w:bCs/>
          <w:sz w:val="18"/>
          <w:szCs w:val="18"/>
        </w:rPr>
      </w:pPr>
      <w:bookmarkStart w:id="447" w:name="_Toc989430"/>
      <w:r w:rsidRPr="005A284F">
        <w:rPr>
          <w:rFonts w:ascii="Times New Roman" w:eastAsia="宋体" w:hAnsi="Times New Roman" w:cs="Times New Roman"/>
          <w:b/>
          <w:bCs/>
          <w:sz w:val="18"/>
          <w:szCs w:val="18"/>
        </w:rPr>
        <w:t>4</w:t>
      </w:r>
      <w:r w:rsidRPr="005A284F">
        <w:rPr>
          <w:rFonts w:ascii="Times New Roman" w:eastAsia="宋体" w:hAnsi="Times New Roman" w:cs="Times New Roman"/>
          <w:b/>
          <w:bCs/>
          <w:sz w:val="18"/>
          <w:szCs w:val="18"/>
        </w:rPr>
        <w:t>）本期计提、收回或转回的坏账准备的情况</w:t>
      </w:r>
      <w:bookmarkEnd w:id="447"/>
    </w:p>
    <w:p w14:paraId="796E5ABB" w14:textId="77777777" w:rsidR="000309B5" w:rsidRPr="005A284F" w:rsidRDefault="00000000">
      <w:pPr>
        <w:pStyle w:val="a3"/>
        <w:divId w:val="636489516"/>
        <w:rPr>
          <w:rFonts w:ascii="Times New Roman" w:hAnsi="Times New Roman" w:cs="Times New Roman"/>
          <w:sz w:val="18"/>
          <w:szCs w:val="18"/>
        </w:rPr>
      </w:pPr>
      <w:r w:rsidRPr="005A284F">
        <w:rPr>
          <w:rFonts w:ascii="Times New Roman" w:hAnsi="Times New Roman" w:cs="Times New Roman"/>
          <w:sz w:val="18"/>
          <w:szCs w:val="18"/>
        </w:rPr>
        <w:t>无</w:t>
      </w:r>
    </w:p>
    <w:p w14:paraId="199BBCB6" w14:textId="7D16694A" w:rsidR="006C011D" w:rsidRPr="005A284F" w:rsidRDefault="00000000">
      <w:pPr>
        <w:keepNext/>
        <w:keepLines/>
        <w:spacing w:before="300" w:after="300" w:line="280" w:lineRule="exact"/>
        <w:outlineLvl w:val="4"/>
        <w:rPr>
          <w:rFonts w:ascii="Times New Roman" w:eastAsia="宋体" w:hAnsi="Times New Roman" w:cs="Times New Roman"/>
          <w:b/>
          <w:bCs/>
          <w:sz w:val="18"/>
          <w:szCs w:val="18"/>
        </w:rPr>
      </w:pPr>
      <w:bookmarkStart w:id="448" w:name="_Toc989431"/>
      <w:r w:rsidRPr="005A284F">
        <w:rPr>
          <w:rFonts w:ascii="Times New Roman" w:eastAsia="宋体" w:hAnsi="Times New Roman" w:cs="Times New Roman"/>
          <w:b/>
          <w:bCs/>
          <w:sz w:val="18"/>
          <w:szCs w:val="18"/>
        </w:rPr>
        <w:t>5</w:t>
      </w:r>
      <w:r w:rsidRPr="005A284F">
        <w:rPr>
          <w:rFonts w:ascii="Times New Roman" w:eastAsia="宋体" w:hAnsi="Times New Roman" w:cs="Times New Roman"/>
          <w:b/>
          <w:bCs/>
          <w:sz w:val="18"/>
          <w:szCs w:val="18"/>
        </w:rPr>
        <w:t>）本期实际核销的应收股利情况</w:t>
      </w:r>
      <w:bookmarkEnd w:id="448"/>
    </w:p>
    <w:p w14:paraId="26F6E5D9" w14:textId="77777777" w:rsidR="000309B5" w:rsidRPr="005A284F" w:rsidRDefault="00000000">
      <w:pPr>
        <w:pStyle w:val="a3"/>
        <w:divId w:val="932588955"/>
        <w:rPr>
          <w:rFonts w:ascii="Times New Roman" w:hAnsi="Times New Roman" w:cs="Times New Roman"/>
          <w:sz w:val="18"/>
          <w:szCs w:val="18"/>
        </w:rPr>
      </w:pPr>
      <w:r w:rsidRPr="005A284F">
        <w:rPr>
          <w:rFonts w:ascii="Times New Roman" w:hAnsi="Times New Roman" w:cs="Times New Roman"/>
          <w:sz w:val="18"/>
          <w:szCs w:val="18"/>
        </w:rPr>
        <w:t>无</w:t>
      </w:r>
    </w:p>
    <w:p w14:paraId="68DC8DA5" w14:textId="5FD23EA2" w:rsidR="006C011D" w:rsidRPr="005A284F" w:rsidRDefault="00000000">
      <w:pPr>
        <w:keepNext/>
        <w:keepLines/>
        <w:spacing w:before="300" w:after="300" w:line="280" w:lineRule="exact"/>
        <w:outlineLvl w:val="3"/>
        <w:rPr>
          <w:rFonts w:ascii="Times New Roman" w:eastAsia="宋体" w:hAnsi="Times New Roman" w:cs="Times New Roman"/>
          <w:b/>
          <w:bCs/>
          <w:sz w:val="18"/>
          <w:szCs w:val="18"/>
        </w:rPr>
      </w:pPr>
      <w:bookmarkStart w:id="449" w:name="_Toc989432"/>
      <w:r w:rsidRPr="005A284F">
        <w:rPr>
          <w:rFonts w:ascii="Times New Roman" w:eastAsia="宋体" w:hAnsi="Times New Roman" w:cs="Times New Roman"/>
          <w:b/>
          <w:bCs/>
          <w:sz w:val="18"/>
          <w:szCs w:val="18"/>
        </w:rPr>
        <w:t>（</w:t>
      </w:r>
      <w:r w:rsidRPr="005A284F">
        <w:rPr>
          <w:rFonts w:ascii="Times New Roman" w:eastAsia="宋体" w:hAnsi="Times New Roman" w:cs="Times New Roman"/>
          <w:b/>
          <w:bCs/>
          <w:sz w:val="18"/>
          <w:szCs w:val="18"/>
        </w:rPr>
        <w:t>3</w:t>
      </w:r>
      <w:r w:rsidRPr="005A284F">
        <w:rPr>
          <w:rFonts w:ascii="Times New Roman" w:eastAsia="宋体" w:hAnsi="Times New Roman" w:cs="Times New Roman"/>
          <w:b/>
          <w:bCs/>
          <w:sz w:val="18"/>
          <w:szCs w:val="18"/>
        </w:rPr>
        <w:t>）其他应收款</w:t>
      </w:r>
      <w:bookmarkEnd w:id="449"/>
    </w:p>
    <w:p w14:paraId="7032EEA5" w14:textId="1FB9A558" w:rsidR="006C011D" w:rsidRPr="005A284F" w:rsidRDefault="00000000">
      <w:pPr>
        <w:keepNext/>
        <w:keepLines/>
        <w:spacing w:before="300" w:after="300" w:line="280" w:lineRule="exact"/>
        <w:outlineLvl w:val="4"/>
        <w:rPr>
          <w:rFonts w:ascii="Times New Roman" w:eastAsia="宋体" w:hAnsi="Times New Roman" w:cs="Times New Roman"/>
          <w:b/>
          <w:bCs/>
          <w:sz w:val="18"/>
          <w:szCs w:val="18"/>
        </w:rPr>
      </w:pPr>
      <w:bookmarkStart w:id="450" w:name="_Toc989433"/>
      <w:r w:rsidRPr="005A284F">
        <w:rPr>
          <w:rFonts w:ascii="Times New Roman" w:eastAsia="宋体" w:hAnsi="Times New Roman" w:cs="Times New Roman"/>
          <w:b/>
          <w:bCs/>
          <w:sz w:val="18"/>
          <w:szCs w:val="18"/>
        </w:rPr>
        <w:t>1</w:t>
      </w:r>
      <w:r w:rsidRPr="005A284F">
        <w:rPr>
          <w:rFonts w:ascii="Times New Roman" w:eastAsia="宋体" w:hAnsi="Times New Roman" w:cs="Times New Roman"/>
          <w:b/>
          <w:bCs/>
          <w:sz w:val="18"/>
          <w:szCs w:val="18"/>
        </w:rPr>
        <w:t>）其他应收款按款项性质分类情况</w:t>
      </w:r>
      <w:bookmarkEnd w:id="450"/>
    </w:p>
    <w:p w14:paraId="6CFA2BDF"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4C23962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71F4A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款项性质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C2D6F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BDEC6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期初账面余额</w:t>
            </w:r>
          </w:p>
        </w:tc>
      </w:tr>
      <w:tr w:rsidR="006C011D" w:rsidRPr="005A284F" w14:paraId="6FB0836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C44CC9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备用金借支</w:t>
            </w:r>
          </w:p>
        </w:tc>
        <w:tc>
          <w:tcPr>
            <w:tcW w:w="3213" w:type="dxa"/>
            <w:tcBorders>
              <w:top w:val="single" w:sz="2" w:space="0" w:color="auto"/>
              <w:left w:val="single" w:sz="2" w:space="0" w:color="auto"/>
              <w:bottom w:val="single" w:sz="2" w:space="0" w:color="auto"/>
              <w:right w:val="single" w:sz="2" w:space="0" w:color="auto"/>
            </w:tcBorders>
            <w:vAlign w:val="center"/>
          </w:tcPr>
          <w:p w14:paraId="466A401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3,989,254.26</w:t>
            </w:r>
          </w:p>
        </w:tc>
        <w:tc>
          <w:tcPr>
            <w:tcW w:w="3213" w:type="dxa"/>
            <w:tcBorders>
              <w:top w:val="single" w:sz="2" w:space="0" w:color="auto"/>
              <w:left w:val="single" w:sz="2" w:space="0" w:color="auto"/>
              <w:bottom w:val="single" w:sz="2" w:space="0" w:color="auto"/>
              <w:right w:val="single" w:sz="2" w:space="0" w:color="auto"/>
            </w:tcBorders>
            <w:vAlign w:val="center"/>
          </w:tcPr>
          <w:p w14:paraId="752A37E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2,589,131.62</w:t>
            </w:r>
          </w:p>
        </w:tc>
      </w:tr>
      <w:tr w:rsidR="006C011D" w:rsidRPr="005A284F" w14:paraId="7C318727"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1AE97A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保证金、押金</w:t>
            </w:r>
          </w:p>
        </w:tc>
        <w:tc>
          <w:tcPr>
            <w:tcW w:w="3213" w:type="dxa"/>
            <w:tcBorders>
              <w:top w:val="single" w:sz="2" w:space="0" w:color="auto"/>
              <w:left w:val="single" w:sz="2" w:space="0" w:color="auto"/>
              <w:bottom w:val="single" w:sz="2" w:space="0" w:color="auto"/>
              <w:right w:val="single" w:sz="2" w:space="0" w:color="auto"/>
            </w:tcBorders>
            <w:vAlign w:val="center"/>
          </w:tcPr>
          <w:p w14:paraId="01FDD92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32,005,287.54</w:t>
            </w:r>
          </w:p>
        </w:tc>
        <w:tc>
          <w:tcPr>
            <w:tcW w:w="3213" w:type="dxa"/>
            <w:tcBorders>
              <w:top w:val="single" w:sz="2" w:space="0" w:color="auto"/>
              <w:left w:val="single" w:sz="2" w:space="0" w:color="auto"/>
              <w:bottom w:val="single" w:sz="2" w:space="0" w:color="auto"/>
              <w:right w:val="single" w:sz="2" w:space="0" w:color="auto"/>
            </w:tcBorders>
            <w:vAlign w:val="center"/>
          </w:tcPr>
          <w:p w14:paraId="027FCEE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35,333,053.54</w:t>
            </w:r>
          </w:p>
        </w:tc>
      </w:tr>
      <w:tr w:rsidR="006C011D" w:rsidRPr="005A284F" w14:paraId="5F4AE401"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31AD11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对关联公司的应收款项</w:t>
            </w:r>
          </w:p>
        </w:tc>
        <w:tc>
          <w:tcPr>
            <w:tcW w:w="3213" w:type="dxa"/>
            <w:tcBorders>
              <w:top w:val="single" w:sz="2" w:space="0" w:color="auto"/>
              <w:left w:val="single" w:sz="2" w:space="0" w:color="auto"/>
              <w:bottom w:val="single" w:sz="2" w:space="0" w:color="auto"/>
              <w:right w:val="single" w:sz="2" w:space="0" w:color="auto"/>
            </w:tcBorders>
            <w:vAlign w:val="center"/>
          </w:tcPr>
          <w:p w14:paraId="06D3F6D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1,198,485,236.76</w:t>
            </w:r>
          </w:p>
        </w:tc>
        <w:tc>
          <w:tcPr>
            <w:tcW w:w="3213" w:type="dxa"/>
            <w:tcBorders>
              <w:top w:val="single" w:sz="2" w:space="0" w:color="auto"/>
              <w:left w:val="single" w:sz="2" w:space="0" w:color="auto"/>
              <w:bottom w:val="single" w:sz="2" w:space="0" w:color="auto"/>
              <w:right w:val="single" w:sz="2" w:space="0" w:color="auto"/>
            </w:tcBorders>
            <w:vAlign w:val="center"/>
          </w:tcPr>
          <w:p w14:paraId="0CB0376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1,133,902,592.30</w:t>
            </w:r>
          </w:p>
        </w:tc>
      </w:tr>
      <w:tr w:rsidR="006C011D" w:rsidRPr="005A284F" w14:paraId="5A2E3547"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719D5E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1530BD9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784,329.88</w:t>
            </w:r>
          </w:p>
        </w:tc>
        <w:tc>
          <w:tcPr>
            <w:tcW w:w="3213" w:type="dxa"/>
            <w:tcBorders>
              <w:top w:val="single" w:sz="2" w:space="0" w:color="auto"/>
              <w:left w:val="single" w:sz="2" w:space="0" w:color="auto"/>
              <w:bottom w:val="single" w:sz="2" w:space="0" w:color="auto"/>
              <w:right w:val="single" w:sz="2" w:space="0" w:color="auto"/>
            </w:tcBorders>
            <w:vAlign w:val="center"/>
          </w:tcPr>
          <w:p w14:paraId="09E6113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780,183.31</w:t>
            </w:r>
          </w:p>
        </w:tc>
      </w:tr>
      <w:tr w:rsidR="006C011D" w:rsidRPr="005A284F" w14:paraId="23F32AE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9BED2A3"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应收股权转让款</w:t>
            </w:r>
          </w:p>
        </w:tc>
        <w:tc>
          <w:tcPr>
            <w:tcW w:w="3213" w:type="dxa"/>
            <w:tcBorders>
              <w:top w:val="single" w:sz="2" w:space="0" w:color="auto"/>
              <w:left w:val="single" w:sz="2" w:space="0" w:color="auto"/>
              <w:bottom w:val="single" w:sz="2" w:space="0" w:color="auto"/>
              <w:right w:val="single" w:sz="2" w:space="0" w:color="auto"/>
            </w:tcBorders>
            <w:vAlign w:val="center"/>
          </w:tcPr>
          <w:p w14:paraId="68A39BF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7A444E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64,200,000.00</w:t>
            </w:r>
          </w:p>
        </w:tc>
      </w:tr>
      <w:tr w:rsidR="006C011D" w:rsidRPr="005A284F" w14:paraId="7FC32929"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2C1BE7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减：坏账准备</w:t>
            </w:r>
          </w:p>
        </w:tc>
        <w:tc>
          <w:tcPr>
            <w:tcW w:w="3213" w:type="dxa"/>
            <w:tcBorders>
              <w:top w:val="single" w:sz="2" w:space="0" w:color="auto"/>
              <w:left w:val="single" w:sz="2" w:space="0" w:color="auto"/>
              <w:bottom w:val="single" w:sz="2" w:space="0" w:color="auto"/>
              <w:right w:val="single" w:sz="2" w:space="0" w:color="auto"/>
            </w:tcBorders>
            <w:vAlign w:val="center"/>
          </w:tcPr>
          <w:p w14:paraId="1DB5310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-554,439,004.79</w:t>
            </w:r>
          </w:p>
        </w:tc>
        <w:tc>
          <w:tcPr>
            <w:tcW w:w="3213" w:type="dxa"/>
            <w:tcBorders>
              <w:top w:val="single" w:sz="2" w:space="0" w:color="auto"/>
              <w:left w:val="single" w:sz="2" w:space="0" w:color="auto"/>
              <w:bottom w:val="single" w:sz="2" w:space="0" w:color="auto"/>
              <w:right w:val="single" w:sz="2" w:space="0" w:color="auto"/>
            </w:tcBorders>
            <w:vAlign w:val="center"/>
          </w:tcPr>
          <w:p w14:paraId="4B25AF4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-571,828,927.87</w:t>
            </w:r>
          </w:p>
        </w:tc>
      </w:tr>
      <w:tr w:rsidR="006C011D" w:rsidRPr="005A284F" w14:paraId="64928A2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0F0453"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425DCD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680,825,103.65</w:t>
            </w:r>
          </w:p>
        </w:tc>
        <w:tc>
          <w:tcPr>
            <w:tcW w:w="3213" w:type="dxa"/>
            <w:tcBorders>
              <w:top w:val="single" w:sz="2" w:space="0" w:color="auto"/>
              <w:left w:val="single" w:sz="2" w:space="0" w:color="auto"/>
              <w:bottom w:val="single" w:sz="2" w:space="0" w:color="auto"/>
              <w:right w:val="single" w:sz="2" w:space="0" w:color="auto"/>
            </w:tcBorders>
            <w:vAlign w:val="center"/>
          </w:tcPr>
          <w:p w14:paraId="7B96D5B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664,976,032.90</w:t>
            </w:r>
          </w:p>
        </w:tc>
      </w:tr>
    </w:tbl>
    <w:p w14:paraId="64C9DF24" w14:textId="3008E84D" w:rsidR="006C011D" w:rsidRPr="005A284F" w:rsidRDefault="00000000">
      <w:pPr>
        <w:keepNext/>
        <w:keepLines/>
        <w:spacing w:before="300" w:after="300" w:line="280" w:lineRule="exact"/>
        <w:outlineLvl w:val="4"/>
        <w:rPr>
          <w:rFonts w:ascii="Times New Roman" w:eastAsia="宋体" w:hAnsi="Times New Roman" w:cs="Times New Roman"/>
          <w:b/>
          <w:bCs/>
          <w:sz w:val="18"/>
          <w:szCs w:val="18"/>
        </w:rPr>
      </w:pPr>
      <w:bookmarkStart w:id="451" w:name="_Toc989434"/>
      <w:r w:rsidRPr="005A284F">
        <w:rPr>
          <w:rFonts w:ascii="Times New Roman" w:eastAsia="宋体" w:hAnsi="Times New Roman" w:cs="Times New Roman"/>
          <w:b/>
          <w:bCs/>
          <w:sz w:val="18"/>
          <w:szCs w:val="18"/>
        </w:rPr>
        <w:t>2</w:t>
      </w:r>
      <w:r w:rsidRPr="005A284F">
        <w:rPr>
          <w:rFonts w:ascii="Times New Roman" w:eastAsia="宋体" w:hAnsi="Times New Roman" w:cs="Times New Roman"/>
          <w:b/>
          <w:bCs/>
          <w:sz w:val="18"/>
          <w:szCs w:val="18"/>
        </w:rPr>
        <w:t>）按账龄披露</w:t>
      </w:r>
      <w:bookmarkEnd w:id="451"/>
    </w:p>
    <w:p w14:paraId="2F824909"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02C198B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38B9C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3B18F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3AE07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期初账面余额</w:t>
            </w:r>
          </w:p>
        </w:tc>
      </w:tr>
      <w:tr w:rsidR="006C011D" w:rsidRPr="005A284F" w14:paraId="2AD417A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0B438B"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年以内（含</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432B20C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430,688,276.86</w:t>
            </w:r>
          </w:p>
        </w:tc>
        <w:tc>
          <w:tcPr>
            <w:tcW w:w="3213" w:type="dxa"/>
            <w:tcBorders>
              <w:top w:val="single" w:sz="2" w:space="0" w:color="auto"/>
              <w:left w:val="single" w:sz="2" w:space="0" w:color="auto"/>
              <w:bottom w:val="single" w:sz="2" w:space="0" w:color="auto"/>
              <w:right w:val="single" w:sz="2" w:space="0" w:color="auto"/>
            </w:tcBorders>
            <w:vAlign w:val="center"/>
          </w:tcPr>
          <w:p w14:paraId="6894AD9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425,431,063.09</w:t>
            </w:r>
          </w:p>
        </w:tc>
      </w:tr>
      <w:tr w:rsidR="006C011D" w:rsidRPr="005A284F" w14:paraId="47576274"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59D2CE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1-3</w:t>
            </w:r>
            <w:r w:rsidRPr="005A284F">
              <w:rPr>
                <w:rFonts w:ascii="Times New Roman" w:eastAsia="宋体" w:hAnsi="Times New Roman" w:cs="Times New Roman"/>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19D15B3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158,126,173.88</w:t>
            </w:r>
          </w:p>
        </w:tc>
        <w:tc>
          <w:tcPr>
            <w:tcW w:w="3213" w:type="dxa"/>
            <w:tcBorders>
              <w:top w:val="single" w:sz="2" w:space="0" w:color="auto"/>
              <w:left w:val="single" w:sz="2" w:space="0" w:color="auto"/>
              <w:bottom w:val="single" w:sz="2" w:space="0" w:color="auto"/>
              <w:right w:val="single" w:sz="2" w:space="0" w:color="auto"/>
            </w:tcBorders>
            <w:vAlign w:val="center"/>
          </w:tcPr>
          <w:p w14:paraId="0FA4FBA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173,823,705.05</w:t>
            </w:r>
          </w:p>
        </w:tc>
      </w:tr>
      <w:tr w:rsidR="006C011D" w:rsidRPr="005A284F" w14:paraId="7068934E"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E68D0B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4-6</w:t>
            </w:r>
            <w:r w:rsidRPr="005A284F">
              <w:rPr>
                <w:rFonts w:ascii="Times New Roman" w:eastAsia="宋体" w:hAnsi="Times New Roman" w:cs="Times New Roman"/>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161C98E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61,655,294.08</w:t>
            </w:r>
          </w:p>
        </w:tc>
        <w:tc>
          <w:tcPr>
            <w:tcW w:w="3213" w:type="dxa"/>
            <w:tcBorders>
              <w:top w:val="single" w:sz="2" w:space="0" w:color="auto"/>
              <w:left w:val="single" w:sz="2" w:space="0" w:color="auto"/>
              <w:bottom w:val="single" w:sz="2" w:space="0" w:color="auto"/>
              <w:right w:val="single" w:sz="2" w:space="0" w:color="auto"/>
            </w:tcBorders>
            <w:vAlign w:val="center"/>
          </w:tcPr>
          <w:p w14:paraId="6222E99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205,172,663.47</w:t>
            </w:r>
          </w:p>
        </w:tc>
      </w:tr>
      <w:tr w:rsidR="006C011D" w:rsidRPr="005A284F" w14:paraId="2B123124"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6E819C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7-9</w:t>
            </w:r>
            <w:r w:rsidRPr="005A284F">
              <w:rPr>
                <w:rFonts w:ascii="Times New Roman" w:eastAsia="宋体" w:hAnsi="Times New Roman" w:cs="Times New Roman"/>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4132170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37,490,910.07</w:t>
            </w:r>
          </w:p>
        </w:tc>
        <w:tc>
          <w:tcPr>
            <w:tcW w:w="3213" w:type="dxa"/>
            <w:tcBorders>
              <w:top w:val="single" w:sz="2" w:space="0" w:color="auto"/>
              <w:left w:val="single" w:sz="2" w:space="0" w:color="auto"/>
              <w:bottom w:val="single" w:sz="2" w:space="0" w:color="auto"/>
              <w:right w:val="single" w:sz="2" w:space="0" w:color="auto"/>
            </w:tcBorders>
            <w:vAlign w:val="center"/>
          </w:tcPr>
          <w:p w14:paraId="39A932E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1,537,687.11</w:t>
            </w:r>
          </w:p>
        </w:tc>
      </w:tr>
      <w:tr w:rsidR="006C011D" w:rsidRPr="005A284F" w14:paraId="2894B84C"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3F4038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10-12</w:t>
            </w:r>
            <w:r w:rsidRPr="005A284F">
              <w:rPr>
                <w:rFonts w:ascii="Times New Roman" w:eastAsia="宋体" w:hAnsi="Times New Roman" w:cs="Times New Roman"/>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7338168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173,415,898.83</w:t>
            </w:r>
          </w:p>
        </w:tc>
        <w:tc>
          <w:tcPr>
            <w:tcW w:w="3213" w:type="dxa"/>
            <w:tcBorders>
              <w:top w:val="single" w:sz="2" w:space="0" w:color="auto"/>
              <w:left w:val="single" w:sz="2" w:space="0" w:color="auto"/>
              <w:bottom w:val="single" w:sz="2" w:space="0" w:color="auto"/>
              <w:right w:val="single" w:sz="2" w:space="0" w:color="auto"/>
            </w:tcBorders>
            <w:vAlign w:val="center"/>
          </w:tcPr>
          <w:p w14:paraId="49C513C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44,897,007.46</w:t>
            </w:r>
          </w:p>
        </w:tc>
      </w:tr>
      <w:tr w:rsidR="006C011D" w:rsidRPr="005A284F" w14:paraId="05B7426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6F10E0"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至</w:t>
            </w: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7BE7565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229,918,880.54</w:t>
            </w:r>
          </w:p>
        </w:tc>
        <w:tc>
          <w:tcPr>
            <w:tcW w:w="3213" w:type="dxa"/>
            <w:tcBorders>
              <w:top w:val="single" w:sz="2" w:space="0" w:color="auto"/>
              <w:left w:val="single" w:sz="2" w:space="0" w:color="auto"/>
              <w:bottom w:val="single" w:sz="2" w:space="0" w:color="auto"/>
              <w:right w:val="single" w:sz="2" w:space="0" w:color="auto"/>
            </w:tcBorders>
            <w:vAlign w:val="center"/>
          </w:tcPr>
          <w:p w14:paraId="74E80FE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287,434,499.79</w:t>
            </w:r>
          </w:p>
        </w:tc>
      </w:tr>
      <w:tr w:rsidR="006C011D" w:rsidRPr="005A284F" w14:paraId="1AC2A30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7C0EE9"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w:t>
            </w:r>
            <w:r w:rsidRPr="005A284F">
              <w:rPr>
                <w:rFonts w:ascii="Times New Roman" w:eastAsia="宋体" w:hAnsi="Times New Roman" w:cs="Times New Roman"/>
                <w:sz w:val="18"/>
                <w:szCs w:val="18"/>
              </w:rPr>
              <w:t>至</w:t>
            </w: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4C54ED2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166,684,789.15</w:t>
            </w:r>
          </w:p>
        </w:tc>
        <w:tc>
          <w:tcPr>
            <w:tcW w:w="3213" w:type="dxa"/>
            <w:tcBorders>
              <w:top w:val="single" w:sz="2" w:space="0" w:color="auto"/>
              <w:left w:val="single" w:sz="2" w:space="0" w:color="auto"/>
              <w:bottom w:val="single" w:sz="2" w:space="0" w:color="auto"/>
              <w:right w:val="single" w:sz="2" w:space="0" w:color="auto"/>
            </w:tcBorders>
            <w:vAlign w:val="center"/>
          </w:tcPr>
          <w:p w14:paraId="711A588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173,429,639.93</w:t>
            </w:r>
          </w:p>
        </w:tc>
      </w:tr>
      <w:tr w:rsidR="006C011D" w:rsidRPr="005A284F" w14:paraId="21D4A53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F462A9"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年以上</w:t>
            </w:r>
          </w:p>
        </w:tc>
        <w:tc>
          <w:tcPr>
            <w:tcW w:w="3213" w:type="dxa"/>
            <w:tcBorders>
              <w:top w:val="single" w:sz="2" w:space="0" w:color="auto"/>
              <w:left w:val="single" w:sz="2" w:space="0" w:color="auto"/>
              <w:bottom w:val="single" w:sz="2" w:space="0" w:color="auto"/>
              <w:right w:val="single" w:sz="2" w:space="0" w:color="auto"/>
            </w:tcBorders>
            <w:vAlign w:val="center"/>
          </w:tcPr>
          <w:p w14:paraId="3579CC8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407,972,161.89</w:t>
            </w:r>
          </w:p>
        </w:tc>
        <w:tc>
          <w:tcPr>
            <w:tcW w:w="3213" w:type="dxa"/>
            <w:tcBorders>
              <w:top w:val="single" w:sz="2" w:space="0" w:color="auto"/>
              <w:left w:val="single" w:sz="2" w:space="0" w:color="auto"/>
              <w:bottom w:val="single" w:sz="2" w:space="0" w:color="auto"/>
              <w:right w:val="single" w:sz="2" w:space="0" w:color="auto"/>
            </w:tcBorders>
            <w:vAlign w:val="center"/>
          </w:tcPr>
          <w:p w14:paraId="1CA9314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350,509,757.96</w:t>
            </w:r>
          </w:p>
        </w:tc>
      </w:tr>
      <w:tr w:rsidR="006C011D" w:rsidRPr="005A284F" w14:paraId="4B8B47D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D33E2A" w14:textId="77777777" w:rsidR="006C011D" w:rsidRPr="005A284F" w:rsidRDefault="00000000">
            <w:pPr>
              <w:spacing w:before="40" w:after="4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至</w:t>
            </w: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4404D5E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160,638,488.29</w:t>
            </w:r>
          </w:p>
        </w:tc>
        <w:tc>
          <w:tcPr>
            <w:tcW w:w="3213" w:type="dxa"/>
            <w:tcBorders>
              <w:top w:val="single" w:sz="2" w:space="0" w:color="auto"/>
              <w:left w:val="single" w:sz="2" w:space="0" w:color="auto"/>
              <w:bottom w:val="single" w:sz="2" w:space="0" w:color="auto"/>
              <w:right w:val="single" w:sz="2" w:space="0" w:color="auto"/>
            </w:tcBorders>
            <w:vAlign w:val="center"/>
          </w:tcPr>
          <w:p w14:paraId="088E061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183,504,497.44</w:t>
            </w:r>
          </w:p>
        </w:tc>
      </w:tr>
      <w:tr w:rsidR="006C011D" w:rsidRPr="005A284F" w14:paraId="035E2BB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4ED2A6" w14:textId="77777777" w:rsidR="006C011D" w:rsidRPr="005A284F" w:rsidRDefault="00000000">
            <w:pPr>
              <w:spacing w:before="40" w:after="4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至</w:t>
            </w:r>
            <w:r w:rsidRPr="005A284F">
              <w:rPr>
                <w:rFonts w:ascii="Times New Roman" w:eastAsia="宋体" w:hAnsi="Times New Roman" w:cs="Times New Roman"/>
                <w:sz w:val="18"/>
                <w:szCs w:val="18"/>
              </w:rPr>
              <w:t>5</w:t>
            </w:r>
            <w:r w:rsidRPr="005A284F">
              <w:rPr>
                <w:rFonts w:ascii="Times New Roman" w:eastAsia="宋体" w:hAnsi="Times New Roman" w:cs="Times New Roman"/>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1FF40D3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87,219,975.08</w:t>
            </w:r>
          </w:p>
        </w:tc>
        <w:tc>
          <w:tcPr>
            <w:tcW w:w="3213" w:type="dxa"/>
            <w:tcBorders>
              <w:top w:val="single" w:sz="2" w:space="0" w:color="auto"/>
              <w:left w:val="single" w:sz="2" w:space="0" w:color="auto"/>
              <w:bottom w:val="single" w:sz="2" w:space="0" w:color="auto"/>
              <w:right w:val="single" w:sz="2" w:space="0" w:color="auto"/>
            </w:tcBorders>
            <w:vAlign w:val="center"/>
          </w:tcPr>
          <w:p w14:paraId="70ABA17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166,605,722.00</w:t>
            </w:r>
          </w:p>
        </w:tc>
      </w:tr>
      <w:tr w:rsidR="006C011D" w:rsidRPr="005A284F" w14:paraId="64A5F2F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BF2102" w14:textId="77777777" w:rsidR="006C011D" w:rsidRPr="005A284F" w:rsidRDefault="00000000">
            <w:pPr>
              <w:spacing w:before="40" w:after="4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5</w:t>
            </w:r>
            <w:r w:rsidRPr="005A284F">
              <w:rPr>
                <w:rFonts w:ascii="Times New Roman" w:eastAsia="宋体" w:hAnsi="Times New Roman" w:cs="Times New Roman"/>
                <w:sz w:val="18"/>
                <w:szCs w:val="18"/>
              </w:rPr>
              <w:t>年以上</w:t>
            </w:r>
          </w:p>
        </w:tc>
        <w:tc>
          <w:tcPr>
            <w:tcW w:w="3213" w:type="dxa"/>
            <w:tcBorders>
              <w:top w:val="single" w:sz="2" w:space="0" w:color="auto"/>
              <w:left w:val="single" w:sz="2" w:space="0" w:color="auto"/>
              <w:bottom w:val="single" w:sz="2" w:space="0" w:color="auto"/>
              <w:right w:val="single" w:sz="2" w:space="0" w:color="auto"/>
            </w:tcBorders>
            <w:vAlign w:val="center"/>
          </w:tcPr>
          <w:p w14:paraId="15621F4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160,113,698.52</w:t>
            </w:r>
          </w:p>
        </w:tc>
        <w:tc>
          <w:tcPr>
            <w:tcW w:w="3213" w:type="dxa"/>
            <w:tcBorders>
              <w:top w:val="single" w:sz="2" w:space="0" w:color="auto"/>
              <w:left w:val="single" w:sz="2" w:space="0" w:color="auto"/>
              <w:bottom w:val="single" w:sz="2" w:space="0" w:color="auto"/>
              <w:right w:val="single" w:sz="2" w:space="0" w:color="auto"/>
            </w:tcBorders>
            <w:vAlign w:val="center"/>
          </w:tcPr>
          <w:p w14:paraId="70576AB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399,538.52</w:t>
            </w:r>
          </w:p>
        </w:tc>
      </w:tr>
      <w:tr w:rsidR="006C011D" w:rsidRPr="005A284F" w14:paraId="1E04889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6659E0"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6A92BB0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1,235,264,108.44</w:t>
            </w:r>
          </w:p>
        </w:tc>
        <w:tc>
          <w:tcPr>
            <w:tcW w:w="3213" w:type="dxa"/>
            <w:tcBorders>
              <w:top w:val="single" w:sz="2" w:space="0" w:color="auto"/>
              <w:left w:val="single" w:sz="2" w:space="0" w:color="auto"/>
              <w:bottom w:val="single" w:sz="2" w:space="0" w:color="auto"/>
              <w:right w:val="single" w:sz="2" w:space="0" w:color="auto"/>
            </w:tcBorders>
            <w:vAlign w:val="center"/>
          </w:tcPr>
          <w:p w14:paraId="1A1E789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1,236,804,960.77</w:t>
            </w:r>
          </w:p>
        </w:tc>
      </w:tr>
    </w:tbl>
    <w:p w14:paraId="2EF956AF" w14:textId="60C4A8D0" w:rsidR="006C011D" w:rsidRPr="005A284F" w:rsidRDefault="00000000">
      <w:pPr>
        <w:keepNext/>
        <w:keepLines/>
        <w:spacing w:before="300" w:after="300" w:line="280" w:lineRule="exact"/>
        <w:outlineLvl w:val="4"/>
        <w:rPr>
          <w:rFonts w:ascii="Times New Roman" w:eastAsia="宋体" w:hAnsi="Times New Roman" w:cs="Times New Roman"/>
          <w:b/>
          <w:bCs/>
          <w:sz w:val="18"/>
          <w:szCs w:val="18"/>
        </w:rPr>
      </w:pPr>
      <w:bookmarkStart w:id="452" w:name="_Toc989435"/>
      <w:r w:rsidRPr="005A284F">
        <w:rPr>
          <w:rFonts w:ascii="Times New Roman" w:eastAsia="宋体" w:hAnsi="Times New Roman" w:cs="Times New Roman"/>
          <w:b/>
          <w:bCs/>
          <w:sz w:val="18"/>
          <w:szCs w:val="18"/>
        </w:rPr>
        <w:t>3</w:t>
      </w:r>
      <w:r w:rsidRPr="005A284F">
        <w:rPr>
          <w:rFonts w:ascii="Times New Roman" w:eastAsia="宋体" w:hAnsi="Times New Roman" w:cs="Times New Roman"/>
          <w:b/>
          <w:bCs/>
          <w:sz w:val="18"/>
          <w:szCs w:val="18"/>
        </w:rPr>
        <w:t>）按坏账计提方法分类披露</w:t>
      </w:r>
      <w:bookmarkEnd w:id="452"/>
    </w:p>
    <w:p w14:paraId="037C887F"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按预期信用损失一般模型计提坏账准备：</w:t>
      </w:r>
    </w:p>
    <w:p w14:paraId="5B8D1DD7"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C011D" w:rsidRPr="005A284F" w14:paraId="60DE46AF" w14:textId="7777777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FBEB9A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坏账准备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2E5928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第一阶段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C34760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第二阶段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3A1C57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第三阶段</w:t>
            </w:r>
          </w:p>
        </w:tc>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021198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r>
      <w:tr w:rsidR="006C011D" w:rsidRPr="005A284F" w14:paraId="24F6CA7C" w14:textId="7777777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A4A8935" w14:textId="77777777" w:rsidR="006C011D" w:rsidRPr="005A284F" w:rsidRDefault="006C011D">
            <w:pPr>
              <w:rPr>
                <w:rFonts w:ascii="Times New Roman" w:eastAsia="宋体" w:hAnsi="Times New Roman" w:cs="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87E83B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未来</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个月预期信用损失</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8906FB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整个存续期预期信用损失（未发生信用减值）</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81B27C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整个存续期预期信用损失（已发生信用减值）</w:t>
            </w:r>
          </w:p>
        </w:tc>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4D11A9D" w14:textId="77777777" w:rsidR="006C011D" w:rsidRPr="005A284F" w:rsidRDefault="006C011D">
            <w:pPr>
              <w:rPr>
                <w:rFonts w:ascii="Times New Roman" w:eastAsia="宋体" w:hAnsi="Times New Roman" w:cs="Times New Roman"/>
              </w:rPr>
            </w:pPr>
          </w:p>
        </w:tc>
      </w:tr>
      <w:tr w:rsidR="006C011D" w:rsidRPr="005A284F" w14:paraId="088F8ED4"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AC2BB88"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日余额</w:t>
            </w:r>
          </w:p>
        </w:tc>
        <w:tc>
          <w:tcPr>
            <w:tcW w:w="1928" w:type="dxa"/>
            <w:tcBorders>
              <w:top w:val="single" w:sz="2" w:space="0" w:color="auto"/>
              <w:left w:val="single" w:sz="2" w:space="0" w:color="auto"/>
              <w:bottom w:val="single" w:sz="2" w:space="0" w:color="auto"/>
              <w:right w:val="single" w:sz="2" w:space="0" w:color="auto"/>
            </w:tcBorders>
            <w:vAlign w:val="center"/>
          </w:tcPr>
          <w:p w14:paraId="0BA12B0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21,243,315.87</w:t>
            </w:r>
          </w:p>
        </w:tc>
        <w:tc>
          <w:tcPr>
            <w:tcW w:w="1928" w:type="dxa"/>
            <w:tcBorders>
              <w:top w:val="single" w:sz="2" w:space="0" w:color="auto"/>
              <w:left w:val="single" w:sz="2" w:space="0" w:color="auto"/>
              <w:bottom w:val="single" w:sz="2" w:space="0" w:color="auto"/>
              <w:right w:val="single" w:sz="2" w:space="0" w:color="auto"/>
            </w:tcBorders>
            <w:vAlign w:val="center"/>
          </w:tcPr>
          <w:p w14:paraId="40FB434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2505E4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550,585,612.00</w:t>
            </w:r>
          </w:p>
        </w:tc>
        <w:tc>
          <w:tcPr>
            <w:tcW w:w="1928" w:type="dxa"/>
            <w:tcBorders>
              <w:top w:val="single" w:sz="2" w:space="0" w:color="auto"/>
              <w:left w:val="single" w:sz="2" w:space="0" w:color="auto"/>
              <w:bottom w:val="single" w:sz="2" w:space="0" w:color="auto"/>
              <w:right w:val="single" w:sz="2" w:space="0" w:color="auto"/>
            </w:tcBorders>
            <w:vAlign w:val="center"/>
          </w:tcPr>
          <w:p w14:paraId="603C68D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571,828,927.87</w:t>
            </w:r>
          </w:p>
        </w:tc>
      </w:tr>
      <w:tr w:rsidR="006C011D" w:rsidRPr="005A284F" w14:paraId="15E32218"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6670966"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日余额在本期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9E0523D" w14:textId="77777777" w:rsidR="006C011D" w:rsidRPr="005A284F" w:rsidRDefault="006C011D">
            <w:pPr>
              <w:rPr>
                <w:rFonts w:ascii="Times New Roman" w:eastAsia="宋体" w:hAnsi="Times New Roman" w:cs="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DBFD33C" w14:textId="77777777" w:rsidR="006C011D" w:rsidRPr="005A284F" w:rsidRDefault="006C011D">
            <w:pPr>
              <w:rPr>
                <w:rFonts w:ascii="Times New Roman" w:eastAsia="宋体" w:hAnsi="Times New Roman" w:cs="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317A645" w14:textId="77777777" w:rsidR="006C011D" w:rsidRPr="005A284F" w:rsidRDefault="006C011D">
            <w:pPr>
              <w:rPr>
                <w:rFonts w:ascii="Times New Roman" w:eastAsia="宋体" w:hAnsi="Times New Roman" w:cs="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D52A079" w14:textId="77777777" w:rsidR="006C011D" w:rsidRPr="005A284F" w:rsidRDefault="006C011D">
            <w:pPr>
              <w:rPr>
                <w:rFonts w:ascii="Times New Roman" w:eastAsia="宋体" w:hAnsi="Times New Roman" w:cs="Times New Roman"/>
              </w:rPr>
            </w:pPr>
          </w:p>
        </w:tc>
      </w:tr>
      <w:tr w:rsidR="006C011D" w:rsidRPr="005A284F" w14:paraId="01C7CF0D"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59FA7FE"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转入第三阶段</w:t>
            </w:r>
          </w:p>
        </w:tc>
        <w:tc>
          <w:tcPr>
            <w:tcW w:w="1928" w:type="dxa"/>
            <w:tcBorders>
              <w:top w:val="single" w:sz="2" w:space="0" w:color="auto"/>
              <w:left w:val="single" w:sz="2" w:space="0" w:color="auto"/>
              <w:bottom w:val="single" w:sz="2" w:space="0" w:color="auto"/>
              <w:right w:val="single" w:sz="2" w:space="0" w:color="auto"/>
            </w:tcBorders>
            <w:vAlign w:val="center"/>
          </w:tcPr>
          <w:p w14:paraId="18FC9AB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-3,000.00</w:t>
            </w:r>
          </w:p>
        </w:tc>
        <w:tc>
          <w:tcPr>
            <w:tcW w:w="1928" w:type="dxa"/>
            <w:tcBorders>
              <w:top w:val="single" w:sz="2" w:space="0" w:color="auto"/>
              <w:left w:val="single" w:sz="2" w:space="0" w:color="auto"/>
              <w:bottom w:val="single" w:sz="2" w:space="0" w:color="auto"/>
              <w:right w:val="single" w:sz="2" w:space="0" w:color="auto"/>
            </w:tcBorders>
            <w:vAlign w:val="center"/>
          </w:tcPr>
          <w:p w14:paraId="2DC8E18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E800F7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3,000.00</w:t>
            </w:r>
          </w:p>
        </w:tc>
        <w:tc>
          <w:tcPr>
            <w:tcW w:w="1928" w:type="dxa"/>
            <w:tcBorders>
              <w:top w:val="single" w:sz="2" w:space="0" w:color="auto"/>
              <w:left w:val="single" w:sz="2" w:space="0" w:color="auto"/>
              <w:bottom w:val="single" w:sz="2" w:space="0" w:color="auto"/>
              <w:right w:val="single" w:sz="2" w:space="0" w:color="auto"/>
            </w:tcBorders>
            <w:vAlign w:val="center"/>
          </w:tcPr>
          <w:p w14:paraId="61DD4C5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r>
      <w:tr w:rsidR="006C011D" w:rsidRPr="005A284F" w14:paraId="6F1B1038"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95EE6D5"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本期计提</w:t>
            </w:r>
          </w:p>
        </w:tc>
        <w:tc>
          <w:tcPr>
            <w:tcW w:w="1928" w:type="dxa"/>
            <w:tcBorders>
              <w:top w:val="single" w:sz="2" w:space="0" w:color="auto"/>
              <w:left w:val="single" w:sz="2" w:space="0" w:color="auto"/>
              <w:bottom w:val="single" w:sz="2" w:space="0" w:color="auto"/>
              <w:right w:val="single" w:sz="2" w:space="0" w:color="auto"/>
            </w:tcBorders>
            <w:vAlign w:val="center"/>
          </w:tcPr>
          <w:p w14:paraId="78CA73A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-16,616,117.08</w:t>
            </w:r>
          </w:p>
        </w:tc>
        <w:tc>
          <w:tcPr>
            <w:tcW w:w="1928" w:type="dxa"/>
            <w:tcBorders>
              <w:top w:val="single" w:sz="2" w:space="0" w:color="auto"/>
              <w:left w:val="single" w:sz="2" w:space="0" w:color="auto"/>
              <w:bottom w:val="single" w:sz="2" w:space="0" w:color="auto"/>
              <w:right w:val="single" w:sz="2" w:space="0" w:color="auto"/>
            </w:tcBorders>
            <w:vAlign w:val="center"/>
          </w:tcPr>
          <w:p w14:paraId="09C41C0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373CEF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19,806.00</w:t>
            </w:r>
          </w:p>
        </w:tc>
        <w:tc>
          <w:tcPr>
            <w:tcW w:w="1928" w:type="dxa"/>
            <w:tcBorders>
              <w:top w:val="single" w:sz="2" w:space="0" w:color="auto"/>
              <w:left w:val="single" w:sz="2" w:space="0" w:color="auto"/>
              <w:bottom w:val="single" w:sz="2" w:space="0" w:color="auto"/>
              <w:right w:val="single" w:sz="2" w:space="0" w:color="auto"/>
            </w:tcBorders>
            <w:vAlign w:val="center"/>
          </w:tcPr>
          <w:p w14:paraId="4CD6FFA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-16,596,311.08</w:t>
            </w:r>
          </w:p>
        </w:tc>
      </w:tr>
      <w:tr w:rsidR="006C011D" w:rsidRPr="005A284F" w14:paraId="68537237"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C4A3105"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本期转回</w:t>
            </w:r>
          </w:p>
        </w:tc>
        <w:tc>
          <w:tcPr>
            <w:tcW w:w="1928" w:type="dxa"/>
            <w:tcBorders>
              <w:top w:val="single" w:sz="2" w:space="0" w:color="auto"/>
              <w:left w:val="single" w:sz="2" w:space="0" w:color="auto"/>
              <w:bottom w:val="single" w:sz="2" w:space="0" w:color="auto"/>
              <w:right w:val="single" w:sz="2" w:space="0" w:color="auto"/>
            </w:tcBorders>
            <w:vAlign w:val="center"/>
          </w:tcPr>
          <w:p w14:paraId="4547969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669BA0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111C8A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-790,612.00</w:t>
            </w:r>
          </w:p>
        </w:tc>
        <w:tc>
          <w:tcPr>
            <w:tcW w:w="1928" w:type="dxa"/>
            <w:tcBorders>
              <w:top w:val="single" w:sz="2" w:space="0" w:color="auto"/>
              <w:left w:val="single" w:sz="2" w:space="0" w:color="auto"/>
              <w:bottom w:val="single" w:sz="2" w:space="0" w:color="auto"/>
              <w:right w:val="single" w:sz="2" w:space="0" w:color="auto"/>
            </w:tcBorders>
            <w:vAlign w:val="center"/>
          </w:tcPr>
          <w:p w14:paraId="224C688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-790,612.00</w:t>
            </w:r>
          </w:p>
        </w:tc>
      </w:tr>
      <w:tr w:rsidR="006C011D" w:rsidRPr="005A284F" w14:paraId="29F9B80C"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4518587"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本期转销</w:t>
            </w:r>
          </w:p>
        </w:tc>
        <w:tc>
          <w:tcPr>
            <w:tcW w:w="1928" w:type="dxa"/>
            <w:tcBorders>
              <w:top w:val="single" w:sz="2" w:space="0" w:color="auto"/>
              <w:left w:val="single" w:sz="2" w:space="0" w:color="auto"/>
              <w:bottom w:val="single" w:sz="2" w:space="0" w:color="auto"/>
              <w:right w:val="single" w:sz="2" w:space="0" w:color="auto"/>
            </w:tcBorders>
            <w:vAlign w:val="center"/>
          </w:tcPr>
          <w:p w14:paraId="267C709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EF86E4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BAB8BA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F1A960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r>
      <w:tr w:rsidR="006C011D" w:rsidRPr="005A284F" w14:paraId="2A9E62C5"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C167EB8"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本期核销</w:t>
            </w:r>
          </w:p>
        </w:tc>
        <w:tc>
          <w:tcPr>
            <w:tcW w:w="1928" w:type="dxa"/>
            <w:tcBorders>
              <w:top w:val="single" w:sz="2" w:space="0" w:color="auto"/>
              <w:left w:val="single" w:sz="2" w:space="0" w:color="auto"/>
              <w:bottom w:val="single" w:sz="2" w:space="0" w:color="auto"/>
              <w:right w:val="single" w:sz="2" w:space="0" w:color="auto"/>
            </w:tcBorders>
            <w:vAlign w:val="center"/>
          </w:tcPr>
          <w:p w14:paraId="36085B4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9A32F3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4579BE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-3,000.00</w:t>
            </w:r>
          </w:p>
        </w:tc>
        <w:tc>
          <w:tcPr>
            <w:tcW w:w="1928" w:type="dxa"/>
            <w:tcBorders>
              <w:top w:val="single" w:sz="2" w:space="0" w:color="auto"/>
              <w:left w:val="single" w:sz="2" w:space="0" w:color="auto"/>
              <w:bottom w:val="single" w:sz="2" w:space="0" w:color="auto"/>
              <w:right w:val="single" w:sz="2" w:space="0" w:color="auto"/>
            </w:tcBorders>
            <w:vAlign w:val="center"/>
          </w:tcPr>
          <w:p w14:paraId="300428C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-3,000.00</w:t>
            </w:r>
          </w:p>
        </w:tc>
      </w:tr>
      <w:tr w:rsidR="006C011D" w:rsidRPr="005A284F" w14:paraId="21966F6C"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93FE3AE"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6</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30</w:t>
            </w:r>
            <w:r w:rsidRPr="005A284F">
              <w:rPr>
                <w:rFonts w:ascii="Times New Roman" w:eastAsia="宋体" w:hAnsi="Times New Roman" w:cs="Times New Roman"/>
                <w:sz w:val="18"/>
                <w:szCs w:val="18"/>
              </w:rPr>
              <w:t>日余额</w:t>
            </w:r>
          </w:p>
        </w:tc>
        <w:tc>
          <w:tcPr>
            <w:tcW w:w="1928" w:type="dxa"/>
            <w:tcBorders>
              <w:top w:val="single" w:sz="2" w:space="0" w:color="auto"/>
              <w:left w:val="single" w:sz="2" w:space="0" w:color="auto"/>
              <w:bottom w:val="single" w:sz="2" w:space="0" w:color="auto"/>
              <w:right w:val="single" w:sz="2" w:space="0" w:color="auto"/>
            </w:tcBorders>
            <w:vAlign w:val="center"/>
          </w:tcPr>
          <w:p w14:paraId="430E41F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4,624,198.79</w:t>
            </w:r>
          </w:p>
        </w:tc>
        <w:tc>
          <w:tcPr>
            <w:tcW w:w="1928" w:type="dxa"/>
            <w:tcBorders>
              <w:top w:val="single" w:sz="2" w:space="0" w:color="auto"/>
              <w:left w:val="single" w:sz="2" w:space="0" w:color="auto"/>
              <w:bottom w:val="single" w:sz="2" w:space="0" w:color="auto"/>
              <w:right w:val="single" w:sz="2" w:space="0" w:color="auto"/>
            </w:tcBorders>
            <w:vAlign w:val="center"/>
          </w:tcPr>
          <w:p w14:paraId="1505333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14:paraId="038B7FD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549,814,806.00</w:t>
            </w:r>
          </w:p>
        </w:tc>
        <w:tc>
          <w:tcPr>
            <w:tcW w:w="1928" w:type="dxa"/>
            <w:tcBorders>
              <w:top w:val="single" w:sz="2" w:space="0" w:color="auto"/>
              <w:left w:val="single" w:sz="2" w:space="0" w:color="auto"/>
              <w:bottom w:val="single" w:sz="2" w:space="0" w:color="auto"/>
              <w:right w:val="single" w:sz="2" w:space="0" w:color="auto"/>
            </w:tcBorders>
            <w:vAlign w:val="center"/>
          </w:tcPr>
          <w:p w14:paraId="19B3CB9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554,439,004.79</w:t>
            </w:r>
          </w:p>
        </w:tc>
      </w:tr>
    </w:tbl>
    <w:p w14:paraId="233D369D"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各阶段划分依据和坏账准备计提比例</w:t>
      </w:r>
    </w:p>
    <w:p w14:paraId="7E64D73C" w14:textId="77777777" w:rsidR="000309B5" w:rsidRPr="005A284F" w:rsidRDefault="00000000">
      <w:pPr>
        <w:pStyle w:val="a3"/>
        <w:divId w:val="770515016"/>
        <w:rPr>
          <w:rFonts w:ascii="Times New Roman" w:hAnsi="Times New Roman" w:cs="Times New Roman"/>
          <w:sz w:val="18"/>
          <w:szCs w:val="18"/>
        </w:rPr>
      </w:pPr>
      <w:r w:rsidRPr="005A284F">
        <w:rPr>
          <w:rFonts w:ascii="Times New Roman" w:hAnsi="Times New Roman" w:cs="Times New Roman"/>
          <w:sz w:val="18"/>
          <w:szCs w:val="18"/>
        </w:rPr>
        <w:t>无</w:t>
      </w:r>
    </w:p>
    <w:p w14:paraId="7DA20D75"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损失准备本期变动金额重大的账面余额变动情况</w:t>
      </w:r>
    </w:p>
    <w:p w14:paraId="4CEB3AAA" w14:textId="77777777" w:rsidR="006C011D" w:rsidRPr="003101BC" w:rsidRDefault="00000000">
      <w:pPr>
        <w:spacing w:before="100" w:after="100" w:line="240" w:lineRule="exact"/>
        <w:rPr>
          <w:rFonts w:ascii="宋体" w:eastAsia="宋体" w:hAnsi="宋体" w:cs="Times New Roman" w:hint="eastAsia"/>
          <w:sz w:val="18"/>
          <w:szCs w:val="18"/>
        </w:rPr>
      </w:pPr>
      <w:r w:rsidRPr="003101BC">
        <w:rPr>
          <w:rFonts w:ascii="宋体" w:eastAsia="宋体" w:hAnsi="宋体" w:cs="Times New Roman"/>
          <w:sz w:val="18"/>
          <w:szCs w:val="18"/>
        </w:rPr>
        <w:t xml:space="preserve">□适用 </w:t>
      </w:r>
      <w:r w:rsidRPr="003101BC">
        <w:rPr>
          <w:rFonts w:ascii="宋体" w:eastAsia="宋体" w:hAnsi="宋体" w:cs="Times New Roman"/>
          <w:sz w:val="18"/>
          <w:szCs w:val="18"/>
        </w:rPr>
        <w:sym w:font="Wingdings 2" w:char="F052"/>
      </w:r>
      <w:r w:rsidRPr="003101BC">
        <w:rPr>
          <w:rFonts w:ascii="宋体" w:eastAsia="宋体" w:hAnsi="宋体" w:cs="Times New Roman"/>
          <w:sz w:val="18"/>
          <w:szCs w:val="18"/>
        </w:rPr>
        <w:t>不适用</w:t>
      </w:r>
    </w:p>
    <w:p w14:paraId="77365AA7" w14:textId="751A1CF5" w:rsidR="006C011D" w:rsidRPr="005A284F" w:rsidRDefault="00000000">
      <w:pPr>
        <w:keepNext/>
        <w:keepLines/>
        <w:spacing w:before="300" w:after="300" w:line="280" w:lineRule="exact"/>
        <w:outlineLvl w:val="4"/>
        <w:rPr>
          <w:rFonts w:ascii="Times New Roman" w:eastAsia="宋体" w:hAnsi="Times New Roman" w:cs="Times New Roman"/>
          <w:b/>
          <w:bCs/>
          <w:sz w:val="18"/>
          <w:szCs w:val="18"/>
        </w:rPr>
      </w:pPr>
      <w:bookmarkStart w:id="453" w:name="_Toc989436"/>
      <w:r w:rsidRPr="005A284F">
        <w:rPr>
          <w:rFonts w:ascii="Times New Roman" w:eastAsia="宋体" w:hAnsi="Times New Roman" w:cs="Times New Roman"/>
          <w:b/>
          <w:bCs/>
          <w:sz w:val="18"/>
          <w:szCs w:val="18"/>
        </w:rPr>
        <w:t>4</w:t>
      </w:r>
      <w:r w:rsidRPr="005A284F">
        <w:rPr>
          <w:rFonts w:ascii="Times New Roman" w:eastAsia="宋体" w:hAnsi="Times New Roman" w:cs="Times New Roman"/>
          <w:b/>
          <w:bCs/>
          <w:sz w:val="18"/>
          <w:szCs w:val="18"/>
        </w:rPr>
        <w:t>）本期计提、收回或转回的坏账准备情况</w:t>
      </w:r>
      <w:bookmarkEnd w:id="453"/>
    </w:p>
    <w:p w14:paraId="7B40C32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本期计提坏账准备情况：</w:t>
      </w:r>
    </w:p>
    <w:p w14:paraId="7E8AE2F6" w14:textId="77777777" w:rsidR="006C011D" w:rsidRPr="005A284F" w:rsidRDefault="00000000">
      <w:pPr>
        <w:spacing w:before="120" w:after="12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6C011D" w:rsidRPr="005A284F" w14:paraId="733D42C1"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132021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685DBA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3849811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6E967B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r>
      <w:tr w:rsidR="006C011D" w:rsidRPr="005A284F" w14:paraId="4BD9D815"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036CD71" w14:textId="77777777" w:rsidR="006C011D" w:rsidRPr="005A284F" w:rsidRDefault="006C011D">
            <w:pPr>
              <w:rPr>
                <w:rFonts w:ascii="Times New Roman" w:eastAsia="宋体" w:hAnsi="Times New Roman" w:cs="Times New Roman"/>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1742E1C" w14:textId="77777777" w:rsidR="006C011D" w:rsidRPr="005A284F" w:rsidRDefault="006C011D">
            <w:pPr>
              <w:rPr>
                <w:rFonts w:ascii="Times New Roman" w:eastAsia="宋体" w:hAnsi="Times New Roman" w:cs="Times New Roman"/>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119BBA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34069C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925EF86"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转销或核销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F62C7E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B9B31FF" w14:textId="77777777" w:rsidR="006C011D" w:rsidRPr="005A284F" w:rsidRDefault="006C011D">
            <w:pPr>
              <w:rPr>
                <w:rFonts w:ascii="Times New Roman" w:eastAsia="宋体" w:hAnsi="Times New Roman" w:cs="Times New Roman"/>
              </w:rPr>
            </w:pPr>
          </w:p>
        </w:tc>
      </w:tr>
      <w:tr w:rsidR="006C011D" w:rsidRPr="005A284F" w14:paraId="289D9F9E" w14:textId="77777777" w:rsidTr="00AC3E7A">
        <w:trPr>
          <w:trHeight w:val="382"/>
        </w:trPr>
        <w:tc>
          <w:tcPr>
            <w:tcW w:w="1377" w:type="dxa"/>
            <w:tcBorders>
              <w:top w:val="single" w:sz="2" w:space="0" w:color="auto"/>
              <w:left w:val="single" w:sz="2" w:space="0" w:color="auto"/>
              <w:bottom w:val="single" w:sz="2" w:space="0" w:color="auto"/>
              <w:right w:val="single" w:sz="2" w:space="0" w:color="auto"/>
            </w:tcBorders>
            <w:vAlign w:val="center"/>
          </w:tcPr>
          <w:p w14:paraId="7F436C4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其他应收款</w:t>
            </w:r>
          </w:p>
        </w:tc>
        <w:tc>
          <w:tcPr>
            <w:tcW w:w="1377" w:type="dxa"/>
            <w:tcBorders>
              <w:top w:val="single" w:sz="2" w:space="0" w:color="auto"/>
              <w:left w:val="single" w:sz="2" w:space="0" w:color="auto"/>
              <w:bottom w:val="single" w:sz="2" w:space="0" w:color="auto"/>
              <w:right w:val="single" w:sz="2" w:space="0" w:color="auto"/>
            </w:tcBorders>
            <w:vAlign w:val="center"/>
          </w:tcPr>
          <w:p w14:paraId="589EBB8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571,828,927.87</w:t>
            </w:r>
          </w:p>
        </w:tc>
        <w:tc>
          <w:tcPr>
            <w:tcW w:w="1377" w:type="dxa"/>
            <w:tcBorders>
              <w:top w:val="single" w:sz="2" w:space="0" w:color="auto"/>
              <w:left w:val="single" w:sz="2" w:space="0" w:color="auto"/>
              <w:bottom w:val="single" w:sz="2" w:space="0" w:color="auto"/>
              <w:right w:val="single" w:sz="2" w:space="0" w:color="auto"/>
            </w:tcBorders>
            <w:vAlign w:val="center"/>
          </w:tcPr>
          <w:p w14:paraId="5C8D507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-16,596,311.08</w:t>
            </w:r>
          </w:p>
        </w:tc>
        <w:tc>
          <w:tcPr>
            <w:tcW w:w="1377" w:type="dxa"/>
            <w:tcBorders>
              <w:top w:val="single" w:sz="2" w:space="0" w:color="auto"/>
              <w:left w:val="single" w:sz="2" w:space="0" w:color="auto"/>
              <w:bottom w:val="single" w:sz="2" w:space="0" w:color="auto"/>
              <w:right w:val="single" w:sz="2" w:space="0" w:color="auto"/>
            </w:tcBorders>
            <w:vAlign w:val="center"/>
          </w:tcPr>
          <w:p w14:paraId="3454829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-790,612.00</w:t>
            </w:r>
          </w:p>
        </w:tc>
        <w:tc>
          <w:tcPr>
            <w:tcW w:w="1377" w:type="dxa"/>
            <w:tcBorders>
              <w:top w:val="single" w:sz="2" w:space="0" w:color="auto"/>
              <w:left w:val="single" w:sz="2" w:space="0" w:color="auto"/>
              <w:bottom w:val="single" w:sz="2" w:space="0" w:color="auto"/>
              <w:right w:val="single" w:sz="2" w:space="0" w:color="auto"/>
            </w:tcBorders>
            <w:vAlign w:val="center"/>
          </w:tcPr>
          <w:p w14:paraId="29232F9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-3,000.00</w:t>
            </w:r>
          </w:p>
        </w:tc>
        <w:tc>
          <w:tcPr>
            <w:tcW w:w="1377" w:type="dxa"/>
            <w:tcBorders>
              <w:top w:val="single" w:sz="2" w:space="0" w:color="auto"/>
              <w:left w:val="single" w:sz="2" w:space="0" w:color="auto"/>
              <w:bottom w:val="single" w:sz="2" w:space="0" w:color="auto"/>
              <w:right w:val="single" w:sz="2" w:space="0" w:color="auto"/>
            </w:tcBorders>
            <w:vAlign w:val="center"/>
          </w:tcPr>
          <w:p w14:paraId="45E50E3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F60335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554,439,004.79</w:t>
            </w:r>
          </w:p>
        </w:tc>
      </w:tr>
      <w:tr w:rsidR="006C011D" w:rsidRPr="005A284F" w14:paraId="54CBF766" w14:textId="77777777" w:rsidTr="00AC3E7A">
        <w:trPr>
          <w:trHeight w:val="416"/>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201272C"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4148945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571,828,927.87</w:t>
            </w:r>
          </w:p>
        </w:tc>
        <w:tc>
          <w:tcPr>
            <w:tcW w:w="1377" w:type="dxa"/>
            <w:tcBorders>
              <w:top w:val="single" w:sz="2" w:space="0" w:color="auto"/>
              <w:left w:val="single" w:sz="2" w:space="0" w:color="auto"/>
              <w:bottom w:val="single" w:sz="2" w:space="0" w:color="auto"/>
              <w:right w:val="single" w:sz="2" w:space="0" w:color="auto"/>
            </w:tcBorders>
            <w:vAlign w:val="center"/>
          </w:tcPr>
          <w:p w14:paraId="18704AF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-16,596,311.08</w:t>
            </w:r>
          </w:p>
        </w:tc>
        <w:tc>
          <w:tcPr>
            <w:tcW w:w="1377" w:type="dxa"/>
            <w:tcBorders>
              <w:top w:val="single" w:sz="2" w:space="0" w:color="auto"/>
              <w:left w:val="single" w:sz="2" w:space="0" w:color="auto"/>
              <w:bottom w:val="single" w:sz="2" w:space="0" w:color="auto"/>
              <w:right w:val="single" w:sz="2" w:space="0" w:color="auto"/>
            </w:tcBorders>
            <w:vAlign w:val="center"/>
          </w:tcPr>
          <w:p w14:paraId="26F7B7E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-790,612.00</w:t>
            </w:r>
          </w:p>
        </w:tc>
        <w:tc>
          <w:tcPr>
            <w:tcW w:w="1377" w:type="dxa"/>
            <w:tcBorders>
              <w:top w:val="single" w:sz="2" w:space="0" w:color="auto"/>
              <w:left w:val="single" w:sz="2" w:space="0" w:color="auto"/>
              <w:bottom w:val="single" w:sz="2" w:space="0" w:color="auto"/>
              <w:right w:val="single" w:sz="2" w:space="0" w:color="auto"/>
            </w:tcBorders>
            <w:vAlign w:val="center"/>
          </w:tcPr>
          <w:p w14:paraId="0856BCD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-3,000.00</w:t>
            </w:r>
          </w:p>
        </w:tc>
        <w:tc>
          <w:tcPr>
            <w:tcW w:w="1377" w:type="dxa"/>
            <w:tcBorders>
              <w:top w:val="single" w:sz="2" w:space="0" w:color="auto"/>
              <w:left w:val="single" w:sz="2" w:space="0" w:color="auto"/>
              <w:bottom w:val="single" w:sz="2" w:space="0" w:color="auto"/>
              <w:right w:val="single" w:sz="2" w:space="0" w:color="auto"/>
            </w:tcBorders>
            <w:vAlign w:val="center"/>
          </w:tcPr>
          <w:p w14:paraId="02962B4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6068FE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554,439,004.79</w:t>
            </w:r>
          </w:p>
        </w:tc>
      </w:tr>
    </w:tbl>
    <w:p w14:paraId="15D37645" w14:textId="77777777" w:rsidR="006C011D" w:rsidRPr="005A284F" w:rsidRDefault="00000000">
      <w:pPr>
        <w:spacing w:before="10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其中本期坏账准备转回或收回金额重要的：</w:t>
      </w:r>
    </w:p>
    <w:p w14:paraId="00104BCC" w14:textId="501B1A87" w:rsidR="006C011D" w:rsidRPr="003101BC" w:rsidRDefault="003101BC" w:rsidP="003101BC">
      <w:pPr>
        <w:pStyle w:val="a3"/>
        <w:rPr>
          <w:rFonts w:ascii="Times New Roman" w:hAnsi="Times New Roman" w:cs="Times New Roman"/>
          <w:sz w:val="18"/>
          <w:szCs w:val="18"/>
        </w:rPr>
      </w:pPr>
      <w:r w:rsidRPr="005A284F">
        <w:rPr>
          <w:rFonts w:ascii="Times New Roman" w:hAnsi="Times New Roman" w:cs="Times New Roman"/>
          <w:sz w:val="18"/>
          <w:szCs w:val="18"/>
        </w:rPr>
        <w:t>无</w:t>
      </w:r>
    </w:p>
    <w:p w14:paraId="0C387CF2" w14:textId="3AD58EAD" w:rsidR="006C011D" w:rsidRPr="005A284F" w:rsidRDefault="00000000">
      <w:pPr>
        <w:keepNext/>
        <w:keepLines/>
        <w:spacing w:before="300" w:after="300" w:line="280" w:lineRule="exact"/>
        <w:outlineLvl w:val="4"/>
        <w:rPr>
          <w:rFonts w:ascii="Times New Roman" w:eastAsia="宋体" w:hAnsi="Times New Roman" w:cs="Times New Roman"/>
          <w:b/>
          <w:bCs/>
          <w:sz w:val="18"/>
          <w:szCs w:val="18"/>
        </w:rPr>
      </w:pPr>
      <w:bookmarkStart w:id="454" w:name="_Toc989437"/>
      <w:r w:rsidRPr="005A284F">
        <w:rPr>
          <w:rFonts w:ascii="Times New Roman" w:eastAsia="宋体" w:hAnsi="Times New Roman" w:cs="Times New Roman"/>
          <w:b/>
          <w:bCs/>
          <w:sz w:val="18"/>
          <w:szCs w:val="18"/>
        </w:rPr>
        <w:t>5</w:t>
      </w:r>
      <w:r w:rsidRPr="005A284F">
        <w:rPr>
          <w:rFonts w:ascii="Times New Roman" w:eastAsia="宋体" w:hAnsi="Times New Roman" w:cs="Times New Roman"/>
          <w:b/>
          <w:bCs/>
          <w:sz w:val="18"/>
          <w:szCs w:val="18"/>
        </w:rPr>
        <w:t>）本期实际核销的其他应收款情况</w:t>
      </w:r>
      <w:bookmarkEnd w:id="454"/>
    </w:p>
    <w:p w14:paraId="6E1E0D5B"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6C011D" w:rsidRPr="005A284F" w14:paraId="232101DF" w14:textId="77777777" w:rsidTr="00AC3E7A">
        <w:trPr>
          <w:trHeight w:val="405"/>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1F3417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C22EE6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核销金额</w:t>
            </w:r>
          </w:p>
        </w:tc>
      </w:tr>
      <w:tr w:rsidR="006C011D" w:rsidRPr="005A284F" w14:paraId="4AA50C26" w14:textId="77777777" w:rsidTr="00AC3E7A">
        <w:trPr>
          <w:trHeight w:val="368"/>
        </w:trPr>
        <w:tc>
          <w:tcPr>
            <w:tcW w:w="4820" w:type="dxa"/>
            <w:tcBorders>
              <w:top w:val="single" w:sz="2" w:space="0" w:color="auto"/>
              <w:left w:val="single" w:sz="2" w:space="0" w:color="auto"/>
              <w:bottom w:val="single" w:sz="2" w:space="0" w:color="auto"/>
              <w:right w:val="single" w:sz="2" w:space="0" w:color="auto"/>
            </w:tcBorders>
            <w:vAlign w:val="center"/>
          </w:tcPr>
          <w:p w14:paraId="445185A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实际核销的其他应收款</w:t>
            </w:r>
          </w:p>
        </w:tc>
        <w:tc>
          <w:tcPr>
            <w:tcW w:w="4820" w:type="dxa"/>
            <w:tcBorders>
              <w:top w:val="single" w:sz="2" w:space="0" w:color="auto"/>
              <w:left w:val="single" w:sz="2" w:space="0" w:color="auto"/>
              <w:bottom w:val="single" w:sz="2" w:space="0" w:color="auto"/>
              <w:right w:val="single" w:sz="2" w:space="0" w:color="auto"/>
            </w:tcBorders>
            <w:vAlign w:val="center"/>
          </w:tcPr>
          <w:p w14:paraId="06822A7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3,000.00</w:t>
            </w:r>
          </w:p>
        </w:tc>
      </w:tr>
    </w:tbl>
    <w:p w14:paraId="38CFE89E" w14:textId="77777777" w:rsidR="006C011D" w:rsidRPr="005A284F" w:rsidRDefault="00000000">
      <w:pPr>
        <w:spacing w:before="10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其中重要的其他应收款核销情况：</w:t>
      </w:r>
    </w:p>
    <w:p w14:paraId="6900031A" w14:textId="77777777" w:rsidR="003101BC" w:rsidRPr="003101BC" w:rsidRDefault="003101BC" w:rsidP="003101BC">
      <w:pPr>
        <w:pStyle w:val="a3"/>
        <w:rPr>
          <w:rFonts w:ascii="Times New Roman" w:hAnsi="Times New Roman" w:cs="Times New Roman"/>
          <w:sz w:val="18"/>
          <w:szCs w:val="18"/>
        </w:rPr>
      </w:pPr>
      <w:bookmarkStart w:id="455" w:name="_Toc989438"/>
      <w:r w:rsidRPr="005A284F">
        <w:rPr>
          <w:rFonts w:ascii="Times New Roman" w:hAnsi="Times New Roman" w:cs="Times New Roman"/>
          <w:sz w:val="18"/>
          <w:szCs w:val="18"/>
        </w:rPr>
        <w:t>无</w:t>
      </w:r>
    </w:p>
    <w:p w14:paraId="2B389E53" w14:textId="1757C97D" w:rsidR="006C011D" w:rsidRPr="005A284F" w:rsidRDefault="00000000">
      <w:pPr>
        <w:keepNext/>
        <w:keepLines/>
        <w:spacing w:before="300" w:after="300" w:line="280" w:lineRule="exact"/>
        <w:outlineLvl w:val="4"/>
        <w:rPr>
          <w:rFonts w:ascii="Times New Roman" w:eastAsia="宋体" w:hAnsi="Times New Roman" w:cs="Times New Roman"/>
          <w:b/>
          <w:bCs/>
          <w:sz w:val="18"/>
          <w:szCs w:val="18"/>
        </w:rPr>
      </w:pPr>
      <w:r w:rsidRPr="005A284F">
        <w:rPr>
          <w:rFonts w:ascii="Times New Roman" w:eastAsia="宋体" w:hAnsi="Times New Roman" w:cs="Times New Roman"/>
          <w:b/>
          <w:bCs/>
          <w:sz w:val="18"/>
          <w:szCs w:val="18"/>
        </w:rPr>
        <w:lastRenderedPageBreak/>
        <w:t>6</w:t>
      </w:r>
      <w:r w:rsidRPr="005A284F">
        <w:rPr>
          <w:rFonts w:ascii="Times New Roman" w:eastAsia="宋体" w:hAnsi="Times New Roman" w:cs="Times New Roman"/>
          <w:b/>
          <w:bCs/>
          <w:sz w:val="18"/>
          <w:szCs w:val="18"/>
        </w:rPr>
        <w:t>）按欠款方归集的期末余额前五名的其他应收款情况</w:t>
      </w:r>
      <w:bookmarkEnd w:id="455"/>
    </w:p>
    <w:p w14:paraId="361EA25B"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6C011D" w:rsidRPr="005A284F" w14:paraId="00E57922" w14:textId="77777777" w:rsidTr="00AC3E7A">
        <w:trPr>
          <w:trHeight w:val="240"/>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0474C7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A4DF93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款项的性质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C5E16A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09811E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账龄</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4F3DA4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占其他应收款期末余额合计数的比例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A08DBC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坏账准备期末余额</w:t>
            </w:r>
          </w:p>
        </w:tc>
      </w:tr>
      <w:tr w:rsidR="006C011D" w:rsidRPr="005A284F" w14:paraId="4475F93E" w14:textId="77777777" w:rsidTr="00AC3E7A">
        <w:trPr>
          <w:trHeight w:val="240"/>
          <w:jc w:val="center"/>
        </w:trPr>
        <w:tc>
          <w:tcPr>
            <w:tcW w:w="1606" w:type="dxa"/>
            <w:tcBorders>
              <w:top w:val="single" w:sz="2" w:space="0" w:color="auto"/>
              <w:left w:val="single" w:sz="2" w:space="0" w:color="auto"/>
              <w:bottom w:val="single" w:sz="2" w:space="0" w:color="auto"/>
              <w:right w:val="single" w:sz="2" w:space="0" w:color="auto"/>
            </w:tcBorders>
            <w:vAlign w:val="center"/>
          </w:tcPr>
          <w:p w14:paraId="7E64B42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青岛中和盛杰食品有限公司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78608C8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应收关联方款项</w:t>
            </w:r>
          </w:p>
        </w:tc>
        <w:tc>
          <w:tcPr>
            <w:tcW w:w="1606" w:type="dxa"/>
            <w:tcBorders>
              <w:top w:val="single" w:sz="2" w:space="0" w:color="auto"/>
              <w:left w:val="single" w:sz="2" w:space="0" w:color="auto"/>
              <w:bottom w:val="single" w:sz="2" w:space="0" w:color="auto"/>
              <w:right w:val="single" w:sz="2" w:space="0" w:color="auto"/>
            </w:tcBorders>
            <w:vAlign w:val="center"/>
          </w:tcPr>
          <w:p w14:paraId="2AFC9B6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447,706,806.00</w:t>
            </w:r>
          </w:p>
        </w:tc>
        <w:tc>
          <w:tcPr>
            <w:tcW w:w="1606" w:type="dxa"/>
            <w:tcBorders>
              <w:top w:val="single" w:sz="2" w:space="0" w:color="auto"/>
              <w:left w:val="single" w:sz="2" w:space="0" w:color="auto"/>
              <w:bottom w:val="single" w:sz="2" w:space="0" w:color="auto"/>
              <w:right w:val="single" w:sz="2" w:space="0" w:color="auto"/>
            </w:tcBorders>
            <w:vAlign w:val="center"/>
          </w:tcPr>
          <w:p w14:paraId="37E3398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4-6</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10-12</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2-3</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年以上</w:t>
            </w:r>
          </w:p>
        </w:tc>
        <w:tc>
          <w:tcPr>
            <w:tcW w:w="1606" w:type="dxa"/>
            <w:tcBorders>
              <w:top w:val="single" w:sz="2" w:space="0" w:color="auto"/>
              <w:left w:val="single" w:sz="2" w:space="0" w:color="auto"/>
              <w:bottom w:val="single" w:sz="2" w:space="0" w:color="auto"/>
              <w:right w:val="single" w:sz="2" w:space="0" w:color="auto"/>
            </w:tcBorders>
            <w:vAlign w:val="center"/>
          </w:tcPr>
          <w:p w14:paraId="2321D75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36.24%</w:t>
            </w:r>
          </w:p>
        </w:tc>
        <w:tc>
          <w:tcPr>
            <w:tcW w:w="1606" w:type="dxa"/>
            <w:tcBorders>
              <w:top w:val="single" w:sz="2" w:space="0" w:color="auto"/>
              <w:left w:val="single" w:sz="2" w:space="0" w:color="auto"/>
              <w:bottom w:val="single" w:sz="2" w:space="0" w:color="auto"/>
              <w:right w:val="single" w:sz="2" w:space="0" w:color="auto"/>
            </w:tcBorders>
            <w:vAlign w:val="center"/>
          </w:tcPr>
          <w:p w14:paraId="644EF76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447,706,806.00</w:t>
            </w:r>
          </w:p>
        </w:tc>
      </w:tr>
      <w:tr w:rsidR="006C011D" w:rsidRPr="005A284F" w14:paraId="093047DE" w14:textId="77777777" w:rsidTr="00AC3E7A">
        <w:trPr>
          <w:trHeight w:val="240"/>
          <w:jc w:val="center"/>
        </w:trPr>
        <w:tc>
          <w:tcPr>
            <w:tcW w:w="1606" w:type="dxa"/>
            <w:tcBorders>
              <w:top w:val="single" w:sz="2" w:space="0" w:color="auto"/>
              <w:left w:val="single" w:sz="2" w:space="0" w:color="auto"/>
              <w:bottom w:val="single" w:sz="2" w:space="0" w:color="auto"/>
              <w:right w:val="single" w:sz="2" w:space="0" w:color="auto"/>
            </w:tcBorders>
            <w:vAlign w:val="center"/>
          </w:tcPr>
          <w:p w14:paraId="7CE79CA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巴中龙大肉食品有限公司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5C71D0C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应收关联方款项</w:t>
            </w:r>
          </w:p>
        </w:tc>
        <w:tc>
          <w:tcPr>
            <w:tcW w:w="1606" w:type="dxa"/>
            <w:tcBorders>
              <w:top w:val="single" w:sz="2" w:space="0" w:color="auto"/>
              <w:left w:val="single" w:sz="2" w:space="0" w:color="auto"/>
              <w:bottom w:val="single" w:sz="2" w:space="0" w:color="auto"/>
              <w:right w:val="single" w:sz="2" w:space="0" w:color="auto"/>
            </w:tcBorders>
            <w:vAlign w:val="center"/>
          </w:tcPr>
          <w:p w14:paraId="1562D33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269,940,000.00</w:t>
            </w:r>
          </w:p>
        </w:tc>
        <w:tc>
          <w:tcPr>
            <w:tcW w:w="1606" w:type="dxa"/>
            <w:tcBorders>
              <w:top w:val="single" w:sz="2" w:space="0" w:color="auto"/>
              <w:left w:val="single" w:sz="2" w:space="0" w:color="auto"/>
              <w:bottom w:val="single" w:sz="2" w:space="0" w:color="auto"/>
              <w:right w:val="single" w:sz="2" w:space="0" w:color="auto"/>
            </w:tcBorders>
            <w:vAlign w:val="center"/>
          </w:tcPr>
          <w:p w14:paraId="0B4E6B1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1-3</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4-6</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7-9</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10-12</w:t>
            </w:r>
            <w:r w:rsidRPr="005A284F">
              <w:rPr>
                <w:rFonts w:ascii="Times New Roman" w:eastAsia="宋体" w:hAnsi="Times New Roman" w:cs="Times New Roman"/>
                <w:sz w:val="18"/>
                <w:szCs w:val="18"/>
              </w:rPr>
              <w:t>月</w:t>
            </w:r>
          </w:p>
        </w:tc>
        <w:tc>
          <w:tcPr>
            <w:tcW w:w="1606" w:type="dxa"/>
            <w:tcBorders>
              <w:top w:val="single" w:sz="2" w:space="0" w:color="auto"/>
              <w:left w:val="single" w:sz="2" w:space="0" w:color="auto"/>
              <w:bottom w:val="single" w:sz="2" w:space="0" w:color="auto"/>
              <w:right w:val="single" w:sz="2" w:space="0" w:color="auto"/>
            </w:tcBorders>
            <w:vAlign w:val="center"/>
          </w:tcPr>
          <w:p w14:paraId="5A6EC6A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21.85%</w:t>
            </w:r>
          </w:p>
        </w:tc>
        <w:tc>
          <w:tcPr>
            <w:tcW w:w="1606" w:type="dxa"/>
            <w:tcBorders>
              <w:top w:val="single" w:sz="2" w:space="0" w:color="auto"/>
              <w:left w:val="single" w:sz="2" w:space="0" w:color="auto"/>
              <w:bottom w:val="single" w:sz="2" w:space="0" w:color="auto"/>
              <w:right w:val="single" w:sz="2" w:space="0" w:color="auto"/>
            </w:tcBorders>
            <w:vAlign w:val="center"/>
          </w:tcPr>
          <w:p w14:paraId="66C75C64"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40783617" w14:textId="77777777" w:rsidTr="00AC3E7A">
        <w:trPr>
          <w:trHeight w:val="240"/>
          <w:jc w:val="center"/>
        </w:trPr>
        <w:tc>
          <w:tcPr>
            <w:tcW w:w="1606" w:type="dxa"/>
            <w:tcBorders>
              <w:top w:val="single" w:sz="2" w:space="0" w:color="auto"/>
              <w:left w:val="single" w:sz="2" w:space="0" w:color="auto"/>
              <w:bottom w:val="single" w:sz="2" w:space="0" w:color="auto"/>
              <w:right w:val="single" w:sz="2" w:space="0" w:color="auto"/>
            </w:tcBorders>
            <w:vAlign w:val="center"/>
          </w:tcPr>
          <w:p w14:paraId="1C41B37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潍坊振祥食品有限公司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1F8EAF5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应收关联方款项</w:t>
            </w:r>
          </w:p>
        </w:tc>
        <w:tc>
          <w:tcPr>
            <w:tcW w:w="1606" w:type="dxa"/>
            <w:tcBorders>
              <w:top w:val="single" w:sz="2" w:space="0" w:color="auto"/>
              <w:left w:val="single" w:sz="2" w:space="0" w:color="auto"/>
              <w:bottom w:val="single" w:sz="2" w:space="0" w:color="auto"/>
              <w:right w:val="single" w:sz="2" w:space="0" w:color="auto"/>
            </w:tcBorders>
            <w:vAlign w:val="center"/>
          </w:tcPr>
          <w:p w14:paraId="3FE8EDD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141,370,000.00</w:t>
            </w:r>
          </w:p>
        </w:tc>
        <w:tc>
          <w:tcPr>
            <w:tcW w:w="1606" w:type="dxa"/>
            <w:tcBorders>
              <w:top w:val="single" w:sz="2" w:space="0" w:color="auto"/>
              <w:left w:val="single" w:sz="2" w:space="0" w:color="auto"/>
              <w:bottom w:val="single" w:sz="2" w:space="0" w:color="auto"/>
              <w:right w:val="single" w:sz="2" w:space="0" w:color="auto"/>
            </w:tcBorders>
            <w:vAlign w:val="center"/>
          </w:tcPr>
          <w:p w14:paraId="65F990D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1-3</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2-3</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年以上</w:t>
            </w:r>
          </w:p>
        </w:tc>
        <w:tc>
          <w:tcPr>
            <w:tcW w:w="1606" w:type="dxa"/>
            <w:tcBorders>
              <w:top w:val="single" w:sz="2" w:space="0" w:color="auto"/>
              <w:left w:val="single" w:sz="2" w:space="0" w:color="auto"/>
              <w:bottom w:val="single" w:sz="2" w:space="0" w:color="auto"/>
              <w:right w:val="single" w:sz="2" w:space="0" w:color="auto"/>
            </w:tcBorders>
            <w:vAlign w:val="center"/>
          </w:tcPr>
          <w:p w14:paraId="3236A7B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11.44%</w:t>
            </w:r>
          </w:p>
        </w:tc>
        <w:tc>
          <w:tcPr>
            <w:tcW w:w="1606" w:type="dxa"/>
            <w:tcBorders>
              <w:top w:val="single" w:sz="2" w:space="0" w:color="auto"/>
              <w:left w:val="single" w:sz="2" w:space="0" w:color="auto"/>
              <w:bottom w:val="single" w:sz="2" w:space="0" w:color="auto"/>
              <w:right w:val="single" w:sz="2" w:space="0" w:color="auto"/>
            </w:tcBorders>
            <w:vAlign w:val="center"/>
          </w:tcPr>
          <w:p w14:paraId="75CC7A2E"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308372F5" w14:textId="77777777" w:rsidTr="00AC3E7A">
        <w:trPr>
          <w:trHeight w:val="240"/>
          <w:jc w:val="center"/>
        </w:trPr>
        <w:tc>
          <w:tcPr>
            <w:tcW w:w="1606" w:type="dxa"/>
            <w:tcBorders>
              <w:top w:val="single" w:sz="2" w:space="0" w:color="auto"/>
              <w:left w:val="single" w:sz="2" w:space="0" w:color="auto"/>
              <w:bottom w:val="single" w:sz="2" w:space="0" w:color="auto"/>
              <w:right w:val="single" w:sz="2" w:space="0" w:color="auto"/>
            </w:tcBorders>
            <w:vAlign w:val="center"/>
          </w:tcPr>
          <w:p w14:paraId="5EBFE21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黑龙江龙大养殖有限公司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0251DFC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应收关联方款项</w:t>
            </w:r>
          </w:p>
        </w:tc>
        <w:tc>
          <w:tcPr>
            <w:tcW w:w="1606" w:type="dxa"/>
            <w:tcBorders>
              <w:top w:val="single" w:sz="2" w:space="0" w:color="auto"/>
              <w:left w:val="single" w:sz="2" w:space="0" w:color="auto"/>
              <w:bottom w:val="single" w:sz="2" w:space="0" w:color="auto"/>
              <w:right w:val="single" w:sz="2" w:space="0" w:color="auto"/>
            </w:tcBorders>
            <w:vAlign w:val="center"/>
          </w:tcPr>
          <w:p w14:paraId="1A03ABF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125,160,000.00</w:t>
            </w:r>
          </w:p>
        </w:tc>
        <w:tc>
          <w:tcPr>
            <w:tcW w:w="1606" w:type="dxa"/>
            <w:tcBorders>
              <w:top w:val="single" w:sz="2" w:space="0" w:color="auto"/>
              <w:left w:val="single" w:sz="2" w:space="0" w:color="auto"/>
              <w:bottom w:val="single" w:sz="2" w:space="0" w:color="auto"/>
              <w:right w:val="single" w:sz="2" w:space="0" w:color="auto"/>
            </w:tcBorders>
            <w:vAlign w:val="center"/>
          </w:tcPr>
          <w:p w14:paraId="19E808A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1-2</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年以上</w:t>
            </w:r>
          </w:p>
        </w:tc>
        <w:tc>
          <w:tcPr>
            <w:tcW w:w="1606" w:type="dxa"/>
            <w:tcBorders>
              <w:top w:val="single" w:sz="2" w:space="0" w:color="auto"/>
              <w:left w:val="single" w:sz="2" w:space="0" w:color="auto"/>
              <w:bottom w:val="single" w:sz="2" w:space="0" w:color="auto"/>
              <w:right w:val="single" w:sz="2" w:space="0" w:color="auto"/>
            </w:tcBorders>
            <w:vAlign w:val="center"/>
          </w:tcPr>
          <w:p w14:paraId="75A1DAA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10.13%</w:t>
            </w:r>
          </w:p>
        </w:tc>
        <w:tc>
          <w:tcPr>
            <w:tcW w:w="1606" w:type="dxa"/>
            <w:tcBorders>
              <w:top w:val="single" w:sz="2" w:space="0" w:color="auto"/>
              <w:left w:val="single" w:sz="2" w:space="0" w:color="auto"/>
              <w:bottom w:val="single" w:sz="2" w:space="0" w:color="auto"/>
              <w:right w:val="single" w:sz="2" w:space="0" w:color="auto"/>
            </w:tcBorders>
            <w:vAlign w:val="center"/>
          </w:tcPr>
          <w:p w14:paraId="5D4EBBB2"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45AD127E" w14:textId="77777777" w:rsidTr="00AC3E7A">
        <w:trPr>
          <w:trHeight w:val="240"/>
          <w:jc w:val="center"/>
        </w:trPr>
        <w:tc>
          <w:tcPr>
            <w:tcW w:w="1606" w:type="dxa"/>
            <w:tcBorders>
              <w:top w:val="single" w:sz="2" w:space="0" w:color="auto"/>
              <w:left w:val="single" w:sz="2" w:space="0" w:color="auto"/>
              <w:bottom w:val="single" w:sz="2" w:space="0" w:color="auto"/>
              <w:right w:val="single" w:sz="2" w:space="0" w:color="auto"/>
            </w:tcBorders>
            <w:vAlign w:val="center"/>
          </w:tcPr>
          <w:p w14:paraId="3DDDEBE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云南福照食品有限公司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05B0FBE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应收关联方款项</w:t>
            </w:r>
          </w:p>
        </w:tc>
        <w:tc>
          <w:tcPr>
            <w:tcW w:w="1606" w:type="dxa"/>
            <w:tcBorders>
              <w:top w:val="single" w:sz="2" w:space="0" w:color="auto"/>
              <w:left w:val="single" w:sz="2" w:space="0" w:color="auto"/>
              <w:bottom w:val="single" w:sz="2" w:space="0" w:color="auto"/>
              <w:right w:val="single" w:sz="2" w:space="0" w:color="auto"/>
            </w:tcBorders>
            <w:vAlign w:val="center"/>
          </w:tcPr>
          <w:p w14:paraId="71BBA83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95,220,000.00</w:t>
            </w:r>
          </w:p>
        </w:tc>
        <w:tc>
          <w:tcPr>
            <w:tcW w:w="1606" w:type="dxa"/>
            <w:tcBorders>
              <w:top w:val="single" w:sz="2" w:space="0" w:color="auto"/>
              <w:left w:val="single" w:sz="2" w:space="0" w:color="auto"/>
              <w:bottom w:val="single" w:sz="2" w:space="0" w:color="auto"/>
              <w:right w:val="single" w:sz="2" w:space="0" w:color="auto"/>
            </w:tcBorders>
            <w:vAlign w:val="center"/>
          </w:tcPr>
          <w:p w14:paraId="4731897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3</w:t>
            </w:r>
            <w:r w:rsidRPr="005A284F">
              <w:rPr>
                <w:rFonts w:ascii="Times New Roman" w:eastAsia="宋体" w:hAnsi="Times New Roman" w:cs="Times New Roman"/>
                <w:sz w:val="18"/>
                <w:szCs w:val="18"/>
              </w:rPr>
              <w:t>年以上</w:t>
            </w:r>
          </w:p>
        </w:tc>
        <w:tc>
          <w:tcPr>
            <w:tcW w:w="1606" w:type="dxa"/>
            <w:tcBorders>
              <w:top w:val="single" w:sz="2" w:space="0" w:color="auto"/>
              <w:left w:val="single" w:sz="2" w:space="0" w:color="auto"/>
              <w:bottom w:val="single" w:sz="2" w:space="0" w:color="auto"/>
              <w:right w:val="single" w:sz="2" w:space="0" w:color="auto"/>
            </w:tcBorders>
            <w:vAlign w:val="center"/>
          </w:tcPr>
          <w:p w14:paraId="527396B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7.71%</w:t>
            </w:r>
          </w:p>
        </w:tc>
        <w:tc>
          <w:tcPr>
            <w:tcW w:w="1606" w:type="dxa"/>
            <w:tcBorders>
              <w:top w:val="single" w:sz="2" w:space="0" w:color="auto"/>
              <w:left w:val="single" w:sz="2" w:space="0" w:color="auto"/>
              <w:bottom w:val="single" w:sz="2" w:space="0" w:color="auto"/>
              <w:right w:val="single" w:sz="2" w:space="0" w:color="auto"/>
            </w:tcBorders>
            <w:vAlign w:val="center"/>
          </w:tcPr>
          <w:p w14:paraId="3768AC7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95,220,000.00</w:t>
            </w:r>
          </w:p>
        </w:tc>
      </w:tr>
      <w:tr w:rsidR="006C011D" w:rsidRPr="005A284F" w14:paraId="4059B51B" w14:textId="77777777" w:rsidTr="00AC3E7A">
        <w:trPr>
          <w:trHeight w:val="240"/>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BAB4DA2"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5CDFBDF" w14:textId="77777777" w:rsidR="006C011D" w:rsidRPr="005A284F" w:rsidRDefault="006C011D">
            <w:pPr>
              <w:rPr>
                <w:rFonts w:ascii="Times New Roman" w:eastAsia="宋体" w:hAnsi="Times New Roman" w:cs="Times New Roman"/>
              </w:rPr>
            </w:pPr>
          </w:p>
        </w:tc>
        <w:tc>
          <w:tcPr>
            <w:tcW w:w="1606" w:type="dxa"/>
            <w:tcBorders>
              <w:top w:val="single" w:sz="2" w:space="0" w:color="auto"/>
              <w:left w:val="single" w:sz="2" w:space="0" w:color="auto"/>
              <w:bottom w:val="single" w:sz="2" w:space="0" w:color="auto"/>
              <w:right w:val="single" w:sz="2" w:space="0" w:color="auto"/>
            </w:tcBorders>
            <w:vAlign w:val="center"/>
          </w:tcPr>
          <w:p w14:paraId="1A44607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1,079,396,806.00</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C34C55D" w14:textId="77777777" w:rsidR="006C011D" w:rsidRPr="005A284F" w:rsidRDefault="006C011D">
            <w:pPr>
              <w:rPr>
                <w:rFonts w:ascii="Times New Roman" w:eastAsia="宋体" w:hAnsi="Times New Roman" w:cs="Times New Roman"/>
              </w:rPr>
            </w:pPr>
          </w:p>
        </w:tc>
        <w:tc>
          <w:tcPr>
            <w:tcW w:w="1606" w:type="dxa"/>
            <w:tcBorders>
              <w:top w:val="single" w:sz="2" w:space="0" w:color="auto"/>
              <w:left w:val="single" w:sz="2" w:space="0" w:color="auto"/>
              <w:bottom w:val="single" w:sz="2" w:space="0" w:color="auto"/>
              <w:right w:val="single" w:sz="2" w:space="0" w:color="auto"/>
            </w:tcBorders>
            <w:vAlign w:val="center"/>
          </w:tcPr>
          <w:p w14:paraId="1F84535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87.37%</w:t>
            </w:r>
          </w:p>
        </w:tc>
        <w:tc>
          <w:tcPr>
            <w:tcW w:w="1606" w:type="dxa"/>
            <w:tcBorders>
              <w:top w:val="single" w:sz="2" w:space="0" w:color="auto"/>
              <w:left w:val="single" w:sz="2" w:space="0" w:color="auto"/>
              <w:bottom w:val="single" w:sz="2" w:space="0" w:color="auto"/>
              <w:right w:val="single" w:sz="2" w:space="0" w:color="auto"/>
            </w:tcBorders>
            <w:vAlign w:val="center"/>
          </w:tcPr>
          <w:p w14:paraId="327EAA5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542,926,806.00</w:t>
            </w:r>
          </w:p>
        </w:tc>
      </w:tr>
    </w:tbl>
    <w:p w14:paraId="4C859D0E" w14:textId="4083D995" w:rsidR="006C011D" w:rsidRPr="005A284F" w:rsidRDefault="00000000">
      <w:pPr>
        <w:keepNext/>
        <w:keepLines/>
        <w:spacing w:before="300" w:after="300" w:line="280" w:lineRule="exact"/>
        <w:outlineLvl w:val="4"/>
        <w:rPr>
          <w:rFonts w:ascii="Times New Roman" w:eastAsia="宋体" w:hAnsi="Times New Roman" w:cs="Times New Roman"/>
          <w:b/>
          <w:bCs/>
          <w:sz w:val="18"/>
          <w:szCs w:val="18"/>
        </w:rPr>
      </w:pPr>
      <w:bookmarkStart w:id="456" w:name="_Toc989439"/>
      <w:r w:rsidRPr="005A284F">
        <w:rPr>
          <w:rFonts w:ascii="Times New Roman" w:eastAsia="宋体" w:hAnsi="Times New Roman" w:cs="Times New Roman"/>
          <w:b/>
          <w:bCs/>
          <w:sz w:val="18"/>
          <w:szCs w:val="18"/>
        </w:rPr>
        <w:t>7</w:t>
      </w:r>
      <w:r w:rsidRPr="005A284F">
        <w:rPr>
          <w:rFonts w:ascii="Times New Roman" w:eastAsia="宋体" w:hAnsi="Times New Roman" w:cs="Times New Roman"/>
          <w:b/>
          <w:bCs/>
          <w:sz w:val="18"/>
          <w:szCs w:val="18"/>
        </w:rPr>
        <w:t>）因资金集中管理而列报于其他应收款</w:t>
      </w:r>
      <w:bookmarkEnd w:id="456"/>
    </w:p>
    <w:p w14:paraId="3BA512E4" w14:textId="77777777" w:rsidR="000309B5" w:rsidRPr="005A284F" w:rsidRDefault="00000000">
      <w:pPr>
        <w:pStyle w:val="a3"/>
        <w:divId w:val="666594014"/>
        <w:rPr>
          <w:rFonts w:ascii="Times New Roman" w:hAnsi="Times New Roman" w:cs="Times New Roman"/>
          <w:sz w:val="18"/>
          <w:szCs w:val="18"/>
        </w:rPr>
      </w:pPr>
      <w:r w:rsidRPr="005A284F">
        <w:rPr>
          <w:rFonts w:ascii="Times New Roman" w:hAnsi="Times New Roman" w:cs="Times New Roman"/>
          <w:sz w:val="18"/>
          <w:szCs w:val="18"/>
        </w:rPr>
        <w:t>无</w:t>
      </w:r>
    </w:p>
    <w:p w14:paraId="46D276FD" w14:textId="77777777" w:rsidR="006C011D" w:rsidRPr="005A284F" w:rsidRDefault="00000000">
      <w:pPr>
        <w:pStyle w:val="3"/>
        <w:spacing w:line="280" w:lineRule="exact"/>
        <w:jc w:val="left"/>
        <w:rPr>
          <w:rFonts w:ascii="Times New Roman" w:hAnsi="Times New Roman" w:cs="Times New Roman"/>
          <w:b/>
          <w:bCs/>
        </w:rPr>
      </w:pPr>
      <w:bookmarkStart w:id="457" w:name="_Toc989440"/>
      <w:r w:rsidRPr="005A284F">
        <w:rPr>
          <w:rFonts w:ascii="Times New Roman" w:hAnsi="Times New Roman" w:cs="Times New Roman"/>
          <w:b/>
          <w:bCs/>
        </w:rPr>
        <w:t>3</w:t>
      </w:r>
      <w:r w:rsidRPr="005A284F">
        <w:rPr>
          <w:rFonts w:ascii="Times New Roman" w:hAnsi="Times New Roman" w:cs="Times New Roman"/>
          <w:b/>
          <w:bCs/>
        </w:rPr>
        <w:t>、长期股权投资</w:t>
      </w:r>
      <w:bookmarkEnd w:id="457"/>
    </w:p>
    <w:p w14:paraId="132BB0AA"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0" w:type="dxa"/>
          <w:right w:w="0" w:type="dxa"/>
        </w:tblCellMar>
        <w:tblLook w:val="04A0" w:firstRow="1" w:lastRow="0" w:firstColumn="1" w:lastColumn="0" w:noHBand="0" w:noVBand="1"/>
      </w:tblPr>
      <w:tblGrid>
        <w:gridCol w:w="993"/>
        <w:gridCol w:w="1454"/>
        <w:gridCol w:w="1417"/>
        <w:gridCol w:w="1418"/>
        <w:gridCol w:w="1603"/>
        <w:gridCol w:w="1377"/>
        <w:gridCol w:w="1377"/>
      </w:tblGrid>
      <w:tr w:rsidR="006C011D" w:rsidRPr="005A284F" w14:paraId="140F06E2" w14:textId="77777777" w:rsidTr="00AC3E7A">
        <w:trPr>
          <w:trHeight w:val="240"/>
          <w:jc w:val="center"/>
        </w:trPr>
        <w:tc>
          <w:tcPr>
            <w:tcW w:w="9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E251AB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428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407D9CD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w:t>
            </w:r>
          </w:p>
        </w:tc>
        <w:tc>
          <w:tcPr>
            <w:tcW w:w="4357"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2DF7BCB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w:t>
            </w:r>
          </w:p>
        </w:tc>
      </w:tr>
      <w:tr w:rsidR="006C011D" w:rsidRPr="005A284F" w14:paraId="607A743C" w14:textId="77777777" w:rsidTr="00AC3E7A">
        <w:trPr>
          <w:trHeight w:val="240"/>
          <w:jc w:val="center"/>
        </w:trPr>
        <w:tc>
          <w:tcPr>
            <w:tcW w:w="99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F87B623" w14:textId="77777777" w:rsidR="006C011D" w:rsidRPr="005A284F" w:rsidRDefault="006C011D">
            <w:pPr>
              <w:rPr>
                <w:rFonts w:ascii="Times New Roman" w:eastAsia="宋体" w:hAnsi="Times New Roman" w:cs="Times New Roman"/>
              </w:rPr>
            </w:pPr>
          </w:p>
        </w:tc>
        <w:tc>
          <w:tcPr>
            <w:tcW w:w="1454" w:type="dxa"/>
            <w:tcBorders>
              <w:top w:val="single" w:sz="2" w:space="0" w:color="auto"/>
              <w:left w:val="single" w:sz="2" w:space="0" w:color="auto"/>
              <w:bottom w:val="single" w:sz="2" w:space="0" w:color="auto"/>
              <w:right w:val="single" w:sz="2" w:space="0" w:color="auto"/>
            </w:tcBorders>
            <w:shd w:val="clear" w:color="auto" w:fill="D3D3D3"/>
            <w:vAlign w:val="center"/>
          </w:tcPr>
          <w:p w14:paraId="346332B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账面余额</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5C9E1DD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减值准备</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38EC1FF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账面价值</w:t>
            </w:r>
          </w:p>
        </w:tc>
        <w:tc>
          <w:tcPr>
            <w:tcW w:w="1603" w:type="dxa"/>
            <w:tcBorders>
              <w:top w:val="single" w:sz="2" w:space="0" w:color="auto"/>
              <w:left w:val="single" w:sz="2" w:space="0" w:color="auto"/>
              <w:bottom w:val="single" w:sz="2" w:space="0" w:color="auto"/>
              <w:right w:val="single" w:sz="2" w:space="0" w:color="auto"/>
            </w:tcBorders>
            <w:shd w:val="clear" w:color="auto" w:fill="D3D3D3"/>
            <w:vAlign w:val="center"/>
          </w:tcPr>
          <w:p w14:paraId="5592420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6FC12C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F6A6A3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账面价值</w:t>
            </w:r>
          </w:p>
        </w:tc>
      </w:tr>
      <w:tr w:rsidR="006C011D" w:rsidRPr="005A284F" w14:paraId="1C3BB004" w14:textId="77777777" w:rsidTr="00AC3E7A">
        <w:trPr>
          <w:trHeight w:val="240"/>
          <w:jc w:val="center"/>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54CA0620"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对子公司投资</w:t>
            </w:r>
          </w:p>
        </w:tc>
        <w:tc>
          <w:tcPr>
            <w:tcW w:w="1454" w:type="dxa"/>
            <w:tcBorders>
              <w:top w:val="single" w:sz="2" w:space="0" w:color="auto"/>
              <w:left w:val="single" w:sz="2" w:space="0" w:color="auto"/>
              <w:bottom w:val="single" w:sz="2" w:space="0" w:color="auto"/>
              <w:right w:val="single" w:sz="2" w:space="0" w:color="auto"/>
            </w:tcBorders>
            <w:vAlign w:val="center"/>
          </w:tcPr>
          <w:p w14:paraId="6559DBC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2,532,899,035.97</w:t>
            </w:r>
          </w:p>
        </w:tc>
        <w:tc>
          <w:tcPr>
            <w:tcW w:w="1417" w:type="dxa"/>
            <w:tcBorders>
              <w:top w:val="single" w:sz="2" w:space="0" w:color="auto"/>
              <w:left w:val="single" w:sz="2" w:space="0" w:color="auto"/>
              <w:bottom w:val="single" w:sz="2" w:space="0" w:color="auto"/>
              <w:right w:val="single" w:sz="2" w:space="0" w:color="auto"/>
            </w:tcBorders>
            <w:vAlign w:val="center"/>
          </w:tcPr>
          <w:p w14:paraId="43515F8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59,417,213.10</w:t>
            </w:r>
          </w:p>
        </w:tc>
        <w:tc>
          <w:tcPr>
            <w:tcW w:w="1418" w:type="dxa"/>
            <w:tcBorders>
              <w:top w:val="single" w:sz="2" w:space="0" w:color="auto"/>
              <w:left w:val="single" w:sz="2" w:space="0" w:color="auto"/>
              <w:bottom w:val="single" w:sz="2" w:space="0" w:color="auto"/>
              <w:right w:val="single" w:sz="2" w:space="0" w:color="auto"/>
            </w:tcBorders>
            <w:vAlign w:val="center"/>
          </w:tcPr>
          <w:p w14:paraId="23CB5A2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2,473,481,822.87</w:t>
            </w:r>
          </w:p>
        </w:tc>
        <w:tc>
          <w:tcPr>
            <w:tcW w:w="1603" w:type="dxa"/>
            <w:tcBorders>
              <w:top w:val="single" w:sz="2" w:space="0" w:color="auto"/>
              <w:left w:val="single" w:sz="2" w:space="0" w:color="auto"/>
              <w:bottom w:val="single" w:sz="2" w:space="0" w:color="auto"/>
              <w:right w:val="single" w:sz="2" w:space="0" w:color="auto"/>
            </w:tcBorders>
            <w:vAlign w:val="center"/>
          </w:tcPr>
          <w:p w14:paraId="4B4F1B6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2,503,499,035.97</w:t>
            </w:r>
          </w:p>
        </w:tc>
        <w:tc>
          <w:tcPr>
            <w:tcW w:w="1377" w:type="dxa"/>
            <w:tcBorders>
              <w:top w:val="single" w:sz="2" w:space="0" w:color="auto"/>
              <w:left w:val="single" w:sz="2" w:space="0" w:color="auto"/>
              <w:bottom w:val="single" w:sz="2" w:space="0" w:color="auto"/>
              <w:right w:val="single" w:sz="2" w:space="0" w:color="auto"/>
            </w:tcBorders>
            <w:vAlign w:val="center"/>
          </w:tcPr>
          <w:p w14:paraId="34DC35C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59,417,213.10</w:t>
            </w:r>
          </w:p>
        </w:tc>
        <w:tc>
          <w:tcPr>
            <w:tcW w:w="1377" w:type="dxa"/>
            <w:tcBorders>
              <w:top w:val="single" w:sz="2" w:space="0" w:color="auto"/>
              <w:left w:val="single" w:sz="2" w:space="0" w:color="auto"/>
              <w:bottom w:val="single" w:sz="2" w:space="0" w:color="auto"/>
              <w:right w:val="single" w:sz="2" w:space="0" w:color="auto"/>
            </w:tcBorders>
            <w:vAlign w:val="center"/>
          </w:tcPr>
          <w:p w14:paraId="7F0920C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2,444,081,822.87</w:t>
            </w:r>
          </w:p>
        </w:tc>
      </w:tr>
      <w:tr w:rsidR="006C011D" w:rsidRPr="005A284F" w14:paraId="2FBDBDAF" w14:textId="77777777" w:rsidTr="00AC3E7A">
        <w:trPr>
          <w:trHeight w:val="421"/>
          <w:jc w:val="center"/>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38DC39A2"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1454" w:type="dxa"/>
            <w:tcBorders>
              <w:top w:val="single" w:sz="2" w:space="0" w:color="auto"/>
              <w:left w:val="single" w:sz="2" w:space="0" w:color="auto"/>
              <w:bottom w:val="single" w:sz="2" w:space="0" w:color="auto"/>
              <w:right w:val="single" w:sz="2" w:space="0" w:color="auto"/>
            </w:tcBorders>
            <w:vAlign w:val="center"/>
          </w:tcPr>
          <w:p w14:paraId="739BCDD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2,532,899,035.97</w:t>
            </w:r>
          </w:p>
        </w:tc>
        <w:tc>
          <w:tcPr>
            <w:tcW w:w="1417" w:type="dxa"/>
            <w:tcBorders>
              <w:top w:val="single" w:sz="2" w:space="0" w:color="auto"/>
              <w:left w:val="single" w:sz="2" w:space="0" w:color="auto"/>
              <w:bottom w:val="single" w:sz="2" w:space="0" w:color="auto"/>
              <w:right w:val="single" w:sz="2" w:space="0" w:color="auto"/>
            </w:tcBorders>
            <w:vAlign w:val="center"/>
          </w:tcPr>
          <w:p w14:paraId="3B33E68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59,417,213.10</w:t>
            </w:r>
          </w:p>
        </w:tc>
        <w:tc>
          <w:tcPr>
            <w:tcW w:w="1418" w:type="dxa"/>
            <w:tcBorders>
              <w:top w:val="single" w:sz="2" w:space="0" w:color="auto"/>
              <w:left w:val="single" w:sz="2" w:space="0" w:color="auto"/>
              <w:bottom w:val="single" w:sz="2" w:space="0" w:color="auto"/>
              <w:right w:val="single" w:sz="2" w:space="0" w:color="auto"/>
            </w:tcBorders>
            <w:vAlign w:val="center"/>
          </w:tcPr>
          <w:p w14:paraId="5120936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2,473,481,822.87</w:t>
            </w:r>
          </w:p>
        </w:tc>
        <w:tc>
          <w:tcPr>
            <w:tcW w:w="1603" w:type="dxa"/>
            <w:tcBorders>
              <w:top w:val="single" w:sz="2" w:space="0" w:color="auto"/>
              <w:left w:val="single" w:sz="2" w:space="0" w:color="auto"/>
              <w:bottom w:val="single" w:sz="2" w:space="0" w:color="auto"/>
              <w:right w:val="single" w:sz="2" w:space="0" w:color="auto"/>
            </w:tcBorders>
            <w:vAlign w:val="center"/>
          </w:tcPr>
          <w:p w14:paraId="69C3AAA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2,503,499,035.97</w:t>
            </w:r>
          </w:p>
        </w:tc>
        <w:tc>
          <w:tcPr>
            <w:tcW w:w="1377" w:type="dxa"/>
            <w:tcBorders>
              <w:top w:val="single" w:sz="2" w:space="0" w:color="auto"/>
              <w:left w:val="single" w:sz="2" w:space="0" w:color="auto"/>
              <w:bottom w:val="single" w:sz="2" w:space="0" w:color="auto"/>
              <w:right w:val="single" w:sz="2" w:space="0" w:color="auto"/>
            </w:tcBorders>
            <w:vAlign w:val="center"/>
          </w:tcPr>
          <w:p w14:paraId="12760F5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59,417,213.10</w:t>
            </w:r>
          </w:p>
        </w:tc>
        <w:tc>
          <w:tcPr>
            <w:tcW w:w="1377" w:type="dxa"/>
            <w:tcBorders>
              <w:top w:val="single" w:sz="2" w:space="0" w:color="auto"/>
              <w:left w:val="single" w:sz="2" w:space="0" w:color="auto"/>
              <w:bottom w:val="single" w:sz="2" w:space="0" w:color="auto"/>
              <w:right w:val="single" w:sz="2" w:space="0" w:color="auto"/>
            </w:tcBorders>
            <w:vAlign w:val="center"/>
          </w:tcPr>
          <w:p w14:paraId="5637A4E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2,444,081,822.87</w:t>
            </w:r>
          </w:p>
        </w:tc>
      </w:tr>
    </w:tbl>
    <w:p w14:paraId="1D22A9E9" w14:textId="1D3EFA81"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458" w:name="_Toc989441"/>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1</w:t>
      </w:r>
      <w:r w:rsidRPr="005A284F">
        <w:rPr>
          <w:rFonts w:ascii="Times New Roman" w:eastAsia="宋体" w:hAnsi="Times New Roman" w:cs="Times New Roman"/>
          <w:b/>
          <w:bCs/>
          <w:sz w:val="21"/>
          <w:szCs w:val="21"/>
        </w:rPr>
        <w:t>）对子公司投资</w:t>
      </w:r>
      <w:bookmarkEnd w:id="458"/>
    </w:p>
    <w:p w14:paraId="55DD001F"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10206"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0" w:type="dxa"/>
          <w:right w:w="0" w:type="dxa"/>
        </w:tblCellMar>
        <w:tblLook w:val="04A0" w:firstRow="1" w:lastRow="0" w:firstColumn="1" w:lastColumn="0" w:noHBand="0" w:noVBand="1"/>
      </w:tblPr>
      <w:tblGrid>
        <w:gridCol w:w="993"/>
        <w:gridCol w:w="1417"/>
        <w:gridCol w:w="1418"/>
        <w:gridCol w:w="1170"/>
        <w:gridCol w:w="709"/>
        <w:gridCol w:w="719"/>
        <w:gridCol w:w="1071"/>
        <w:gridCol w:w="1434"/>
        <w:gridCol w:w="1275"/>
      </w:tblGrid>
      <w:tr w:rsidR="006C011D" w:rsidRPr="005A284F" w14:paraId="651ABAC4" w14:textId="77777777" w:rsidTr="00AC3E7A">
        <w:trPr>
          <w:trHeight w:val="240"/>
          <w:jc w:val="center"/>
        </w:trPr>
        <w:tc>
          <w:tcPr>
            <w:tcW w:w="9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A5A931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被投资单位</w:t>
            </w:r>
          </w:p>
        </w:tc>
        <w:tc>
          <w:tcPr>
            <w:tcW w:w="141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FCA579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期初余额（账面价值）</w:t>
            </w:r>
          </w:p>
        </w:tc>
        <w:tc>
          <w:tcPr>
            <w:tcW w:w="141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08EFB19"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减值准备期初余额</w:t>
            </w:r>
          </w:p>
        </w:tc>
        <w:tc>
          <w:tcPr>
            <w:tcW w:w="3669"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7843AD3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本期增减变动</w:t>
            </w:r>
          </w:p>
        </w:tc>
        <w:tc>
          <w:tcPr>
            <w:tcW w:w="14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75A287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期末余额（账面价值）</w:t>
            </w:r>
          </w:p>
        </w:tc>
        <w:tc>
          <w:tcPr>
            <w:tcW w:w="127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8CE803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减值准备期末余额</w:t>
            </w:r>
          </w:p>
        </w:tc>
      </w:tr>
      <w:tr w:rsidR="006C011D" w:rsidRPr="005A284F" w14:paraId="680C5AB5" w14:textId="77777777" w:rsidTr="00AC3E7A">
        <w:trPr>
          <w:trHeight w:val="240"/>
          <w:jc w:val="center"/>
        </w:trPr>
        <w:tc>
          <w:tcPr>
            <w:tcW w:w="99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D7BCECA" w14:textId="77777777" w:rsidR="006C011D" w:rsidRPr="005A284F" w:rsidRDefault="006C011D">
            <w:pPr>
              <w:rPr>
                <w:rFonts w:ascii="Times New Roman" w:eastAsia="宋体" w:hAnsi="Times New Roman" w:cs="Times New Roman"/>
              </w:rPr>
            </w:pPr>
          </w:p>
        </w:tc>
        <w:tc>
          <w:tcPr>
            <w:tcW w:w="141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1B8F034" w14:textId="77777777" w:rsidR="006C011D" w:rsidRPr="005A284F" w:rsidRDefault="006C011D">
            <w:pPr>
              <w:rPr>
                <w:rFonts w:ascii="Times New Roman" w:eastAsia="宋体" w:hAnsi="Times New Roman" w:cs="Times New Roman"/>
              </w:rPr>
            </w:pPr>
          </w:p>
        </w:tc>
        <w:tc>
          <w:tcPr>
            <w:tcW w:w="1418" w:type="dxa"/>
            <w:vMerge/>
            <w:tcBorders>
              <w:top w:val="single" w:sz="2" w:space="0" w:color="auto"/>
              <w:left w:val="single" w:sz="2" w:space="0" w:color="auto"/>
              <w:bottom w:val="single" w:sz="2" w:space="0" w:color="auto"/>
              <w:right w:val="single" w:sz="2" w:space="0" w:color="auto"/>
            </w:tcBorders>
            <w:vAlign w:val="center"/>
          </w:tcPr>
          <w:p w14:paraId="4EE3C60B" w14:textId="77777777" w:rsidR="006C011D" w:rsidRPr="005A284F" w:rsidRDefault="006C011D">
            <w:pPr>
              <w:rPr>
                <w:rFonts w:ascii="Times New Roman" w:eastAsia="宋体" w:hAnsi="Times New Roman" w:cs="Times New Roman"/>
              </w:rPr>
            </w:pPr>
          </w:p>
        </w:tc>
        <w:tc>
          <w:tcPr>
            <w:tcW w:w="1170" w:type="dxa"/>
            <w:tcBorders>
              <w:top w:val="single" w:sz="2" w:space="0" w:color="auto"/>
              <w:left w:val="single" w:sz="2" w:space="0" w:color="auto"/>
              <w:bottom w:val="single" w:sz="2" w:space="0" w:color="auto"/>
              <w:right w:val="single" w:sz="2" w:space="0" w:color="auto"/>
            </w:tcBorders>
            <w:shd w:val="clear" w:color="auto" w:fill="D3D3D3"/>
            <w:vAlign w:val="center"/>
          </w:tcPr>
          <w:p w14:paraId="133174F5"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追加投资</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6B60902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减少投资</w:t>
            </w:r>
          </w:p>
        </w:tc>
        <w:tc>
          <w:tcPr>
            <w:tcW w:w="719" w:type="dxa"/>
            <w:tcBorders>
              <w:top w:val="single" w:sz="2" w:space="0" w:color="auto"/>
              <w:left w:val="single" w:sz="2" w:space="0" w:color="auto"/>
              <w:bottom w:val="single" w:sz="2" w:space="0" w:color="auto"/>
              <w:right w:val="single" w:sz="2" w:space="0" w:color="auto"/>
            </w:tcBorders>
            <w:shd w:val="clear" w:color="auto" w:fill="D3D3D3"/>
            <w:vAlign w:val="center"/>
          </w:tcPr>
          <w:p w14:paraId="7286138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计提减值准备</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CA7540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c>
          <w:tcPr>
            <w:tcW w:w="14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A500089" w14:textId="77777777" w:rsidR="006C011D" w:rsidRPr="005A284F" w:rsidRDefault="006C011D">
            <w:pPr>
              <w:rPr>
                <w:rFonts w:ascii="Times New Roman" w:eastAsia="宋体" w:hAnsi="Times New Roman" w:cs="Times New Roman"/>
              </w:rPr>
            </w:pPr>
          </w:p>
        </w:tc>
        <w:tc>
          <w:tcPr>
            <w:tcW w:w="127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A31801B" w14:textId="77777777" w:rsidR="006C011D" w:rsidRPr="005A284F" w:rsidRDefault="006C011D">
            <w:pPr>
              <w:rPr>
                <w:rFonts w:ascii="Times New Roman" w:eastAsia="宋体" w:hAnsi="Times New Roman" w:cs="Times New Roman"/>
              </w:rPr>
            </w:pPr>
          </w:p>
        </w:tc>
      </w:tr>
      <w:tr w:rsidR="006C011D" w:rsidRPr="005A284F" w14:paraId="777CCB06" w14:textId="77777777" w:rsidTr="00AC3E7A">
        <w:trPr>
          <w:trHeight w:val="240"/>
          <w:jc w:val="center"/>
        </w:trPr>
        <w:tc>
          <w:tcPr>
            <w:tcW w:w="993" w:type="dxa"/>
            <w:tcBorders>
              <w:top w:val="single" w:sz="2" w:space="0" w:color="auto"/>
              <w:left w:val="single" w:sz="2" w:space="0" w:color="auto"/>
              <w:bottom w:val="single" w:sz="2" w:space="0" w:color="auto"/>
              <w:right w:val="single" w:sz="2" w:space="0" w:color="auto"/>
            </w:tcBorders>
            <w:vAlign w:val="center"/>
          </w:tcPr>
          <w:p w14:paraId="3D00B5D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河南龙大牧原肉食品有限公司</w:t>
            </w:r>
          </w:p>
        </w:tc>
        <w:tc>
          <w:tcPr>
            <w:tcW w:w="1417" w:type="dxa"/>
            <w:tcBorders>
              <w:top w:val="single" w:sz="2" w:space="0" w:color="auto"/>
              <w:left w:val="single" w:sz="2" w:space="0" w:color="auto"/>
              <w:bottom w:val="single" w:sz="2" w:space="0" w:color="auto"/>
              <w:right w:val="single" w:sz="2" w:space="0" w:color="auto"/>
            </w:tcBorders>
            <w:vAlign w:val="center"/>
          </w:tcPr>
          <w:p w14:paraId="5F4D862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90,000,000.00</w:t>
            </w:r>
          </w:p>
        </w:tc>
        <w:tc>
          <w:tcPr>
            <w:tcW w:w="1418" w:type="dxa"/>
            <w:tcBorders>
              <w:top w:val="single" w:sz="2" w:space="0" w:color="auto"/>
              <w:left w:val="single" w:sz="2" w:space="0" w:color="auto"/>
              <w:bottom w:val="single" w:sz="2" w:space="0" w:color="auto"/>
              <w:right w:val="single" w:sz="2" w:space="0" w:color="auto"/>
            </w:tcBorders>
            <w:vAlign w:val="center"/>
          </w:tcPr>
          <w:p w14:paraId="3C212A3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14:paraId="5F5E415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DFDCF5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19" w:type="dxa"/>
            <w:tcBorders>
              <w:top w:val="single" w:sz="2" w:space="0" w:color="auto"/>
              <w:left w:val="single" w:sz="2" w:space="0" w:color="auto"/>
              <w:bottom w:val="single" w:sz="2" w:space="0" w:color="auto"/>
              <w:right w:val="single" w:sz="2" w:space="0" w:color="auto"/>
            </w:tcBorders>
            <w:vAlign w:val="center"/>
          </w:tcPr>
          <w:p w14:paraId="4D083EE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0621F4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34" w:type="dxa"/>
            <w:tcBorders>
              <w:top w:val="single" w:sz="2" w:space="0" w:color="auto"/>
              <w:left w:val="single" w:sz="2" w:space="0" w:color="auto"/>
              <w:bottom w:val="single" w:sz="2" w:space="0" w:color="auto"/>
              <w:right w:val="single" w:sz="2" w:space="0" w:color="auto"/>
            </w:tcBorders>
            <w:vAlign w:val="center"/>
          </w:tcPr>
          <w:p w14:paraId="5F55B35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90,000,000.00</w:t>
            </w:r>
          </w:p>
        </w:tc>
        <w:tc>
          <w:tcPr>
            <w:tcW w:w="1275" w:type="dxa"/>
            <w:tcBorders>
              <w:top w:val="single" w:sz="2" w:space="0" w:color="auto"/>
              <w:left w:val="single" w:sz="2" w:space="0" w:color="auto"/>
              <w:bottom w:val="single" w:sz="2" w:space="0" w:color="auto"/>
              <w:right w:val="single" w:sz="2" w:space="0" w:color="auto"/>
            </w:tcBorders>
            <w:vAlign w:val="center"/>
          </w:tcPr>
          <w:p w14:paraId="75CDE951"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1C10F496" w14:textId="77777777" w:rsidTr="00AC3E7A">
        <w:trPr>
          <w:trHeight w:val="240"/>
          <w:jc w:val="center"/>
        </w:trPr>
        <w:tc>
          <w:tcPr>
            <w:tcW w:w="993" w:type="dxa"/>
            <w:tcBorders>
              <w:top w:val="single" w:sz="2" w:space="0" w:color="auto"/>
              <w:left w:val="single" w:sz="2" w:space="0" w:color="auto"/>
              <w:bottom w:val="single" w:sz="2" w:space="0" w:color="auto"/>
              <w:right w:val="single" w:sz="2" w:space="0" w:color="auto"/>
            </w:tcBorders>
            <w:vAlign w:val="center"/>
          </w:tcPr>
          <w:p w14:paraId="0985961A"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聊城龙大肉食品有限公司</w:t>
            </w:r>
          </w:p>
        </w:tc>
        <w:tc>
          <w:tcPr>
            <w:tcW w:w="1417" w:type="dxa"/>
            <w:tcBorders>
              <w:top w:val="single" w:sz="2" w:space="0" w:color="auto"/>
              <w:left w:val="single" w:sz="2" w:space="0" w:color="auto"/>
              <w:bottom w:val="single" w:sz="2" w:space="0" w:color="auto"/>
              <w:right w:val="single" w:sz="2" w:space="0" w:color="auto"/>
            </w:tcBorders>
            <w:vAlign w:val="center"/>
          </w:tcPr>
          <w:p w14:paraId="64DC0CB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50,344,000.00</w:t>
            </w:r>
          </w:p>
        </w:tc>
        <w:tc>
          <w:tcPr>
            <w:tcW w:w="1418" w:type="dxa"/>
            <w:tcBorders>
              <w:top w:val="single" w:sz="2" w:space="0" w:color="auto"/>
              <w:left w:val="single" w:sz="2" w:space="0" w:color="auto"/>
              <w:bottom w:val="single" w:sz="2" w:space="0" w:color="auto"/>
              <w:right w:val="single" w:sz="2" w:space="0" w:color="auto"/>
            </w:tcBorders>
            <w:vAlign w:val="center"/>
          </w:tcPr>
          <w:p w14:paraId="68E13EF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14:paraId="243A870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45B72A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19" w:type="dxa"/>
            <w:tcBorders>
              <w:top w:val="single" w:sz="2" w:space="0" w:color="auto"/>
              <w:left w:val="single" w:sz="2" w:space="0" w:color="auto"/>
              <w:bottom w:val="single" w:sz="2" w:space="0" w:color="auto"/>
              <w:right w:val="single" w:sz="2" w:space="0" w:color="auto"/>
            </w:tcBorders>
            <w:vAlign w:val="center"/>
          </w:tcPr>
          <w:p w14:paraId="73498F2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806F24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34" w:type="dxa"/>
            <w:tcBorders>
              <w:top w:val="single" w:sz="2" w:space="0" w:color="auto"/>
              <w:left w:val="single" w:sz="2" w:space="0" w:color="auto"/>
              <w:bottom w:val="single" w:sz="2" w:space="0" w:color="auto"/>
              <w:right w:val="single" w:sz="2" w:space="0" w:color="auto"/>
            </w:tcBorders>
            <w:vAlign w:val="center"/>
          </w:tcPr>
          <w:p w14:paraId="6D89D03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50,344,000.00</w:t>
            </w:r>
          </w:p>
        </w:tc>
        <w:tc>
          <w:tcPr>
            <w:tcW w:w="1275" w:type="dxa"/>
            <w:tcBorders>
              <w:top w:val="single" w:sz="2" w:space="0" w:color="auto"/>
              <w:left w:val="single" w:sz="2" w:space="0" w:color="auto"/>
              <w:bottom w:val="single" w:sz="2" w:space="0" w:color="auto"/>
              <w:right w:val="single" w:sz="2" w:space="0" w:color="auto"/>
            </w:tcBorders>
            <w:vAlign w:val="center"/>
          </w:tcPr>
          <w:p w14:paraId="5B064EFC"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319BA78B" w14:textId="77777777" w:rsidTr="00AC3E7A">
        <w:trPr>
          <w:trHeight w:val="596"/>
          <w:jc w:val="center"/>
        </w:trPr>
        <w:tc>
          <w:tcPr>
            <w:tcW w:w="993" w:type="dxa"/>
            <w:tcBorders>
              <w:top w:val="single" w:sz="2" w:space="0" w:color="auto"/>
              <w:left w:val="single" w:sz="2" w:space="0" w:color="auto"/>
              <w:bottom w:val="single" w:sz="2" w:space="0" w:color="auto"/>
              <w:right w:val="single" w:sz="2" w:space="0" w:color="auto"/>
            </w:tcBorders>
            <w:vAlign w:val="center"/>
          </w:tcPr>
          <w:p w14:paraId="5183EC9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烟台龙大养殖有限公司</w:t>
            </w:r>
          </w:p>
        </w:tc>
        <w:tc>
          <w:tcPr>
            <w:tcW w:w="1417" w:type="dxa"/>
            <w:tcBorders>
              <w:top w:val="single" w:sz="2" w:space="0" w:color="auto"/>
              <w:left w:val="single" w:sz="2" w:space="0" w:color="auto"/>
              <w:bottom w:val="single" w:sz="2" w:space="0" w:color="auto"/>
              <w:right w:val="single" w:sz="2" w:space="0" w:color="auto"/>
            </w:tcBorders>
            <w:vAlign w:val="center"/>
          </w:tcPr>
          <w:p w14:paraId="4D175AD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487,592,475.50</w:t>
            </w:r>
          </w:p>
        </w:tc>
        <w:tc>
          <w:tcPr>
            <w:tcW w:w="1418" w:type="dxa"/>
            <w:tcBorders>
              <w:top w:val="single" w:sz="2" w:space="0" w:color="auto"/>
              <w:left w:val="single" w:sz="2" w:space="0" w:color="auto"/>
              <w:bottom w:val="single" w:sz="2" w:space="0" w:color="auto"/>
              <w:right w:val="single" w:sz="2" w:space="0" w:color="auto"/>
            </w:tcBorders>
            <w:vAlign w:val="center"/>
          </w:tcPr>
          <w:p w14:paraId="140557C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14:paraId="2C054D6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2782A2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19" w:type="dxa"/>
            <w:tcBorders>
              <w:top w:val="single" w:sz="2" w:space="0" w:color="auto"/>
              <w:left w:val="single" w:sz="2" w:space="0" w:color="auto"/>
              <w:bottom w:val="single" w:sz="2" w:space="0" w:color="auto"/>
              <w:right w:val="single" w:sz="2" w:space="0" w:color="auto"/>
            </w:tcBorders>
            <w:vAlign w:val="center"/>
          </w:tcPr>
          <w:p w14:paraId="36F63F6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FEA804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34" w:type="dxa"/>
            <w:tcBorders>
              <w:top w:val="single" w:sz="2" w:space="0" w:color="auto"/>
              <w:left w:val="single" w:sz="2" w:space="0" w:color="auto"/>
              <w:bottom w:val="single" w:sz="2" w:space="0" w:color="auto"/>
              <w:right w:val="single" w:sz="2" w:space="0" w:color="auto"/>
            </w:tcBorders>
            <w:vAlign w:val="center"/>
          </w:tcPr>
          <w:p w14:paraId="0248BA7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487,592,475.50</w:t>
            </w:r>
          </w:p>
        </w:tc>
        <w:tc>
          <w:tcPr>
            <w:tcW w:w="1275" w:type="dxa"/>
            <w:tcBorders>
              <w:top w:val="single" w:sz="2" w:space="0" w:color="auto"/>
              <w:left w:val="single" w:sz="2" w:space="0" w:color="auto"/>
              <w:bottom w:val="single" w:sz="2" w:space="0" w:color="auto"/>
              <w:right w:val="single" w:sz="2" w:space="0" w:color="auto"/>
            </w:tcBorders>
            <w:vAlign w:val="center"/>
          </w:tcPr>
          <w:p w14:paraId="3B25BB9F"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300D40EF" w14:textId="77777777" w:rsidTr="00AC3E7A">
        <w:trPr>
          <w:trHeight w:val="828"/>
          <w:jc w:val="center"/>
        </w:trPr>
        <w:tc>
          <w:tcPr>
            <w:tcW w:w="993" w:type="dxa"/>
            <w:tcBorders>
              <w:top w:val="single" w:sz="2" w:space="0" w:color="auto"/>
              <w:left w:val="single" w:sz="2" w:space="0" w:color="auto"/>
              <w:bottom w:val="single" w:sz="2" w:space="0" w:color="auto"/>
              <w:right w:val="single" w:sz="2" w:space="0" w:color="auto"/>
            </w:tcBorders>
            <w:vAlign w:val="center"/>
          </w:tcPr>
          <w:p w14:paraId="3B7755B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蓬莱富龙肉食品有限公司</w:t>
            </w:r>
          </w:p>
        </w:tc>
        <w:tc>
          <w:tcPr>
            <w:tcW w:w="1417" w:type="dxa"/>
            <w:tcBorders>
              <w:top w:val="single" w:sz="2" w:space="0" w:color="auto"/>
              <w:left w:val="single" w:sz="2" w:space="0" w:color="auto"/>
              <w:bottom w:val="single" w:sz="2" w:space="0" w:color="auto"/>
              <w:right w:val="single" w:sz="2" w:space="0" w:color="auto"/>
            </w:tcBorders>
            <w:vAlign w:val="center"/>
          </w:tcPr>
          <w:p w14:paraId="6C21101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8,000,000.00</w:t>
            </w:r>
          </w:p>
        </w:tc>
        <w:tc>
          <w:tcPr>
            <w:tcW w:w="1418" w:type="dxa"/>
            <w:tcBorders>
              <w:top w:val="single" w:sz="2" w:space="0" w:color="auto"/>
              <w:left w:val="single" w:sz="2" w:space="0" w:color="auto"/>
              <w:bottom w:val="single" w:sz="2" w:space="0" w:color="auto"/>
              <w:right w:val="single" w:sz="2" w:space="0" w:color="auto"/>
            </w:tcBorders>
            <w:vAlign w:val="center"/>
          </w:tcPr>
          <w:p w14:paraId="4B7454A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14:paraId="48E0209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5950561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19" w:type="dxa"/>
            <w:tcBorders>
              <w:top w:val="single" w:sz="2" w:space="0" w:color="auto"/>
              <w:left w:val="single" w:sz="2" w:space="0" w:color="auto"/>
              <w:bottom w:val="single" w:sz="2" w:space="0" w:color="auto"/>
              <w:right w:val="single" w:sz="2" w:space="0" w:color="auto"/>
            </w:tcBorders>
            <w:vAlign w:val="center"/>
          </w:tcPr>
          <w:p w14:paraId="7A02B00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426EA6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34" w:type="dxa"/>
            <w:tcBorders>
              <w:top w:val="single" w:sz="2" w:space="0" w:color="auto"/>
              <w:left w:val="single" w:sz="2" w:space="0" w:color="auto"/>
              <w:bottom w:val="single" w:sz="2" w:space="0" w:color="auto"/>
              <w:right w:val="single" w:sz="2" w:space="0" w:color="auto"/>
            </w:tcBorders>
            <w:vAlign w:val="center"/>
          </w:tcPr>
          <w:p w14:paraId="73FC76A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8,000,000.00</w:t>
            </w:r>
          </w:p>
        </w:tc>
        <w:tc>
          <w:tcPr>
            <w:tcW w:w="1275" w:type="dxa"/>
            <w:tcBorders>
              <w:top w:val="single" w:sz="2" w:space="0" w:color="auto"/>
              <w:left w:val="single" w:sz="2" w:space="0" w:color="auto"/>
              <w:bottom w:val="single" w:sz="2" w:space="0" w:color="auto"/>
              <w:right w:val="single" w:sz="2" w:space="0" w:color="auto"/>
            </w:tcBorders>
            <w:vAlign w:val="center"/>
          </w:tcPr>
          <w:p w14:paraId="37616FDD"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581F3220" w14:textId="77777777" w:rsidTr="00AC3E7A">
        <w:trPr>
          <w:trHeight w:val="704"/>
          <w:jc w:val="center"/>
        </w:trPr>
        <w:tc>
          <w:tcPr>
            <w:tcW w:w="993" w:type="dxa"/>
            <w:tcBorders>
              <w:top w:val="single" w:sz="2" w:space="0" w:color="auto"/>
              <w:left w:val="single" w:sz="2" w:space="0" w:color="auto"/>
              <w:bottom w:val="single" w:sz="2" w:space="0" w:color="auto"/>
              <w:right w:val="single" w:sz="2" w:space="0" w:color="auto"/>
            </w:tcBorders>
            <w:vAlign w:val="center"/>
          </w:tcPr>
          <w:p w14:paraId="0780EDE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潍坊振祥食品有限公司</w:t>
            </w:r>
          </w:p>
        </w:tc>
        <w:tc>
          <w:tcPr>
            <w:tcW w:w="1417" w:type="dxa"/>
            <w:tcBorders>
              <w:top w:val="single" w:sz="2" w:space="0" w:color="auto"/>
              <w:left w:val="single" w:sz="2" w:space="0" w:color="auto"/>
              <w:bottom w:val="single" w:sz="2" w:space="0" w:color="auto"/>
              <w:right w:val="single" w:sz="2" w:space="0" w:color="auto"/>
            </w:tcBorders>
            <w:vAlign w:val="center"/>
          </w:tcPr>
          <w:p w14:paraId="7832E7DE"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121,690,300.00</w:t>
            </w:r>
          </w:p>
        </w:tc>
        <w:tc>
          <w:tcPr>
            <w:tcW w:w="1418" w:type="dxa"/>
            <w:tcBorders>
              <w:top w:val="single" w:sz="2" w:space="0" w:color="auto"/>
              <w:left w:val="single" w:sz="2" w:space="0" w:color="auto"/>
              <w:bottom w:val="single" w:sz="2" w:space="0" w:color="auto"/>
              <w:right w:val="single" w:sz="2" w:space="0" w:color="auto"/>
            </w:tcBorders>
            <w:vAlign w:val="center"/>
          </w:tcPr>
          <w:p w14:paraId="53F617A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14:paraId="22F619A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5642765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19" w:type="dxa"/>
            <w:tcBorders>
              <w:top w:val="single" w:sz="2" w:space="0" w:color="auto"/>
              <w:left w:val="single" w:sz="2" w:space="0" w:color="auto"/>
              <w:bottom w:val="single" w:sz="2" w:space="0" w:color="auto"/>
              <w:right w:val="single" w:sz="2" w:space="0" w:color="auto"/>
            </w:tcBorders>
            <w:vAlign w:val="center"/>
          </w:tcPr>
          <w:p w14:paraId="4EC3495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4E2597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34" w:type="dxa"/>
            <w:tcBorders>
              <w:top w:val="single" w:sz="2" w:space="0" w:color="auto"/>
              <w:left w:val="single" w:sz="2" w:space="0" w:color="auto"/>
              <w:bottom w:val="single" w:sz="2" w:space="0" w:color="auto"/>
              <w:right w:val="single" w:sz="2" w:space="0" w:color="auto"/>
            </w:tcBorders>
            <w:vAlign w:val="center"/>
          </w:tcPr>
          <w:p w14:paraId="6A8FEF0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121,690,300.00</w:t>
            </w:r>
          </w:p>
        </w:tc>
        <w:tc>
          <w:tcPr>
            <w:tcW w:w="1275" w:type="dxa"/>
            <w:tcBorders>
              <w:top w:val="single" w:sz="2" w:space="0" w:color="auto"/>
              <w:left w:val="single" w:sz="2" w:space="0" w:color="auto"/>
              <w:bottom w:val="single" w:sz="2" w:space="0" w:color="auto"/>
              <w:right w:val="single" w:sz="2" w:space="0" w:color="auto"/>
            </w:tcBorders>
            <w:vAlign w:val="center"/>
          </w:tcPr>
          <w:p w14:paraId="2ED262A5"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2244143A" w14:textId="77777777" w:rsidTr="00AC3E7A">
        <w:trPr>
          <w:trHeight w:val="700"/>
          <w:jc w:val="center"/>
        </w:trPr>
        <w:tc>
          <w:tcPr>
            <w:tcW w:w="993" w:type="dxa"/>
            <w:tcBorders>
              <w:top w:val="single" w:sz="2" w:space="0" w:color="auto"/>
              <w:left w:val="single" w:sz="2" w:space="0" w:color="auto"/>
              <w:bottom w:val="single" w:sz="2" w:space="0" w:color="auto"/>
              <w:right w:val="single" w:sz="2" w:space="0" w:color="auto"/>
            </w:tcBorders>
            <w:vAlign w:val="center"/>
          </w:tcPr>
          <w:p w14:paraId="3FD2DBD4"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莱阳龙瑞食品有限公司</w:t>
            </w:r>
          </w:p>
        </w:tc>
        <w:tc>
          <w:tcPr>
            <w:tcW w:w="1417" w:type="dxa"/>
            <w:tcBorders>
              <w:top w:val="single" w:sz="2" w:space="0" w:color="auto"/>
              <w:left w:val="single" w:sz="2" w:space="0" w:color="auto"/>
              <w:bottom w:val="single" w:sz="2" w:space="0" w:color="auto"/>
              <w:right w:val="single" w:sz="2" w:space="0" w:color="auto"/>
            </w:tcBorders>
            <w:vAlign w:val="center"/>
          </w:tcPr>
          <w:p w14:paraId="1748249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20,000,000.00</w:t>
            </w:r>
          </w:p>
        </w:tc>
        <w:tc>
          <w:tcPr>
            <w:tcW w:w="1418" w:type="dxa"/>
            <w:tcBorders>
              <w:top w:val="single" w:sz="2" w:space="0" w:color="auto"/>
              <w:left w:val="single" w:sz="2" w:space="0" w:color="auto"/>
              <w:bottom w:val="single" w:sz="2" w:space="0" w:color="auto"/>
              <w:right w:val="single" w:sz="2" w:space="0" w:color="auto"/>
            </w:tcBorders>
            <w:vAlign w:val="center"/>
          </w:tcPr>
          <w:p w14:paraId="45AF8C4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14:paraId="7AA4F26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24F35FB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19" w:type="dxa"/>
            <w:tcBorders>
              <w:top w:val="single" w:sz="2" w:space="0" w:color="auto"/>
              <w:left w:val="single" w:sz="2" w:space="0" w:color="auto"/>
              <w:bottom w:val="single" w:sz="2" w:space="0" w:color="auto"/>
              <w:right w:val="single" w:sz="2" w:space="0" w:color="auto"/>
            </w:tcBorders>
            <w:vAlign w:val="center"/>
          </w:tcPr>
          <w:p w14:paraId="27AC89B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12CD45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34" w:type="dxa"/>
            <w:tcBorders>
              <w:top w:val="single" w:sz="2" w:space="0" w:color="auto"/>
              <w:left w:val="single" w:sz="2" w:space="0" w:color="auto"/>
              <w:bottom w:val="single" w:sz="2" w:space="0" w:color="auto"/>
              <w:right w:val="single" w:sz="2" w:space="0" w:color="auto"/>
            </w:tcBorders>
            <w:vAlign w:val="center"/>
          </w:tcPr>
          <w:p w14:paraId="4FDB5F7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20,000,000.00</w:t>
            </w:r>
          </w:p>
        </w:tc>
        <w:tc>
          <w:tcPr>
            <w:tcW w:w="1275" w:type="dxa"/>
            <w:tcBorders>
              <w:top w:val="single" w:sz="2" w:space="0" w:color="auto"/>
              <w:left w:val="single" w:sz="2" w:space="0" w:color="auto"/>
              <w:bottom w:val="single" w:sz="2" w:space="0" w:color="auto"/>
              <w:right w:val="single" w:sz="2" w:space="0" w:color="auto"/>
            </w:tcBorders>
            <w:vAlign w:val="center"/>
          </w:tcPr>
          <w:p w14:paraId="2DEAC2E8"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1273681B" w14:textId="77777777" w:rsidTr="00AC3E7A">
        <w:trPr>
          <w:trHeight w:val="240"/>
          <w:jc w:val="center"/>
        </w:trPr>
        <w:tc>
          <w:tcPr>
            <w:tcW w:w="993" w:type="dxa"/>
            <w:tcBorders>
              <w:top w:val="single" w:sz="2" w:space="0" w:color="auto"/>
              <w:left w:val="single" w:sz="2" w:space="0" w:color="auto"/>
              <w:bottom w:val="single" w:sz="2" w:space="0" w:color="auto"/>
              <w:right w:val="single" w:sz="2" w:space="0" w:color="auto"/>
            </w:tcBorders>
            <w:vAlign w:val="center"/>
          </w:tcPr>
          <w:p w14:paraId="28C8B5A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青岛中和盛杰食品有限公司</w:t>
            </w:r>
          </w:p>
        </w:tc>
        <w:tc>
          <w:tcPr>
            <w:tcW w:w="1417" w:type="dxa"/>
            <w:tcBorders>
              <w:top w:val="single" w:sz="2" w:space="0" w:color="auto"/>
              <w:left w:val="single" w:sz="2" w:space="0" w:color="auto"/>
              <w:bottom w:val="single" w:sz="2" w:space="0" w:color="auto"/>
              <w:right w:val="single" w:sz="2" w:space="0" w:color="auto"/>
            </w:tcBorders>
            <w:vAlign w:val="center"/>
          </w:tcPr>
          <w:p w14:paraId="36EDDDE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5E66A1A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10,200,000.00</w:t>
            </w:r>
          </w:p>
        </w:tc>
        <w:tc>
          <w:tcPr>
            <w:tcW w:w="1170" w:type="dxa"/>
            <w:tcBorders>
              <w:top w:val="single" w:sz="2" w:space="0" w:color="auto"/>
              <w:left w:val="single" w:sz="2" w:space="0" w:color="auto"/>
              <w:bottom w:val="single" w:sz="2" w:space="0" w:color="auto"/>
              <w:right w:val="single" w:sz="2" w:space="0" w:color="auto"/>
            </w:tcBorders>
            <w:vAlign w:val="center"/>
          </w:tcPr>
          <w:p w14:paraId="2254B9D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2769769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19" w:type="dxa"/>
            <w:tcBorders>
              <w:top w:val="single" w:sz="2" w:space="0" w:color="auto"/>
              <w:left w:val="single" w:sz="2" w:space="0" w:color="auto"/>
              <w:bottom w:val="single" w:sz="2" w:space="0" w:color="auto"/>
              <w:right w:val="single" w:sz="2" w:space="0" w:color="auto"/>
            </w:tcBorders>
            <w:vAlign w:val="center"/>
          </w:tcPr>
          <w:p w14:paraId="13F68B3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44898F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34" w:type="dxa"/>
            <w:tcBorders>
              <w:top w:val="single" w:sz="2" w:space="0" w:color="auto"/>
              <w:left w:val="single" w:sz="2" w:space="0" w:color="auto"/>
              <w:bottom w:val="single" w:sz="2" w:space="0" w:color="auto"/>
              <w:right w:val="single" w:sz="2" w:space="0" w:color="auto"/>
            </w:tcBorders>
            <w:vAlign w:val="center"/>
          </w:tcPr>
          <w:p w14:paraId="20206A7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169FFB2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10,200,000.00</w:t>
            </w:r>
          </w:p>
        </w:tc>
      </w:tr>
      <w:tr w:rsidR="006C011D" w:rsidRPr="005A284F" w14:paraId="172A58BC" w14:textId="77777777" w:rsidTr="00AC3E7A">
        <w:trPr>
          <w:trHeight w:val="240"/>
          <w:jc w:val="center"/>
        </w:trPr>
        <w:tc>
          <w:tcPr>
            <w:tcW w:w="993" w:type="dxa"/>
            <w:tcBorders>
              <w:top w:val="single" w:sz="2" w:space="0" w:color="auto"/>
              <w:left w:val="single" w:sz="2" w:space="0" w:color="auto"/>
              <w:bottom w:val="single" w:sz="2" w:space="0" w:color="auto"/>
              <w:right w:val="single" w:sz="2" w:space="0" w:color="auto"/>
            </w:tcBorders>
            <w:vAlign w:val="center"/>
          </w:tcPr>
          <w:p w14:paraId="706D923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烟台杰科检测服务有限公司</w:t>
            </w:r>
          </w:p>
        </w:tc>
        <w:tc>
          <w:tcPr>
            <w:tcW w:w="1417" w:type="dxa"/>
            <w:tcBorders>
              <w:top w:val="single" w:sz="2" w:space="0" w:color="auto"/>
              <w:left w:val="single" w:sz="2" w:space="0" w:color="auto"/>
              <w:bottom w:val="single" w:sz="2" w:space="0" w:color="auto"/>
              <w:right w:val="single" w:sz="2" w:space="0" w:color="auto"/>
            </w:tcBorders>
            <w:vAlign w:val="center"/>
          </w:tcPr>
          <w:p w14:paraId="368F7A5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6,263,038.91</w:t>
            </w:r>
          </w:p>
        </w:tc>
        <w:tc>
          <w:tcPr>
            <w:tcW w:w="1418" w:type="dxa"/>
            <w:tcBorders>
              <w:top w:val="single" w:sz="2" w:space="0" w:color="auto"/>
              <w:left w:val="single" w:sz="2" w:space="0" w:color="auto"/>
              <w:bottom w:val="single" w:sz="2" w:space="0" w:color="auto"/>
              <w:right w:val="single" w:sz="2" w:space="0" w:color="auto"/>
            </w:tcBorders>
            <w:vAlign w:val="center"/>
          </w:tcPr>
          <w:p w14:paraId="39540E3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14:paraId="68B2A5A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2888F42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19" w:type="dxa"/>
            <w:tcBorders>
              <w:top w:val="single" w:sz="2" w:space="0" w:color="auto"/>
              <w:left w:val="single" w:sz="2" w:space="0" w:color="auto"/>
              <w:bottom w:val="single" w:sz="2" w:space="0" w:color="auto"/>
              <w:right w:val="single" w:sz="2" w:space="0" w:color="auto"/>
            </w:tcBorders>
            <w:vAlign w:val="center"/>
          </w:tcPr>
          <w:p w14:paraId="290BF7E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B3324E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34" w:type="dxa"/>
            <w:tcBorders>
              <w:top w:val="single" w:sz="2" w:space="0" w:color="auto"/>
              <w:left w:val="single" w:sz="2" w:space="0" w:color="auto"/>
              <w:bottom w:val="single" w:sz="2" w:space="0" w:color="auto"/>
              <w:right w:val="single" w:sz="2" w:space="0" w:color="auto"/>
            </w:tcBorders>
            <w:vAlign w:val="center"/>
          </w:tcPr>
          <w:p w14:paraId="041C6C2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6,263,038.91</w:t>
            </w:r>
          </w:p>
        </w:tc>
        <w:tc>
          <w:tcPr>
            <w:tcW w:w="1275" w:type="dxa"/>
            <w:tcBorders>
              <w:top w:val="single" w:sz="2" w:space="0" w:color="auto"/>
              <w:left w:val="single" w:sz="2" w:space="0" w:color="auto"/>
              <w:bottom w:val="single" w:sz="2" w:space="0" w:color="auto"/>
              <w:right w:val="single" w:sz="2" w:space="0" w:color="auto"/>
            </w:tcBorders>
            <w:vAlign w:val="center"/>
          </w:tcPr>
          <w:p w14:paraId="516E7FD1"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43CEE31E" w14:textId="77777777" w:rsidTr="00AC3E7A">
        <w:trPr>
          <w:trHeight w:val="240"/>
          <w:jc w:val="center"/>
        </w:trPr>
        <w:tc>
          <w:tcPr>
            <w:tcW w:w="993" w:type="dxa"/>
            <w:tcBorders>
              <w:top w:val="single" w:sz="2" w:space="0" w:color="auto"/>
              <w:left w:val="single" w:sz="2" w:space="0" w:color="auto"/>
              <w:bottom w:val="single" w:sz="2" w:space="0" w:color="auto"/>
              <w:right w:val="single" w:sz="2" w:space="0" w:color="auto"/>
            </w:tcBorders>
            <w:vAlign w:val="center"/>
          </w:tcPr>
          <w:p w14:paraId="4E9AD5A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山东龙大生猪产品工程技术研究有限公司</w:t>
            </w:r>
          </w:p>
        </w:tc>
        <w:tc>
          <w:tcPr>
            <w:tcW w:w="1417" w:type="dxa"/>
            <w:tcBorders>
              <w:top w:val="single" w:sz="2" w:space="0" w:color="auto"/>
              <w:left w:val="single" w:sz="2" w:space="0" w:color="auto"/>
              <w:bottom w:val="single" w:sz="2" w:space="0" w:color="auto"/>
              <w:right w:val="single" w:sz="2" w:space="0" w:color="auto"/>
            </w:tcBorders>
            <w:vAlign w:val="center"/>
          </w:tcPr>
          <w:p w14:paraId="25041C3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15,000,000.00</w:t>
            </w:r>
          </w:p>
        </w:tc>
        <w:tc>
          <w:tcPr>
            <w:tcW w:w="1418" w:type="dxa"/>
            <w:tcBorders>
              <w:top w:val="single" w:sz="2" w:space="0" w:color="auto"/>
              <w:left w:val="single" w:sz="2" w:space="0" w:color="auto"/>
              <w:bottom w:val="single" w:sz="2" w:space="0" w:color="auto"/>
              <w:right w:val="single" w:sz="2" w:space="0" w:color="auto"/>
            </w:tcBorders>
            <w:vAlign w:val="center"/>
          </w:tcPr>
          <w:p w14:paraId="29BB906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14:paraId="1B9F5CC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BB7930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19" w:type="dxa"/>
            <w:tcBorders>
              <w:top w:val="single" w:sz="2" w:space="0" w:color="auto"/>
              <w:left w:val="single" w:sz="2" w:space="0" w:color="auto"/>
              <w:bottom w:val="single" w:sz="2" w:space="0" w:color="auto"/>
              <w:right w:val="single" w:sz="2" w:space="0" w:color="auto"/>
            </w:tcBorders>
            <w:vAlign w:val="center"/>
          </w:tcPr>
          <w:p w14:paraId="5C8FCDE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3DBF64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34" w:type="dxa"/>
            <w:tcBorders>
              <w:top w:val="single" w:sz="2" w:space="0" w:color="auto"/>
              <w:left w:val="single" w:sz="2" w:space="0" w:color="auto"/>
              <w:bottom w:val="single" w:sz="2" w:space="0" w:color="auto"/>
              <w:right w:val="single" w:sz="2" w:space="0" w:color="auto"/>
            </w:tcBorders>
            <w:vAlign w:val="center"/>
          </w:tcPr>
          <w:p w14:paraId="788310C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15,000,000.00</w:t>
            </w:r>
          </w:p>
        </w:tc>
        <w:tc>
          <w:tcPr>
            <w:tcW w:w="1275" w:type="dxa"/>
            <w:tcBorders>
              <w:top w:val="single" w:sz="2" w:space="0" w:color="auto"/>
              <w:left w:val="single" w:sz="2" w:space="0" w:color="auto"/>
              <w:bottom w:val="single" w:sz="2" w:space="0" w:color="auto"/>
              <w:right w:val="single" w:sz="2" w:space="0" w:color="auto"/>
            </w:tcBorders>
            <w:vAlign w:val="center"/>
          </w:tcPr>
          <w:p w14:paraId="5728659C"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356FF8CE" w14:textId="77777777" w:rsidTr="00AC3E7A">
        <w:trPr>
          <w:trHeight w:val="240"/>
          <w:jc w:val="center"/>
        </w:trPr>
        <w:tc>
          <w:tcPr>
            <w:tcW w:w="993" w:type="dxa"/>
            <w:tcBorders>
              <w:top w:val="single" w:sz="2" w:space="0" w:color="auto"/>
              <w:left w:val="single" w:sz="2" w:space="0" w:color="auto"/>
              <w:bottom w:val="single" w:sz="2" w:space="0" w:color="auto"/>
              <w:right w:val="single" w:sz="2" w:space="0" w:color="auto"/>
            </w:tcBorders>
            <w:vAlign w:val="center"/>
          </w:tcPr>
          <w:p w14:paraId="72EBE0B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北京快厨帮科技有限公司</w:t>
            </w:r>
          </w:p>
        </w:tc>
        <w:tc>
          <w:tcPr>
            <w:tcW w:w="1417" w:type="dxa"/>
            <w:tcBorders>
              <w:top w:val="single" w:sz="2" w:space="0" w:color="auto"/>
              <w:left w:val="single" w:sz="2" w:space="0" w:color="auto"/>
              <w:bottom w:val="single" w:sz="2" w:space="0" w:color="auto"/>
              <w:right w:val="single" w:sz="2" w:space="0" w:color="auto"/>
            </w:tcBorders>
            <w:vAlign w:val="center"/>
          </w:tcPr>
          <w:p w14:paraId="5E19D9F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2,668,010.96</w:t>
            </w:r>
          </w:p>
        </w:tc>
        <w:tc>
          <w:tcPr>
            <w:tcW w:w="1418" w:type="dxa"/>
            <w:tcBorders>
              <w:top w:val="single" w:sz="2" w:space="0" w:color="auto"/>
              <w:left w:val="single" w:sz="2" w:space="0" w:color="auto"/>
              <w:bottom w:val="single" w:sz="2" w:space="0" w:color="auto"/>
              <w:right w:val="single" w:sz="2" w:space="0" w:color="auto"/>
            </w:tcBorders>
            <w:vAlign w:val="center"/>
          </w:tcPr>
          <w:p w14:paraId="20CC168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10,331,989.04</w:t>
            </w:r>
          </w:p>
        </w:tc>
        <w:tc>
          <w:tcPr>
            <w:tcW w:w="1170" w:type="dxa"/>
            <w:tcBorders>
              <w:top w:val="single" w:sz="2" w:space="0" w:color="auto"/>
              <w:left w:val="single" w:sz="2" w:space="0" w:color="auto"/>
              <w:bottom w:val="single" w:sz="2" w:space="0" w:color="auto"/>
              <w:right w:val="single" w:sz="2" w:space="0" w:color="auto"/>
            </w:tcBorders>
            <w:vAlign w:val="center"/>
          </w:tcPr>
          <w:p w14:paraId="5088F03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07355A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19" w:type="dxa"/>
            <w:tcBorders>
              <w:top w:val="single" w:sz="2" w:space="0" w:color="auto"/>
              <w:left w:val="single" w:sz="2" w:space="0" w:color="auto"/>
              <w:bottom w:val="single" w:sz="2" w:space="0" w:color="auto"/>
              <w:right w:val="single" w:sz="2" w:space="0" w:color="auto"/>
            </w:tcBorders>
            <w:vAlign w:val="center"/>
          </w:tcPr>
          <w:p w14:paraId="53A9B6F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0DC1C2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34" w:type="dxa"/>
            <w:tcBorders>
              <w:top w:val="single" w:sz="2" w:space="0" w:color="auto"/>
              <w:left w:val="single" w:sz="2" w:space="0" w:color="auto"/>
              <w:bottom w:val="single" w:sz="2" w:space="0" w:color="auto"/>
              <w:right w:val="single" w:sz="2" w:space="0" w:color="auto"/>
            </w:tcBorders>
            <w:vAlign w:val="center"/>
          </w:tcPr>
          <w:p w14:paraId="0730235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2,668,010.96</w:t>
            </w:r>
          </w:p>
        </w:tc>
        <w:tc>
          <w:tcPr>
            <w:tcW w:w="1275" w:type="dxa"/>
            <w:tcBorders>
              <w:top w:val="single" w:sz="2" w:space="0" w:color="auto"/>
              <w:left w:val="single" w:sz="2" w:space="0" w:color="auto"/>
              <w:bottom w:val="single" w:sz="2" w:space="0" w:color="auto"/>
              <w:right w:val="single" w:sz="2" w:space="0" w:color="auto"/>
            </w:tcBorders>
            <w:vAlign w:val="center"/>
          </w:tcPr>
          <w:p w14:paraId="5CC9668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10,331,989.04</w:t>
            </w:r>
          </w:p>
        </w:tc>
      </w:tr>
      <w:tr w:rsidR="006C011D" w:rsidRPr="005A284F" w14:paraId="372AC011" w14:textId="77777777" w:rsidTr="00AC3E7A">
        <w:trPr>
          <w:trHeight w:val="563"/>
          <w:jc w:val="center"/>
        </w:trPr>
        <w:tc>
          <w:tcPr>
            <w:tcW w:w="993" w:type="dxa"/>
            <w:tcBorders>
              <w:top w:val="single" w:sz="2" w:space="0" w:color="auto"/>
              <w:left w:val="single" w:sz="2" w:space="0" w:color="auto"/>
              <w:bottom w:val="single" w:sz="2" w:space="0" w:color="auto"/>
              <w:right w:val="single" w:sz="2" w:space="0" w:color="auto"/>
            </w:tcBorders>
            <w:vAlign w:val="center"/>
          </w:tcPr>
          <w:p w14:paraId="23A8B88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云南福照食品有限公司</w:t>
            </w:r>
          </w:p>
        </w:tc>
        <w:tc>
          <w:tcPr>
            <w:tcW w:w="1417" w:type="dxa"/>
            <w:tcBorders>
              <w:top w:val="single" w:sz="2" w:space="0" w:color="auto"/>
              <w:left w:val="single" w:sz="2" w:space="0" w:color="auto"/>
              <w:bottom w:val="single" w:sz="2" w:space="0" w:color="auto"/>
              <w:right w:val="single" w:sz="2" w:space="0" w:color="auto"/>
            </w:tcBorders>
            <w:vAlign w:val="center"/>
          </w:tcPr>
          <w:p w14:paraId="1ABCB82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54F1ECE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10,200,000.00</w:t>
            </w:r>
          </w:p>
        </w:tc>
        <w:tc>
          <w:tcPr>
            <w:tcW w:w="1170" w:type="dxa"/>
            <w:tcBorders>
              <w:top w:val="single" w:sz="2" w:space="0" w:color="auto"/>
              <w:left w:val="single" w:sz="2" w:space="0" w:color="auto"/>
              <w:bottom w:val="single" w:sz="2" w:space="0" w:color="auto"/>
              <w:right w:val="single" w:sz="2" w:space="0" w:color="auto"/>
            </w:tcBorders>
            <w:vAlign w:val="center"/>
          </w:tcPr>
          <w:p w14:paraId="601A95B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6ED621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19" w:type="dxa"/>
            <w:tcBorders>
              <w:top w:val="single" w:sz="2" w:space="0" w:color="auto"/>
              <w:left w:val="single" w:sz="2" w:space="0" w:color="auto"/>
              <w:bottom w:val="single" w:sz="2" w:space="0" w:color="auto"/>
              <w:right w:val="single" w:sz="2" w:space="0" w:color="auto"/>
            </w:tcBorders>
            <w:vAlign w:val="center"/>
          </w:tcPr>
          <w:p w14:paraId="0BDA094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6A3476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34" w:type="dxa"/>
            <w:tcBorders>
              <w:top w:val="single" w:sz="2" w:space="0" w:color="auto"/>
              <w:left w:val="single" w:sz="2" w:space="0" w:color="auto"/>
              <w:bottom w:val="single" w:sz="2" w:space="0" w:color="auto"/>
              <w:right w:val="single" w:sz="2" w:space="0" w:color="auto"/>
            </w:tcBorders>
            <w:vAlign w:val="center"/>
          </w:tcPr>
          <w:p w14:paraId="00F72D5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2593EE5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10,200,000.00</w:t>
            </w:r>
          </w:p>
        </w:tc>
      </w:tr>
      <w:tr w:rsidR="006C011D" w:rsidRPr="005A284F" w14:paraId="2C0664BF" w14:textId="77777777" w:rsidTr="00AC3E7A">
        <w:trPr>
          <w:trHeight w:val="571"/>
          <w:jc w:val="center"/>
        </w:trPr>
        <w:tc>
          <w:tcPr>
            <w:tcW w:w="993" w:type="dxa"/>
            <w:tcBorders>
              <w:top w:val="single" w:sz="2" w:space="0" w:color="auto"/>
              <w:left w:val="single" w:sz="2" w:space="0" w:color="auto"/>
              <w:bottom w:val="single" w:sz="2" w:space="0" w:color="auto"/>
              <w:right w:val="single" w:sz="2" w:space="0" w:color="auto"/>
            </w:tcBorders>
            <w:vAlign w:val="center"/>
          </w:tcPr>
          <w:p w14:paraId="7E17305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烟台龙大饲料有限公司</w:t>
            </w:r>
          </w:p>
        </w:tc>
        <w:tc>
          <w:tcPr>
            <w:tcW w:w="1417" w:type="dxa"/>
            <w:tcBorders>
              <w:top w:val="single" w:sz="2" w:space="0" w:color="auto"/>
              <w:left w:val="single" w:sz="2" w:space="0" w:color="auto"/>
              <w:bottom w:val="single" w:sz="2" w:space="0" w:color="auto"/>
              <w:right w:val="single" w:sz="2" w:space="0" w:color="auto"/>
            </w:tcBorders>
            <w:vAlign w:val="center"/>
          </w:tcPr>
          <w:p w14:paraId="5AA5776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56,000,000.00</w:t>
            </w:r>
          </w:p>
        </w:tc>
        <w:tc>
          <w:tcPr>
            <w:tcW w:w="1418" w:type="dxa"/>
            <w:tcBorders>
              <w:top w:val="single" w:sz="2" w:space="0" w:color="auto"/>
              <w:left w:val="single" w:sz="2" w:space="0" w:color="auto"/>
              <w:bottom w:val="single" w:sz="2" w:space="0" w:color="auto"/>
              <w:right w:val="single" w:sz="2" w:space="0" w:color="auto"/>
            </w:tcBorders>
            <w:vAlign w:val="center"/>
          </w:tcPr>
          <w:p w14:paraId="18E1AA1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14:paraId="2446223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19C9D1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19" w:type="dxa"/>
            <w:tcBorders>
              <w:top w:val="single" w:sz="2" w:space="0" w:color="auto"/>
              <w:left w:val="single" w:sz="2" w:space="0" w:color="auto"/>
              <w:bottom w:val="single" w:sz="2" w:space="0" w:color="auto"/>
              <w:right w:val="single" w:sz="2" w:space="0" w:color="auto"/>
            </w:tcBorders>
            <w:vAlign w:val="center"/>
          </w:tcPr>
          <w:p w14:paraId="6043126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827041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34" w:type="dxa"/>
            <w:tcBorders>
              <w:top w:val="single" w:sz="2" w:space="0" w:color="auto"/>
              <w:left w:val="single" w:sz="2" w:space="0" w:color="auto"/>
              <w:bottom w:val="single" w:sz="2" w:space="0" w:color="auto"/>
              <w:right w:val="single" w:sz="2" w:space="0" w:color="auto"/>
            </w:tcBorders>
            <w:vAlign w:val="center"/>
          </w:tcPr>
          <w:p w14:paraId="5BD3CE8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56,000,000.00</w:t>
            </w:r>
          </w:p>
        </w:tc>
        <w:tc>
          <w:tcPr>
            <w:tcW w:w="1275" w:type="dxa"/>
            <w:tcBorders>
              <w:top w:val="single" w:sz="2" w:space="0" w:color="auto"/>
              <w:left w:val="single" w:sz="2" w:space="0" w:color="auto"/>
              <w:bottom w:val="single" w:sz="2" w:space="0" w:color="auto"/>
              <w:right w:val="single" w:sz="2" w:space="0" w:color="auto"/>
            </w:tcBorders>
            <w:vAlign w:val="center"/>
          </w:tcPr>
          <w:p w14:paraId="67A7D0E9"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3AB214B7" w14:textId="77777777" w:rsidTr="00AC3E7A">
        <w:trPr>
          <w:trHeight w:val="240"/>
          <w:jc w:val="center"/>
        </w:trPr>
        <w:tc>
          <w:tcPr>
            <w:tcW w:w="993" w:type="dxa"/>
            <w:tcBorders>
              <w:top w:val="single" w:sz="2" w:space="0" w:color="auto"/>
              <w:left w:val="single" w:sz="2" w:space="0" w:color="auto"/>
              <w:bottom w:val="single" w:sz="2" w:space="0" w:color="auto"/>
              <w:right w:val="single" w:sz="2" w:space="0" w:color="auto"/>
            </w:tcBorders>
            <w:vAlign w:val="center"/>
          </w:tcPr>
          <w:p w14:paraId="0C53AEA9"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黑龙江龙大养殖有限公司</w:t>
            </w:r>
          </w:p>
        </w:tc>
        <w:tc>
          <w:tcPr>
            <w:tcW w:w="1417" w:type="dxa"/>
            <w:tcBorders>
              <w:top w:val="single" w:sz="2" w:space="0" w:color="auto"/>
              <w:left w:val="single" w:sz="2" w:space="0" w:color="auto"/>
              <w:bottom w:val="single" w:sz="2" w:space="0" w:color="auto"/>
              <w:right w:val="single" w:sz="2" w:space="0" w:color="auto"/>
            </w:tcBorders>
            <w:vAlign w:val="center"/>
          </w:tcPr>
          <w:p w14:paraId="0160308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1,074,609,221.56</w:t>
            </w:r>
          </w:p>
        </w:tc>
        <w:tc>
          <w:tcPr>
            <w:tcW w:w="1418" w:type="dxa"/>
            <w:tcBorders>
              <w:top w:val="single" w:sz="2" w:space="0" w:color="auto"/>
              <w:left w:val="single" w:sz="2" w:space="0" w:color="auto"/>
              <w:bottom w:val="single" w:sz="2" w:space="0" w:color="auto"/>
              <w:right w:val="single" w:sz="2" w:space="0" w:color="auto"/>
            </w:tcBorders>
            <w:vAlign w:val="center"/>
          </w:tcPr>
          <w:p w14:paraId="6231BE0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14:paraId="2953BB0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0C39FDF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19" w:type="dxa"/>
            <w:tcBorders>
              <w:top w:val="single" w:sz="2" w:space="0" w:color="auto"/>
              <w:left w:val="single" w:sz="2" w:space="0" w:color="auto"/>
              <w:bottom w:val="single" w:sz="2" w:space="0" w:color="auto"/>
              <w:right w:val="single" w:sz="2" w:space="0" w:color="auto"/>
            </w:tcBorders>
            <w:vAlign w:val="center"/>
          </w:tcPr>
          <w:p w14:paraId="27D0B61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CE63D2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34" w:type="dxa"/>
            <w:tcBorders>
              <w:top w:val="single" w:sz="2" w:space="0" w:color="auto"/>
              <w:left w:val="single" w:sz="2" w:space="0" w:color="auto"/>
              <w:bottom w:val="single" w:sz="2" w:space="0" w:color="auto"/>
              <w:right w:val="single" w:sz="2" w:space="0" w:color="auto"/>
            </w:tcBorders>
            <w:vAlign w:val="center"/>
          </w:tcPr>
          <w:p w14:paraId="77C53F8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1,074,609,221.56</w:t>
            </w:r>
          </w:p>
        </w:tc>
        <w:tc>
          <w:tcPr>
            <w:tcW w:w="1275" w:type="dxa"/>
            <w:tcBorders>
              <w:top w:val="single" w:sz="2" w:space="0" w:color="auto"/>
              <w:left w:val="single" w:sz="2" w:space="0" w:color="auto"/>
              <w:bottom w:val="single" w:sz="2" w:space="0" w:color="auto"/>
              <w:right w:val="single" w:sz="2" w:space="0" w:color="auto"/>
            </w:tcBorders>
            <w:vAlign w:val="center"/>
          </w:tcPr>
          <w:p w14:paraId="65243FD7"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35DDE2B3" w14:textId="77777777" w:rsidTr="00AC3E7A">
        <w:trPr>
          <w:trHeight w:val="240"/>
          <w:jc w:val="center"/>
        </w:trPr>
        <w:tc>
          <w:tcPr>
            <w:tcW w:w="993" w:type="dxa"/>
            <w:tcBorders>
              <w:top w:val="single" w:sz="2" w:space="0" w:color="auto"/>
              <w:left w:val="single" w:sz="2" w:space="0" w:color="auto"/>
              <w:bottom w:val="single" w:sz="2" w:space="0" w:color="auto"/>
              <w:right w:val="single" w:sz="2" w:space="0" w:color="auto"/>
            </w:tcBorders>
            <w:vAlign w:val="center"/>
          </w:tcPr>
          <w:p w14:paraId="5CD182C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江苏龙大沁侬食品有限公司</w:t>
            </w:r>
          </w:p>
        </w:tc>
        <w:tc>
          <w:tcPr>
            <w:tcW w:w="1417" w:type="dxa"/>
            <w:tcBorders>
              <w:top w:val="single" w:sz="2" w:space="0" w:color="auto"/>
              <w:left w:val="single" w:sz="2" w:space="0" w:color="auto"/>
              <w:bottom w:val="single" w:sz="2" w:space="0" w:color="auto"/>
              <w:right w:val="single" w:sz="2" w:space="0" w:color="auto"/>
            </w:tcBorders>
            <w:vAlign w:val="center"/>
          </w:tcPr>
          <w:p w14:paraId="6C91EA8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170,600,000.00</w:t>
            </w:r>
          </w:p>
        </w:tc>
        <w:tc>
          <w:tcPr>
            <w:tcW w:w="1418" w:type="dxa"/>
            <w:tcBorders>
              <w:top w:val="single" w:sz="2" w:space="0" w:color="auto"/>
              <w:left w:val="single" w:sz="2" w:space="0" w:color="auto"/>
              <w:bottom w:val="single" w:sz="2" w:space="0" w:color="auto"/>
              <w:right w:val="single" w:sz="2" w:space="0" w:color="auto"/>
            </w:tcBorders>
            <w:vAlign w:val="center"/>
          </w:tcPr>
          <w:p w14:paraId="34DEEA4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14:paraId="66CF5AB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29,400,000.00</w:t>
            </w:r>
          </w:p>
        </w:tc>
        <w:tc>
          <w:tcPr>
            <w:tcW w:w="709" w:type="dxa"/>
            <w:tcBorders>
              <w:top w:val="single" w:sz="2" w:space="0" w:color="auto"/>
              <w:left w:val="single" w:sz="2" w:space="0" w:color="auto"/>
              <w:bottom w:val="single" w:sz="2" w:space="0" w:color="auto"/>
              <w:right w:val="single" w:sz="2" w:space="0" w:color="auto"/>
            </w:tcBorders>
            <w:vAlign w:val="center"/>
          </w:tcPr>
          <w:p w14:paraId="3BD8416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19" w:type="dxa"/>
            <w:tcBorders>
              <w:top w:val="single" w:sz="2" w:space="0" w:color="auto"/>
              <w:left w:val="single" w:sz="2" w:space="0" w:color="auto"/>
              <w:bottom w:val="single" w:sz="2" w:space="0" w:color="auto"/>
              <w:right w:val="single" w:sz="2" w:space="0" w:color="auto"/>
            </w:tcBorders>
            <w:vAlign w:val="center"/>
          </w:tcPr>
          <w:p w14:paraId="7250D55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2165AA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34" w:type="dxa"/>
            <w:tcBorders>
              <w:top w:val="single" w:sz="2" w:space="0" w:color="auto"/>
              <w:left w:val="single" w:sz="2" w:space="0" w:color="auto"/>
              <w:bottom w:val="single" w:sz="2" w:space="0" w:color="auto"/>
              <w:right w:val="single" w:sz="2" w:space="0" w:color="auto"/>
            </w:tcBorders>
            <w:vAlign w:val="center"/>
          </w:tcPr>
          <w:p w14:paraId="4EA09AE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200,000,000.00</w:t>
            </w:r>
          </w:p>
        </w:tc>
        <w:tc>
          <w:tcPr>
            <w:tcW w:w="1275" w:type="dxa"/>
            <w:tcBorders>
              <w:top w:val="single" w:sz="2" w:space="0" w:color="auto"/>
              <w:left w:val="single" w:sz="2" w:space="0" w:color="auto"/>
              <w:bottom w:val="single" w:sz="2" w:space="0" w:color="auto"/>
              <w:right w:val="single" w:sz="2" w:space="0" w:color="auto"/>
            </w:tcBorders>
            <w:vAlign w:val="center"/>
          </w:tcPr>
          <w:p w14:paraId="0263486B"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213C5C24" w14:textId="77777777" w:rsidTr="00AC3E7A">
        <w:trPr>
          <w:trHeight w:val="240"/>
          <w:jc w:val="center"/>
        </w:trPr>
        <w:tc>
          <w:tcPr>
            <w:tcW w:w="993" w:type="dxa"/>
            <w:tcBorders>
              <w:top w:val="single" w:sz="2" w:space="0" w:color="auto"/>
              <w:left w:val="single" w:sz="2" w:space="0" w:color="auto"/>
              <w:bottom w:val="single" w:sz="2" w:space="0" w:color="auto"/>
              <w:right w:val="single" w:sz="2" w:space="0" w:color="auto"/>
            </w:tcBorders>
            <w:vAlign w:val="center"/>
          </w:tcPr>
          <w:p w14:paraId="1C4EBED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山东龙大美食贸易有限公司</w:t>
            </w:r>
          </w:p>
        </w:tc>
        <w:tc>
          <w:tcPr>
            <w:tcW w:w="1417" w:type="dxa"/>
            <w:tcBorders>
              <w:top w:val="single" w:sz="2" w:space="0" w:color="auto"/>
              <w:left w:val="single" w:sz="2" w:space="0" w:color="auto"/>
              <w:bottom w:val="single" w:sz="2" w:space="0" w:color="auto"/>
              <w:right w:val="single" w:sz="2" w:space="0" w:color="auto"/>
            </w:tcBorders>
            <w:vAlign w:val="center"/>
          </w:tcPr>
          <w:p w14:paraId="13FC892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11,314,775.94</w:t>
            </w:r>
          </w:p>
        </w:tc>
        <w:tc>
          <w:tcPr>
            <w:tcW w:w="1418" w:type="dxa"/>
            <w:tcBorders>
              <w:top w:val="single" w:sz="2" w:space="0" w:color="auto"/>
              <w:left w:val="single" w:sz="2" w:space="0" w:color="auto"/>
              <w:bottom w:val="single" w:sz="2" w:space="0" w:color="auto"/>
              <w:right w:val="single" w:sz="2" w:space="0" w:color="auto"/>
            </w:tcBorders>
            <w:vAlign w:val="center"/>
          </w:tcPr>
          <w:p w14:paraId="5A26CD2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8,685,224.06</w:t>
            </w:r>
          </w:p>
        </w:tc>
        <w:tc>
          <w:tcPr>
            <w:tcW w:w="1170" w:type="dxa"/>
            <w:tcBorders>
              <w:top w:val="single" w:sz="2" w:space="0" w:color="auto"/>
              <w:left w:val="single" w:sz="2" w:space="0" w:color="auto"/>
              <w:bottom w:val="single" w:sz="2" w:space="0" w:color="auto"/>
              <w:right w:val="single" w:sz="2" w:space="0" w:color="auto"/>
            </w:tcBorders>
            <w:vAlign w:val="center"/>
          </w:tcPr>
          <w:p w14:paraId="1D9A04A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8B225B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19" w:type="dxa"/>
            <w:tcBorders>
              <w:top w:val="single" w:sz="2" w:space="0" w:color="auto"/>
              <w:left w:val="single" w:sz="2" w:space="0" w:color="auto"/>
              <w:bottom w:val="single" w:sz="2" w:space="0" w:color="auto"/>
              <w:right w:val="single" w:sz="2" w:space="0" w:color="auto"/>
            </w:tcBorders>
            <w:vAlign w:val="center"/>
          </w:tcPr>
          <w:p w14:paraId="255D67D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B64BFA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34" w:type="dxa"/>
            <w:tcBorders>
              <w:top w:val="single" w:sz="2" w:space="0" w:color="auto"/>
              <w:left w:val="single" w:sz="2" w:space="0" w:color="auto"/>
              <w:bottom w:val="single" w:sz="2" w:space="0" w:color="auto"/>
              <w:right w:val="single" w:sz="2" w:space="0" w:color="auto"/>
            </w:tcBorders>
            <w:vAlign w:val="center"/>
          </w:tcPr>
          <w:p w14:paraId="331A284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11,314,775.94</w:t>
            </w:r>
          </w:p>
        </w:tc>
        <w:tc>
          <w:tcPr>
            <w:tcW w:w="1275" w:type="dxa"/>
            <w:tcBorders>
              <w:top w:val="single" w:sz="2" w:space="0" w:color="auto"/>
              <w:left w:val="single" w:sz="2" w:space="0" w:color="auto"/>
              <w:bottom w:val="single" w:sz="2" w:space="0" w:color="auto"/>
              <w:right w:val="single" w:sz="2" w:space="0" w:color="auto"/>
            </w:tcBorders>
            <w:vAlign w:val="center"/>
          </w:tcPr>
          <w:p w14:paraId="0D87791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8,685,224.06</w:t>
            </w:r>
          </w:p>
        </w:tc>
      </w:tr>
      <w:tr w:rsidR="006C011D" w:rsidRPr="005A284F" w14:paraId="764062B9" w14:textId="77777777" w:rsidTr="00AC3E7A">
        <w:trPr>
          <w:trHeight w:val="915"/>
          <w:jc w:val="center"/>
        </w:trPr>
        <w:tc>
          <w:tcPr>
            <w:tcW w:w="993" w:type="dxa"/>
            <w:tcBorders>
              <w:top w:val="single" w:sz="2" w:space="0" w:color="auto"/>
              <w:left w:val="single" w:sz="2" w:space="0" w:color="auto"/>
              <w:bottom w:val="single" w:sz="2" w:space="0" w:color="auto"/>
              <w:right w:val="single" w:sz="2" w:space="0" w:color="auto"/>
            </w:tcBorders>
            <w:vAlign w:val="center"/>
          </w:tcPr>
          <w:p w14:paraId="23A79830"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青岛龙大管理咨询服务有限公司</w:t>
            </w:r>
          </w:p>
        </w:tc>
        <w:tc>
          <w:tcPr>
            <w:tcW w:w="1417" w:type="dxa"/>
            <w:tcBorders>
              <w:top w:val="single" w:sz="2" w:space="0" w:color="auto"/>
              <w:left w:val="single" w:sz="2" w:space="0" w:color="auto"/>
              <w:bottom w:val="single" w:sz="2" w:space="0" w:color="auto"/>
              <w:right w:val="single" w:sz="2" w:space="0" w:color="auto"/>
            </w:tcBorders>
            <w:vAlign w:val="center"/>
          </w:tcPr>
          <w:p w14:paraId="6F862B5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1,000,000.00</w:t>
            </w:r>
          </w:p>
        </w:tc>
        <w:tc>
          <w:tcPr>
            <w:tcW w:w="1418" w:type="dxa"/>
            <w:tcBorders>
              <w:top w:val="single" w:sz="2" w:space="0" w:color="auto"/>
              <w:left w:val="single" w:sz="2" w:space="0" w:color="auto"/>
              <w:bottom w:val="single" w:sz="2" w:space="0" w:color="auto"/>
              <w:right w:val="single" w:sz="2" w:space="0" w:color="auto"/>
            </w:tcBorders>
            <w:vAlign w:val="center"/>
          </w:tcPr>
          <w:p w14:paraId="093AD5B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14:paraId="3125D79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13CBF32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19" w:type="dxa"/>
            <w:tcBorders>
              <w:top w:val="single" w:sz="2" w:space="0" w:color="auto"/>
              <w:left w:val="single" w:sz="2" w:space="0" w:color="auto"/>
              <w:bottom w:val="single" w:sz="2" w:space="0" w:color="auto"/>
              <w:right w:val="single" w:sz="2" w:space="0" w:color="auto"/>
            </w:tcBorders>
            <w:vAlign w:val="center"/>
          </w:tcPr>
          <w:p w14:paraId="123CD7D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33152C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34" w:type="dxa"/>
            <w:tcBorders>
              <w:top w:val="single" w:sz="2" w:space="0" w:color="auto"/>
              <w:left w:val="single" w:sz="2" w:space="0" w:color="auto"/>
              <w:bottom w:val="single" w:sz="2" w:space="0" w:color="auto"/>
              <w:right w:val="single" w:sz="2" w:space="0" w:color="auto"/>
            </w:tcBorders>
            <w:vAlign w:val="center"/>
          </w:tcPr>
          <w:p w14:paraId="5641B04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1,000,000.00</w:t>
            </w:r>
          </w:p>
        </w:tc>
        <w:tc>
          <w:tcPr>
            <w:tcW w:w="1275" w:type="dxa"/>
            <w:tcBorders>
              <w:top w:val="single" w:sz="2" w:space="0" w:color="auto"/>
              <w:left w:val="single" w:sz="2" w:space="0" w:color="auto"/>
              <w:bottom w:val="single" w:sz="2" w:space="0" w:color="auto"/>
              <w:right w:val="single" w:sz="2" w:space="0" w:color="auto"/>
            </w:tcBorders>
            <w:vAlign w:val="center"/>
          </w:tcPr>
          <w:p w14:paraId="311463AB"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526892E0" w14:textId="77777777" w:rsidTr="00AC3E7A">
        <w:trPr>
          <w:trHeight w:val="842"/>
          <w:jc w:val="center"/>
        </w:trPr>
        <w:tc>
          <w:tcPr>
            <w:tcW w:w="993" w:type="dxa"/>
            <w:tcBorders>
              <w:top w:val="single" w:sz="2" w:space="0" w:color="auto"/>
              <w:left w:val="single" w:sz="2" w:space="0" w:color="auto"/>
              <w:bottom w:val="single" w:sz="2" w:space="0" w:color="auto"/>
              <w:right w:val="single" w:sz="2" w:space="0" w:color="auto"/>
            </w:tcBorders>
            <w:vAlign w:val="center"/>
          </w:tcPr>
          <w:p w14:paraId="1F18379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湖北龙大肉食品有限公司</w:t>
            </w:r>
          </w:p>
        </w:tc>
        <w:tc>
          <w:tcPr>
            <w:tcW w:w="1417" w:type="dxa"/>
            <w:tcBorders>
              <w:top w:val="single" w:sz="2" w:space="0" w:color="auto"/>
              <w:left w:val="single" w:sz="2" w:space="0" w:color="auto"/>
              <w:bottom w:val="single" w:sz="2" w:space="0" w:color="auto"/>
              <w:right w:val="single" w:sz="2" w:space="0" w:color="auto"/>
            </w:tcBorders>
            <w:vAlign w:val="center"/>
          </w:tcPr>
          <w:p w14:paraId="7F1A44C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DCE19E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20,000,000.00</w:t>
            </w:r>
          </w:p>
        </w:tc>
        <w:tc>
          <w:tcPr>
            <w:tcW w:w="1170" w:type="dxa"/>
            <w:tcBorders>
              <w:top w:val="single" w:sz="2" w:space="0" w:color="auto"/>
              <w:left w:val="single" w:sz="2" w:space="0" w:color="auto"/>
              <w:bottom w:val="single" w:sz="2" w:space="0" w:color="auto"/>
              <w:right w:val="single" w:sz="2" w:space="0" w:color="auto"/>
            </w:tcBorders>
            <w:vAlign w:val="center"/>
          </w:tcPr>
          <w:p w14:paraId="56C3A99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2B4D484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19" w:type="dxa"/>
            <w:tcBorders>
              <w:top w:val="single" w:sz="2" w:space="0" w:color="auto"/>
              <w:left w:val="single" w:sz="2" w:space="0" w:color="auto"/>
              <w:bottom w:val="single" w:sz="2" w:space="0" w:color="auto"/>
              <w:right w:val="single" w:sz="2" w:space="0" w:color="auto"/>
            </w:tcBorders>
            <w:vAlign w:val="center"/>
          </w:tcPr>
          <w:p w14:paraId="4EDA26B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20BA49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34" w:type="dxa"/>
            <w:tcBorders>
              <w:top w:val="single" w:sz="2" w:space="0" w:color="auto"/>
              <w:left w:val="single" w:sz="2" w:space="0" w:color="auto"/>
              <w:bottom w:val="single" w:sz="2" w:space="0" w:color="auto"/>
              <w:right w:val="single" w:sz="2" w:space="0" w:color="auto"/>
            </w:tcBorders>
            <w:vAlign w:val="center"/>
          </w:tcPr>
          <w:p w14:paraId="33B6804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7B645046"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20,000,000.00</w:t>
            </w:r>
          </w:p>
        </w:tc>
      </w:tr>
      <w:tr w:rsidR="006C011D" w:rsidRPr="005A284F" w14:paraId="1B719742" w14:textId="77777777" w:rsidTr="00AC3E7A">
        <w:trPr>
          <w:trHeight w:val="240"/>
          <w:jc w:val="center"/>
        </w:trPr>
        <w:tc>
          <w:tcPr>
            <w:tcW w:w="993" w:type="dxa"/>
            <w:tcBorders>
              <w:top w:val="single" w:sz="2" w:space="0" w:color="auto"/>
              <w:left w:val="single" w:sz="2" w:space="0" w:color="auto"/>
              <w:bottom w:val="single" w:sz="2" w:space="0" w:color="auto"/>
              <w:right w:val="single" w:sz="2" w:space="0" w:color="auto"/>
            </w:tcBorders>
            <w:vAlign w:val="center"/>
          </w:tcPr>
          <w:p w14:paraId="10D7888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成都龙大肉食品有限公司</w:t>
            </w:r>
          </w:p>
        </w:tc>
        <w:tc>
          <w:tcPr>
            <w:tcW w:w="1417" w:type="dxa"/>
            <w:tcBorders>
              <w:top w:val="single" w:sz="2" w:space="0" w:color="auto"/>
              <w:left w:val="single" w:sz="2" w:space="0" w:color="auto"/>
              <w:bottom w:val="single" w:sz="2" w:space="0" w:color="auto"/>
              <w:right w:val="single" w:sz="2" w:space="0" w:color="auto"/>
            </w:tcBorders>
            <w:vAlign w:val="center"/>
          </w:tcPr>
          <w:p w14:paraId="379E2F4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22,000,000.00</w:t>
            </w:r>
          </w:p>
        </w:tc>
        <w:tc>
          <w:tcPr>
            <w:tcW w:w="1418" w:type="dxa"/>
            <w:tcBorders>
              <w:top w:val="single" w:sz="2" w:space="0" w:color="auto"/>
              <w:left w:val="single" w:sz="2" w:space="0" w:color="auto"/>
              <w:bottom w:val="single" w:sz="2" w:space="0" w:color="auto"/>
              <w:right w:val="single" w:sz="2" w:space="0" w:color="auto"/>
            </w:tcBorders>
            <w:vAlign w:val="center"/>
          </w:tcPr>
          <w:p w14:paraId="4A88E7D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14:paraId="013351F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28DD2EC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19" w:type="dxa"/>
            <w:tcBorders>
              <w:top w:val="single" w:sz="2" w:space="0" w:color="auto"/>
              <w:left w:val="single" w:sz="2" w:space="0" w:color="auto"/>
              <w:bottom w:val="single" w:sz="2" w:space="0" w:color="auto"/>
              <w:right w:val="single" w:sz="2" w:space="0" w:color="auto"/>
            </w:tcBorders>
            <w:vAlign w:val="center"/>
          </w:tcPr>
          <w:p w14:paraId="48594AC9"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496DDF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34" w:type="dxa"/>
            <w:tcBorders>
              <w:top w:val="single" w:sz="2" w:space="0" w:color="auto"/>
              <w:left w:val="single" w:sz="2" w:space="0" w:color="auto"/>
              <w:bottom w:val="single" w:sz="2" w:space="0" w:color="auto"/>
              <w:right w:val="single" w:sz="2" w:space="0" w:color="auto"/>
            </w:tcBorders>
            <w:vAlign w:val="center"/>
          </w:tcPr>
          <w:p w14:paraId="4ACE464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22,000,000.00</w:t>
            </w:r>
          </w:p>
        </w:tc>
        <w:tc>
          <w:tcPr>
            <w:tcW w:w="1275" w:type="dxa"/>
            <w:tcBorders>
              <w:top w:val="single" w:sz="2" w:space="0" w:color="auto"/>
              <w:left w:val="single" w:sz="2" w:space="0" w:color="auto"/>
              <w:bottom w:val="single" w:sz="2" w:space="0" w:color="auto"/>
              <w:right w:val="single" w:sz="2" w:space="0" w:color="auto"/>
            </w:tcBorders>
            <w:vAlign w:val="center"/>
          </w:tcPr>
          <w:p w14:paraId="666A6A01"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05F1A08E" w14:textId="77777777" w:rsidTr="00AC3E7A">
        <w:trPr>
          <w:trHeight w:val="837"/>
          <w:jc w:val="center"/>
        </w:trPr>
        <w:tc>
          <w:tcPr>
            <w:tcW w:w="993" w:type="dxa"/>
            <w:tcBorders>
              <w:top w:val="single" w:sz="2" w:space="0" w:color="auto"/>
              <w:left w:val="single" w:sz="2" w:space="0" w:color="auto"/>
              <w:bottom w:val="single" w:sz="2" w:space="0" w:color="auto"/>
              <w:right w:val="single" w:sz="2" w:space="0" w:color="auto"/>
            </w:tcBorders>
            <w:vAlign w:val="center"/>
          </w:tcPr>
          <w:p w14:paraId="6FC4923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黑龙江龙大肉食品有限公司</w:t>
            </w:r>
          </w:p>
        </w:tc>
        <w:tc>
          <w:tcPr>
            <w:tcW w:w="1417" w:type="dxa"/>
            <w:tcBorders>
              <w:top w:val="single" w:sz="2" w:space="0" w:color="auto"/>
              <w:left w:val="single" w:sz="2" w:space="0" w:color="auto"/>
              <w:bottom w:val="single" w:sz="2" w:space="0" w:color="auto"/>
              <w:right w:val="single" w:sz="2" w:space="0" w:color="auto"/>
            </w:tcBorders>
            <w:vAlign w:val="center"/>
          </w:tcPr>
          <w:p w14:paraId="632A66F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100,000,000.00</w:t>
            </w:r>
          </w:p>
        </w:tc>
        <w:tc>
          <w:tcPr>
            <w:tcW w:w="1418" w:type="dxa"/>
            <w:tcBorders>
              <w:top w:val="single" w:sz="2" w:space="0" w:color="auto"/>
              <w:left w:val="single" w:sz="2" w:space="0" w:color="auto"/>
              <w:bottom w:val="single" w:sz="2" w:space="0" w:color="auto"/>
              <w:right w:val="single" w:sz="2" w:space="0" w:color="auto"/>
            </w:tcBorders>
            <w:vAlign w:val="center"/>
          </w:tcPr>
          <w:p w14:paraId="6CBD6FB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14:paraId="3A74AD9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2933F3C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19" w:type="dxa"/>
            <w:tcBorders>
              <w:top w:val="single" w:sz="2" w:space="0" w:color="auto"/>
              <w:left w:val="single" w:sz="2" w:space="0" w:color="auto"/>
              <w:bottom w:val="single" w:sz="2" w:space="0" w:color="auto"/>
              <w:right w:val="single" w:sz="2" w:space="0" w:color="auto"/>
            </w:tcBorders>
            <w:vAlign w:val="center"/>
          </w:tcPr>
          <w:p w14:paraId="491C4AD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D71399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34" w:type="dxa"/>
            <w:tcBorders>
              <w:top w:val="single" w:sz="2" w:space="0" w:color="auto"/>
              <w:left w:val="single" w:sz="2" w:space="0" w:color="auto"/>
              <w:bottom w:val="single" w:sz="2" w:space="0" w:color="auto"/>
              <w:right w:val="single" w:sz="2" w:space="0" w:color="auto"/>
            </w:tcBorders>
            <w:vAlign w:val="center"/>
          </w:tcPr>
          <w:p w14:paraId="5BBAEA8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100,000,000.00</w:t>
            </w:r>
          </w:p>
        </w:tc>
        <w:tc>
          <w:tcPr>
            <w:tcW w:w="1275" w:type="dxa"/>
            <w:tcBorders>
              <w:top w:val="single" w:sz="2" w:space="0" w:color="auto"/>
              <w:left w:val="single" w:sz="2" w:space="0" w:color="auto"/>
              <w:bottom w:val="single" w:sz="2" w:space="0" w:color="auto"/>
              <w:right w:val="single" w:sz="2" w:space="0" w:color="auto"/>
            </w:tcBorders>
            <w:vAlign w:val="center"/>
          </w:tcPr>
          <w:p w14:paraId="2CC468B5"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556F66C6" w14:textId="77777777" w:rsidTr="00AC3E7A">
        <w:trPr>
          <w:trHeight w:val="835"/>
          <w:jc w:val="center"/>
        </w:trPr>
        <w:tc>
          <w:tcPr>
            <w:tcW w:w="993" w:type="dxa"/>
            <w:tcBorders>
              <w:top w:val="single" w:sz="2" w:space="0" w:color="auto"/>
              <w:left w:val="single" w:sz="2" w:space="0" w:color="auto"/>
              <w:bottom w:val="single" w:sz="2" w:space="0" w:color="auto"/>
              <w:right w:val="single" w:sz="2" w:space="0" w:color="auto"/>
            </w:tcBorders>
            <w:vAlign w:val="center"/>
          </w:tcPr>
          <w:p w14:paraId="21A90EE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巴中龙大肉食品有限公司</w:t>
            </w:r>
          </w:p>
        </w:tc>
        <w:tc>
          <w:tcPr>
            <w:tcW w:w="1417" w:type="dxa"/>
            <w:tcBorders>
              <w:top w:val="single" w:sz="2" w:space="0" w:color="auto"/>
              <w:left w:val="single" w:sz="2" w:space="0" w:color="auto"/>
              <w:bottom w:val="single" w:sz="2" w:space="0" w:color="auto"/>
              <w:right w:val="single" w:sz="2" w:space="0" w:color="auto"/>
            </w:tcBorders>
            <w:vAlign w:val="center"/>
          </w:tcPr>
          <w:p w14:paraId="6DAE5B6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100,000,000.00</w:t>
            </w:r>
          </w:p>
        </w:tc>
        <w:tc>
          <w:tcPr>
            <w:tcW w:w="1418" w:type="dxa"/>
            <w:tcBorders>
              <w:top w:val="single" w:sz="2" w:space="0" w:color="auto"/>
              <w:left w:val="single" w:sz="2" w:space="0" w:color="auto"/>
              <w:bottom w:val="single" w:sz="2" w:space="0" w:color="auto"/>
              <w:right w:val="single" w:sz="2" w:space="0" w:color="auto"/>
            </w:tcBorders>
            <w:vAlign w:val="center"/>
          </w:tcPr>
          <w:p w14:paraId="54F69A26"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14:paraId="13848224"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5D816CD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19" w:type="dxa"/>
            <w:tcBorders>
              <w:top w:val="single" w:sz="2" w:space="0" w:color="auto"/>
              <w:left w:val="single" w:sz="2" w:space="0" w:color="auto"/>
              <w:bottom w:val="single" w:sz="2" w:space="0" w:color="auto"/>
              <w:right w:val="single" w:sz="2" w:space="0" w:color="auto"/>
            </w:tcBorders>
            <w:vAlign w:val="center"/>
          </w:tcPr>
          <w:p w14:paraId="4939D5D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ACE63FD"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34" w:type="dxa"/>
            <w:tcBorders>
              <w:top w:val="single" w:sz="2" w:space="0" w:color="auto"/>
              <w:left w:val="single" w:sz="2" w:space="0" w:color="auto"/>
              <w:bottom w:val="single" w:sz="2" w:space="0" w:color="auto"/>
              <w:right w:val="single" w:sz="2" w:space="0" w:color="auto"/>
            </w:tcBorders>
            <w:vAlign w:val="center"/>
          </w:tcPr>
          <w:p w14:paraId="6ADEBF8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100,000,000.00</w:t>
            </w:r>
          </w:p>
        </w:tc>
        <w:tc>
          <w:tcPr>
            <w:tcW w:w="1275" w:type="dxa"/>
            <w:tcBorders>
              <w:top w:val="single" w:sz="2" w:space="0" w:color="auto"/>
              <w:left w:val="single" w:sz="2" w:space="0" w:color="auto"/>
              <w:bottom w:val="single" w:sz="2" w:space="0" w:color="auto"/>
              <w:right w:val="single" w:sz="2" w:space="0" w:color="auto"/>
            </w:tcBorders>
            <w:vAlign w:val="center"/>
          </w:tcPr>
          <w:p w14:paraId="7E672124"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4EE55287" w14:textId="77777777" w:rsidTr="00AC3E7A">
        <w:trPr>
          <w:trHeight w:val="240"/>
          <w:jc w:val="center"/>
        </w:trPr>
        <w:tc>
          <w:tcPr>
            <w:tcW w:w="993" w:type="dxa"/>
            <w:tcBorders>
              <w:top w:val="single" w:sz="2" w:space="0" w:color="auto"/>
              <w:left w:val="single" w:sz="2" w:space="0" w:color="auto"/>
              <w:bottom w:val="single" w:sz="2" w:space="0" w:color="auto"/>
              <w:right w:val="single" w:sz="2" w:space="0" w:color="auto"/>
            </w:tcBorders>
            <w:vAlign w:val="center"/>
          </w:tcPr>
          <w:p w14:paraId="2DC6AE25"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海南龙大美食有限责任公司</w:t>
            </w:r>
          </w:p>
        </w:tc>
        <w:tc>
          <w:tcPr>
            <w:tcW w:w="1417" w:type="dxa"/>
            <w:tcBorders>
              <w:top w:val="single" w:sz="2" w:space="0" w:color="auto"/>
              <w:left w:val="single" w:sz="2" w:space="0" w:color="auto"/>
              <w:bottom w:val="single" w:sz="2" w:space="0" w:color="auto"/>
              <w:right w:val="single" w:sz="2" w:space="0" w:color="auto"/>
            </w:tcBorders>
            <w:vAlign w:val="center"/>
          </w:tcPr>
          <w:p w14:paraId="3A1390B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100,000,000.00</w:t>
            </w:r>
          </w:p>
        </w:tc>
        <w:tc>
          <w:tcPr>
            <w:tcW w:w="1418" w:type="dxa"/>
            <w:tcBorders>
              <w:top w:val="single" w:sz="2" w:space="0" w:color="auto"/>
              <w:left w:val="single" w:sz="2" w:space="0" w:color="auto"/>
              <w:bottom w:val="single" w:sz="2" w:space="0" w:color="auto"/>
              <w:right w:val="single" w:sz="2" w:space="0" w:color="auto"/>
            </w:tcBorders>
            <w:vAlign w:val="center"/>
          </w:tcPr>
          <w:p w14:paraId="1BA39D11"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14:paraId="6ECD4DD2"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552F576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19" w:type="dxa"/>
            <w:tcBorders>
              <w:top w:val="single" w:sz="2" w:space="0" w:color="auto"/>
              <w:left w:val="single" w:sz="2" w:space="0" w:color="auto"/>
              <w:bottom w:val="single" w:sz="2" w:space="0" w:color="auto"/>
              <w:right w:val="single" w:sz="2" w:space="0" w:color="auto"/>
            </w:tcBorders>
            <w:vAlign w:val="center"/>
          </w:tcPr>
          <w:p w14:paraId="14396D8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A2B9CB8"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34" w:type="dxa"/>
            <w:tcBorders>
              <w:top w:val="single" w:sz="2" w:space="0" w:color="auto"/>
              <w:left w:val="single" w:sz="2" w:space="0" w:color="auto"/>
              <w:bottom w:val="single" w:sz="2" w:space="0" w:color="auto"/>
              <w:right w:val="single" w:sz="2" w:space="0" w:color="auto"/>
            </w:tcBorders>
            <w:vAlign w:val="center"/>
          </w:tcPr>
          <w:p w14:paraId="7628466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100,000,000.00</w:t>
            </w:r>
          </w:p>
        </w:tc>
        <w:tc>
          <w:tcPr>
            <w:tcW w:w="1275" w:type="dxa"/>
            <w:tcBorders>
              <w:top w:val="single" w:sz="2" w:space="0" w:color="auto"/>
              <w:left w:val="single" w:sz="2" w:space="0" w:color="auto"/>
              <w:bottom w:val="single" w:sz="2" w:space="0" w:color="auto"/>
              <w:right w:val="single" w:sz="2" w:space="0" w:color="auto"/>
            </w:tcBorders>
            <w:vAlign w:val="center"/>
          </w:tcPr>
          <w:p w14:paraId="02213470"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6AD5E6E0" w14:textId="77777777" w:rsidTr="00AC3E7A">
        <w:trPr>
          <w:trHeight w:val="945"/>
          <w:jc w:val="center"/>
        </w:trPr>
        <w:tc>
          <w:tcPr>
            <w:tcW w:w="993" w:type="dxa"/>
            <w:tcBorders>
              <w:top w:val="single" w:sz="2" w:space="0" w:color="auto"/>
              <w:left w:val="single" w:sz="2" w:space="0" w:color="auto"/>
              <w:bottom w:val="single" w:sz="2" w:space="0" w:color="auto"/>
              <w:right w:val="single" w:sz="2" w:space="0" w:color="auto"/>
            </w:tcBorders>
            <w:vAlign w:val="center"/>
          </w:tcPr>
          <w:p w14:paraId="4E9BD47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山东龙鲜生供应链管理有限公司</w:t>
            </w:r>
          </w:p>
        </w:tc>
        <w:tc>
          <w:tcPr>
            <w:tcW w:w="1417" w:type="dxa"/>
            <w:tcBorders>
              <w:top w:val="single" w:sz="2" w:space="0" w:color="auto"/>
              <w:left w:val="single" w:sz="2" w:space="0" w:color="auto"/>
              <w:bottom w:val="single" w:sz="2" w:space="0" w:color="auto"/>
              <w:right w:val="single" w:sz="2" w:space="0" w:color="auto"/>
            </w:tcBorders>
            <w:vAlign w:val="center"/>
          </w:tcPr>
          <w:p w14:paraId="4B32DEC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6,000,000.00</w:t>
            </w:r>
          </w:p>
        </w:tc>
        <w:tc>
          <w:tcPr>
            <w:tcW w:w="1418" w:type="dxa"/>
            <w:tcBorders>
              <w:top w:val="single" w:sz="2" w:space="0" w:color="auto"/>
              <w:left w:val="single" w:sz="2" w:space="0" w:color="auto"/>
              <w:bottom w:val="single" w:sz="2" w:space="0" w:color="auto"/>
              <w:right w:val="single" w:sz="2" w:space="0" w:color="auto"/>
            </w:tcBorders>
            <w:vAlign w:val="center"/>
          </w:tcPr>
          <w:p w14:paraId="79985FD0"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14:paraId="65A0964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5CB1712A"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19" w:type="dxa"/>
            <w:tcBorders>
              <w:top w:val="single" w:sz="2" w:space="0" w:color="auto"/>
              <w:left w:val="single" w:sz="2" w:space="0" w:color="auto"/>
              <w:bottom w:val="single" w:sz="2" w:space="0" w:color="auto"/>
              <w:right w:val="single" w:sz="2" w:space="0" w:color="auto"/>
            </w:tcBorders>
            <w:vAlign w:val="center"/>
          </w:tcPr>
          <w:p w14:paraId="1E4F368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FEB531F"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34" w:type="dxa"/>
            <w:tcBorders>
              <w:top w:val="single" w:sz="2" w:space="0" w:color="auto"/>
              <w:left w:val="single" w:sz="2" w:space="0" w:color="auto"/>
              <w:bottom w:val="single" w:sz="2" w:space="0" w:color="auto"/>
              <w:right w:val="single" w:sz="2" w:space="0" w:color="auto"/>
            </w:tcBorders>
            <w:vAlign w:val="center"/>
          </w:tcPr>
          <w:p w14:paraId="61E0BF0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6,000,000.00</w:t>
            </w:r>
          </w:p>
        </w:tc>
        <w:tc>
          <w:tcPr>
            <w:tcW w:w="1275" w:type="dxa"/>
            <w:tcBorders>
              <w:top w:val="single" w:sz="2" w:space="0" w:color="auto"/>
              <w:left w:val="single" w:sz="2" w:space="0" w:color="auto"/>
              <w:bottom w:val="single" w:sz="2" w:space="0" w:color="auto"/>
              <w:right w:val="single" w:sz="2" w:space="0" w:color="auto"/>
            </w:tcBorders>
            <w:vAlign w:val="center"/>
          </w:tcPr>
          <w:p w14:paraId="060E3A0E"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5DBEC187" w14:textId="77777777" w:rsidTr="00AC3E7A">
        <w:trPr>
          <w:trHeight w:val="240"/>
          <w:jc w:val="center"/>
        </w:trPr>
        <w:tc>
          <w:tcPr>
            <w:tcW w:w="993" w:type="dxa"/>
            <w:tcBorders>
              <w:top w:val="single" w:sz="2" w:space="0" w:color="auto"/>
              <w:left w:val="single" w:sz="2" w:space="0" w:color="auto"/>
              <w:bottom w:val="single" w:sz="2" w:space="0" w:color="auto"/>
              <w:right w:val="single" w:sz="2" w:space="0" w:color="auto"/>
            </w:tcBorders>
            <w:vAlign w:val="center"/>
          </w:tcPr>
          <w:p w14:paraId="2B071DA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lastRenderedPageBreak/>
              <w:t>成都龙大科技有限公司（原：成都逸享潮代供应链管理有限公司）</w:t>
            </w:r>
          </w:p>
        </w:tc>
        <w:tc>
          <w:tcPr>
            <w:tcW w:w="1417" w:type="dxa"/>
            <w:tcBorders>
              <w:top w:val="single" w:sz="2" w:space="0" w:color="auto"/>
              <w:left w:val="single" w:sz="2" w:space="0" w:color="auto"/>
              <w:bottom w:val="single" w:sz="2" w:space="0" w:color="auto"/>
              <w:right w:val="single" w:sz="2" w:space="0" w:color="auto"/>
            </w:tcBorders>
            <w:vAlign w:val="center"/>
          </w:tcPr>
          <w:p w14:paraId="4B0885E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1,000,000.00</w:t>
            </w:r>
          </w:p>
        </w:tc>
        <w:tc>
          <w:tcPr>
            <w:tcW w:w="1418" w:type="dxa"/>
            <w:tcBorders>
              <w:top w:val="single" w:sz="2" w:space="0" w:color="auto"/>
              <w:left w:val="single" w:sz="2" w:space="0" w:color="auto"/>
              <w:bottom w:val="single" w:sz="2" w:space="0" w:color="auto"/>
              <w:right w:val="single" w:sz="2" w:space="0" w:color="auto"/>
            </w:tcBorders>
            <w:vAlign w:val="center"/>
          </w:tcPr>
          <w:p w14:paraId="2104BACB"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14:paraId="4D7EBE1C"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1250132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19" w:type="dxa"/>
            <w:tcBorders>
              <w:top w:val="single" w:sz="2" w:space="0" w:color="auto"/>
              <w:left w:val="single" w:sz="2" w:space="0" w:color="auto"/>
              <w:bottom w:val="single" w:sz="2" w:space="0" w:color="auto"/>
              <w:right w:val="single" w:sz="2" w:space="0" w:color="auto"/>
            </w:tcBorders>
            <w:vAlign w:val="center"/>
          </w:tcPr>
          <w:p w14:paraId="24FAECD3"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95C1C97"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34" w:type="dxa"/>
            <w:tcBorders>
              <w:top w:val="single" w:sz="2" w:space="0" w:color="auto"/>
              <w:left w:val="single" w:sz="2" w:space="0" w:color="auto"/>
              <w:bottom w:val="single" w:sz="2" w:space="0" w:color="auto"/>
              <w:right w:val="single" w:sz="2" w:space="0" w:color="auto"/>
            </w:tcBorders>
            <w:vAlign w:val="center"/>
          </w:tcPr>
          <w:p w14:paraId="6DC1A0B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1,000,000.00</w:t>
            </w:r>
          </w:p>
        </w:tc>
        <w:tc>
          <w:tcPr>
            <w:tcW w:w="1275" w:type="dxa"/>
            <w:tcBorders>
              <w:top w:val="single" w:sz="2" w:space="0" w:color="auto"/>
              <w:left w:val="single" w:sz="2" w:space="0" w:color="auto"/>
              <w:bottom w:val="single" w:sz="2" w:space="0" w:color="auto"/>
              <w:right w:val="single" w:sz="2" w:space="0" w:color="auto"/>
            </w:tcBorders>
            <w:vAlign w:val="center"/>
          </w:tcPr>
          <w:p w14:paraId="383ED6AF"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209CA13E" w14:textId="77777777" w:rsidTr="00AC3E7A">
        <w:trPr>
          <w:trHeight w:val="240"/>
          <w:jc w:val="center"/>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7A133C98"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1417" w:type="dxa"/>
            <w:tcBorders>
              <w:top w:val="single" w:sz="2" w:space="0" w:color="auto"/>
              <w:left w:val="single" w:sz="2" w:space="0" w:color="auto"/>
              <w:bottom w:val="single" w:sz="2" w:space="0" w:color="auto"/>
              <w:right w:val="single" w:sz="2" w:space="0" w:color="auto"/>
            </w:tcBorders>
            <w:vAlign w:val="center"/>
          </w:tcPr>
          <w:p w14:paraId="4F088A4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2,444,081,822.87</w:t>
            </w:r>
          </w:p>
        </w:tc>
        <w:tc>
          <w:tcPr>
            <w:tcW w:w="1418" w:type="dxa"/>
            <w:tcBorders>
              <w:top w:val="single" w:sz="2" w:space="0" w:color="auto"/>
              <w:left w:val="single" w:sz="2" w:space="0" w:color="auto"/>
              <w:bottom w:val="single" w:sz="2" w:space="0" w:color="auto"/>
              <w:right w:val="single" w:sz="2" w:space="0" w:color="auto"/>
            </w:tcBorders>
            <w:vAlign w:val="center"/>
          </w:tcPr>
          <w:p w14:paraId="15ADB7C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59,417,213.10</w:t>
            </w:r>
          </w:p>
        </w:tc>
        <w:tc>
          <w:tcPr>
            <w:tcW w:w="1170" w:type="dxa"/>
            <w:tcBorders>
              <w:top w:val="single" w:sz="2" w:space="0" w:color="auto"/>
              <w:left w:val="single" w:sz="2" w:space="0" w:color="auto"/>
              <w:bottom w:val="single" w:sz="2" w:space="0" w:color="auto"/>
              <w:right w:val="single" w:sz="2" w:space="0" w:color="auto"/>
            </w:tcBorders>
            <w:vAlign w:val="center"/>
          </w:tcPr>
          <w:p w14:paraId="446F71E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29,400,000.00</w:t>
            </w:r>
          </w:p>
        </w:tc>
        <w:tc>
          <w:tcPr>
            <w:tcW w:w="709" w:type="dxa"/>
            <w:tcBorders>
              <w:top w:val="single" w:sz="2" w:space="0" w:color="auto"/>
              <w:left w:val="single" w:sz="2" w:space="0" w:color="auto"/>
              <w:bottom w:val="single" w:sz="2" w:space="0" w:color="auto"/>
              <w:right w:val="single" w:sz="2" w:space="0" w:color="auto"/>
            </w:tcBorders>
            <w:vAlign w:val="center"/>
          </w:tcPr>
          <w:p w14:paraId="0270ADD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719" w:type="dxa"/>
            <w:tcBorders>
              <w:top w:val="single" w:sz="2" w:space="0" w:color="auto"/>
              <w:left w:val="single" w:sz="2" w:space="0" w:color="auto"/>
              <w:bottom w:val="single" w:sz="2" w:space="0" w:color="auto"/>
              <w:right w:val="single" w:sz="2" w:space="0" w:color="auto"/>
            </w:tcBorders>
            <w:vAlign w:val="center"/>
          </w:tcPr>
          <w:p w14:paraId="37CACB0E"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9DCB4C5" w14:textId="77777777" w:rsidR="006C011D" w:rsidRPr="005A284F" w:rsidRDefault="006C011D">
            <w:pPr>
              <w:spacing w:after="0" w:line="240" w:lineRule="exact"/>
              <w:jc w:val="right"/>
              <w:rPr>
                <w:rFonts w:ascii="Times New Roman" w:eastAsia="宋体" w:hAnsi="Times New Roman" w:cs="Times New Roman"/>
                <w:sz w:val="18"/>
                <w:szCs w:val="18"/>
              </w:rPr>
            </w:pPr>
          </w:p>
        </w:tc>
        <w:tc>
          <w:tcPr>
            <w:tcW w:w="1434" w:type="dxa"/>
            <w:tcBorders>
              <w:top w:val="single" w:sz="2" w:space="0" w:color="auto"/>
              <w:left w:val="single" w:sz="2" w:space="0" w:color="auto"/>
              <w:bottom w:val="single" w:sz="2" w:space="0" w:color="auto"/>
              <w:right w:val="single" w:sz="2" w:space="0" w:color="auto"/>
            </w:tcBorders>
            <w:vAlign w:val="center"/>
          </w:tcPr>
          <w:p w14:paraId="230FF4D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2,473,481,822.87</w:t>
            </w:r>
          </w:p>
        </w:tc>
        <w:tc>
          <w:tcPr>
            <w:tcW w:w="1275" w:type="dxa"/>
            <w:tcBorders>
              <w:top w:val="single" w:sz="2" w:space="0" w:color="auto"/>
              <w:left w:val="single" w:sz="2" w:space="0" w:color="auto"/>
              <w:bottom w:val="single" w:sz="2" w:space="0" w:color="auto"/>
              <w:right w:val="single" w:sz="2" w:space="0" w:color="auto"/>
            </w:tcBorders>
            <w:vAlign w:val="center"/>
          </w:tcPr>
          <w:p w14:paraId="3631692D"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59,417,213.10</w:t>
            </w:r>
          </w:p>
        </w:tc>
      </w:tr>
    </w:tbl>
    <w:p w14:paraId="33E27C59" w14:textId="7E90FAB2"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459" w:name="_Toc989442"/>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2</w:t>
      </w:r>
      <w:r w:rsidRPr="005A284F">
        <w:rPr>
          <w:rFonts w:ascii="Times New Roman" w:eastAsia="宋体" w:hAnsi="Times New Roman" w:cs="Times New Roman"/>
          <w:b/>
          <w:bCs/>
          <w:sz w:val="21"/>
          <w:szCs w:val="21"/>
        </w:rPr>
        <w:t>）对联营、合营企业投资</w:t>
      </w:r>
      <w:bookmarkEnd w:id="459"/>
    </w:p>
    <w:p w14:paraId="353FFCAB" w14:textId="77777777" w:rsidR="000309B5" w:rsidRPr="005A284F" w:rsidRDefault="00000000">
      <w:pPr>
        <w:pStyle w:val="a3"/>
        <w:divId w:val="278221716"/>
        <w:rPr>
          <w:rFonts w:ascii="Times New Roman" w:hAnsi="Times New Roman" w:cs="Times New Roman"/>
          <w:sz w:val="18"/>
          <w:szCs w:val="18"/>
        </w:rPr>
      </w:pPr>
      <w:r w:rsidRPr="005A284F">
        <w:rPr>
          <w:rFonts w:ascii="Times New Roman" w:hAnsi="Times New Roman" w:cs="Times New Roman"/>
          <w:sz w:val="18"/>
          <w:szCs w:val="18"/>
        </w:rPr>
        <w:t>无</w:t>
      </w:r>
    </w:p>
    <w:p w14:paraId="72CD0954" w14:textId="55A1F40F"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460" w:name="_Toc989443"/>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3</w:t>
      </w:r>
      <w:r w:rsidRPr="005A284F">
        <w:rPr>
          <w:rFonts w:ascii="Times New Roman" w:eastAsia="宋体" w:hAnsi="Times New Roman" w:cs="Times New Roman"/>
          <w:b/>
          <w:bCs/>
          <w:sz w:val="21"/>
          <w:szCs w:val="21"/>
        </w:rPr>
        <w:t>）其他说明</w:t>
      </w:r>
      <w:bookmarkEnd w:id="460"/>
    </w:p>
    <w:p w14:paraId="3EEBDA38" w14:textId="77777777" w:rsidR="000309B5" w:rsidRPr="005A284F" w:rsidRDefault="00000000">
      <w:pPr>
        <w:pStyle w:val="a3"/>
        <w:divId w:val="912086495"/>
        <w:rPr>
          <w:rFonts w:ascii="Times New Roman" w:hAnsi="Times New Roman" w:cs="Times New Roman"/>
          <w:sz w:val="18"/>
          <w:szCs w:val="18"/>
        </w:rPr>
      </w:pPr>
      <w:r w:rsidRPr="005A284F">
        <w:rPr>
          <w:rFonts w:ascii="Times New Roman" w:hAnsi="Times New Roman" w:cs="Times New Roman"/>
          <w:sz w:val="18"/>
          <w:szCs w:val="18"/>
        </w:rPr>
        <w:t>无</w:t>
      </w:r>
    </w:p>
    <w:p w14:paraId="791F762D" w14:textId="77777777" w:rsidR="006C011D" w:rsidRPr="005A284F" w:rsidRDefault="00000000">
      <w:pPr>
        <w:pStyle w:val="3"/>
        <w:spacing w:line="280" w:lineRule="exact"/>
        <w:jc w:val="left"/>
        <w:rPr>
          <w:rFonts w:ascii="Times New Roman" w:hAnsi="Times New Roman" w:cs="Times New Roman"/>
          <w:b/>
          <w:bCs/>
        </w:rPr>
      </w:pPr>
      <w:bookmarkStart w:id="461" w:name="_Toc989444"/>
      <w:r w:rsidRPr="005A284F">
        <w:rPr>
          <w:rFonts w:ascii="Times New Roman" w:hAnsi="Times New Roman" w:cs="Times New Roman"/>
          <w:b/>
          <w:bCs/>
        </w:rPr>
        <w:t>4</w:t>
      </w:r>
      <w:r w:rsidRPr="005A284F">
        <w:rPr>
          <w:rFonts w:ascii="Times New Roman" w:hAnsi="Times New Roman" w:cs="Times New Roman"/>
          <w:b/>
          <w:bCs/>
        </w:rPr>
        <w:t>、营业收入和营业成本</w:t>
      </w:r>
      <w:bookmarkEnd w:id="461"/>
    </w:p>
    <w:p w14:paraId="47058266"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C011D" w:rsidRPr="005A284F" w14:paraId="6B58DD82" w14:textId="77777777" w:rsidTr="00AC3E7A">
        <w:trPr>
          <w:trHeight w:val="240"/>
          <w:jc w:val="center"/>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9686C2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60AF47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D51EF5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上期发生额</w:t>
            </w:r>
          </w:p>
        </w:tc>
      </w:tr>
      <w:tr w:rsidR="006C011D" w:rsidRPr="005A284F" w14:paraId="620E59A1" w14:textId="77777777" w:rsidTr="00AC3E7A">
        <w:trPr>
          <w:trHeight w:val="240"/>
          <w:jc w:val="center"/>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B36C7CD" w14:textId="77777777" w:rsidR="006C011D" w:rsidRPr="005A284F" w:rsidRDefault="006C011D">
            <w:pPr>
              <w:rPr>
                <w:rFonts w:ascii="Times New Roman" w:eastAsia="宋体" w:hAnsi="Times New Roman" w:cs="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F9BDBD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94C9A52"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成本</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AC91AE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018CA1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成本</w:t>
            </w:r>
          </w:p>
        </w:tc>
      </w:tr>
      <w:tr w:rsidR="006C011D" w:rsidRPr="005A284F" w14:paraId="3E210CAD" w14:textId="77777777" w:rsidTr="00AC3E7A">
        <w:trPr>
          <w:trHeight w:val="240"/>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B915DF0"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主营业务</w:t>
            </w:r>
          </w:p>
        </w:tc>
        <w:tc>
          <w:tcPr>
            <w:tcW w:w="1928" w:type="dxa"/>
            <w:tcBorders>
              <w:top w:val="single" w:sz="2" w:space="0" w:color="auto"/>
              <w:left w:val="single" w:sz="2" w:space="0" w:color="auto"/>
              <w:bottom w:val="single" w:sz="2" w:space="0" w:color="auto"/>
              <w:right w:val="single" w:sz="2" w:space="0" w:color="auto"/>
            </w:tcBorders>
            <w:vAlign w:val="center"/>
          </w:tcPr>
          <w:p w14:paraId="72CDA1F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2,181,961,462.65</w:t>
            </w:r>
          </w:p>
        </w:tc>
        <w:tc>
          <w:tcPr>
            <w:tcW w:w="1928" w:type="dxa"/>
            <w:tcBorders>
              <w:top w:val="single" w:sz="2" w:space="0" w:color="auto"/>
              <w:left w:val="single" w:sz="2" w:space="0" w:color="auto"/>
              <w:bottom w:val="single" w:sz="2" w:space="0" w:color="auto"/>
              <w:right w:val="single" w:sz="2" w:space="0" w:color="auto"/>
            </w:tcBorders>
            <w:vAlign w:val="center"/>
          </w:tcPr>
          <w:p w14:paraId="55CB828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2,031,587,808.26</w:t>
            </w:r>
          </w:p>
        </w:tc>
        <w:tc>
          <w:tcPr>
            <w:tcW w:w="1928" w:type="dxa"/>
            <w:tcBorders>
              <w:top w:val="single" w:sz="2" w:space="0" w:color="auto"/>
              <w:left w:val="single" w:sz="2" w:space="0" w:color="auto"/>
              <w:bottom w:val="single" w:sz="2" w:space="0" w:color="auto"/>
              <w:right w:val="single" w:sz="2" w:space="0" w:color="auto"/>
            </w:tcBorders>
            <w:vAlign w:val="center"/>
          </w:tcPr>
          <w:p w14:paraId="7B5A7FC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1,930,952,879.30</w:t>
            </w:r>
          </w:p>
        </w:tc>
        <w:tc>
          <w:tcPr>
            <w:tcW w:w="1928" w:type="dxa"/>
            <w:tcBorders>
              <w:top w:val="single" w:sz="2" w:space="0" w:color="auto"/>
              <w:left w:val="single" w:sz="2" w:space="0" w:color="auto"/>
              <w:bottom w:val="single" w:sz="2" w:space="0" w:color="auto"/>
              <w:right w:val="single" w:sz="2" w:space="0" w:color="auto"/>
            </w:tcBorders>
            <w:vAlign w:val="center"/>
          </w:tcPr>
          <w:p w14:paraId="59E4EB3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1,820,676,613.54</w:t>
            </w:r>
          </w:p>
        </w:tc>
      </w:tr>
      <w:tr w:rsidR="006C011D" w:rsidRPr="005A284F" w14:paraId="42C3578A" w14:textId="77777777" w:rsidTr="00AC3E7A">
        <w:trPr>
          <w:trHeight w:val="240"/>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4F02550"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其他业务</w:t>
            </w:r>
          </w:p>
        </w:tc>
        <w:tc>
          <w:tcPr>
            <w:tcW w:w="1928" w:type="dxa"/>
            <w:tcBorders>
              <w:top w:val="single" w:sz="2" w:space="0" w:color="auto"/>
              <w:left w:val="single" w:sz="2" w:space="0" w:color="auto"/>
              <w:bottom w:val="single" w:sz="2" w:space="0" w:color="auto"/>
              <w:right w:val="single" w:sz="2" w:space="0" w:color="auto"/>
            </w:tcBorders>
            <w:vAlign w:val="center"/>
          </w:tcPr>
          <w:p w14:paraId="5BD4271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11,216,473.50</w:t>
            </w:r>
          </w:p>
        </w:tc>
        <w:tc>
          <w:tcPr>
            <w:tcW w:w="1928" w:type="dxa"/>
            <w:tcBorders>
              <w:top w:val="single" w:sz="2" w:space="0" w:color="auto"/>
              <w:left w:val="single" w:sz="2" w:space="0" w:color="auto"/>
              <w:bottom w:val="single" w:sz="2" w:space="0" w:color="auto"/>
              <w:right w:val="single" w:sz="2" w:space="0" w:color="auto"/>
            </w:tcBorders>
            <w:vAlign w:val="center"/>
          </w:tcPr>
          <w:p w14:paraId="74EC333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1,277,311.47</w:t>
            </w:r>
          </w:p>
        </w:tc>
        <w:tc>
          <w:tcPr>
            <w:tcW w:w="1928" w:type="dxa"/>
            <w:tcBorders>
              <w:top w:val="single" w:sz="2" w:space="0" w:color="auto"/>
              <w:left w:val="single" w:sz="2" w:space="0" w:color="auto"/>
              <w:bottom w:val="single" w:sz="2" w:space="0" w:color="auto"/>
              <w:right w:val="single" w:sz="2" w:space="0" w:color="auto"/>
            </w:tcBorders>
            <w:vAlign w:val="center"/>
          </w:tcPr>
          <w:p w14:paraId="2476602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22,420,707.44</w:t>
            </w:r>
          </w:p>
        </w:tc>
        <w:tc>
          <w:tcPr>
            <w:tcW w:w="1928" w:type="dxa"/>
            <w:tcBorders>
              <w:top w:val="single" w:sz="2" w:space="0" w:color="auto"/>
              <w:left w:val="single" w:sz="2" w:space="0" w:color="auto"/>
              <w:bottom w:val="single" w:sz="2" w:space="0" w:color="auto"/>
              <w:right w:val="single" w:sz="2" w:space="0" w:color="auto"/>
            </w:tcBorders>
            <w:vAlign w:val="center"/>
          </w:tcPr>
          <w:p w14:paraId="6C52E25F"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1,820,150.02</w:t>
            </w:r>
          </w:p>
        </w:tc>
      </w:tr>
      <w:tr w:rsidR="006C011D" w:rsidRPr="005A284F" w14:paraId="11656186" w14:textId="77777777" w:rsidTr="00AC3E7A">
        <w:trPr>
          <w:trHeight w:val="240"/>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B021AE1"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7ACE0A18"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2,193,177,936.15</w:t>
            </w:r>
          </w:p>
        </w:tc>
        <w:tc>
          <w:tcPr>
            <w:tcW w:w="1928" w:type="dxa"/>
            <w:tcBorders>
              <w:top w:val="single" w:sz="2" w:space="0" w:color="auto"/>
              <w:left w:val="single" w:sz="2" w:space="0" w:color="auto"/>
              <w:bottom w:val="single" w:sz="2" w:space="0" w:color="auto"/>
              <w:right w:val="single" w:sz="2" w:space="0" w:color="auto"/>
            </w:tcBorders>
            <w:vAlign w:val="center"/>
          </w:tcPr>
          <w:p w14:paraId="4D662B3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2,032,865,119.73</w:t>
            </w:r>
          </w:p>
        </w:tc>
        <w:tc>
          <w:tcPr>
            <w:tcW w:w="1928" w:type="dxa"/>
            <w:tcBorders>
              <w:top w:val="single" w:sz="2" w:space="0" w:color="auto"/>
              <w:left w:val="single" w:sz="2" w:space="0" w:color="auto"/>
              <w:bottom w:val="single" w:sz="2" w:space="0" w:color="auto"/>
              <w:right w:val="single" w:sz="2" w:space="0" w:color="auto"/>
            </w:tcBorders>
            <w:vAlign w:val="center"/>
          </w:tcPr>
          <w:p w14:paraId="63939CA3"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1,953,373,586.74</w:t>
            </w:r>
          </w:p>
        </w:tc>
        <w:tc>
          <w:tcPr>
            <w:tcW w:w="1928" w:type="dxa"/>
            <w:tcBorders>
              <w:top w:val="single" w:sz="2" w:space="0" w:color="auto"/>
              <w:left w:val="single" w:sz="2" w:space="0" w:color="auto"/>
              <w:bottom w:val="single" w:sz="2" w:space="0" w:color="auto"/>
              <w:right w:val="single" w:sz="2" w:space="0" w:color="auto"/>
            </w:tcBorders>
            <w:vAlign w:val="center"/>
          </w:tcPr>
          <w:p w14:paraId="30ED0F0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1,822,496,763.56</w:t>
            </w:r>
          </w:p>
        </w:tc>
      </w:tr>
    </w:tbl>
    <w:p w14:paraId="503D6C4F"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与履约义务相关的信息：</w:t>
      </w:r>
    </w:p>
    <w:p w14:paraId="3793D865" w14:textId="77777777" w:rsidR="000309B5" w:rsidRPr="005A284F" w:rsidRDefault="00000000">
      <w:pPr>
        <w:pStyle w:val="a3"/>
        <w:divId w:val="512190747"/>
        <w:rPr>
          <w:rFonts w:ascii="Times New Roman" w:hAnsi="Times New Roman" w:cs="Times New Roman"/>
          <w:sz w:val="18"/>
          <w:szCs w:val="18"/>
        </w:rPr>
      </w:pPr>
      <w:r w:rsidRPr="005A284F">
        <w:rPr>
          <w:rFonts w:ascii="Times New Roman" w:hAnsi="Times New Roman" w:cs="Times New Roman"/>
          <w:sz w:val="18"/>
          <w:szCs w:val="18"/>
        </w:rPr>
        <w:t>无</w:t>
      </w:r>
    </w:p>
    <w:p w14:paraId="3DE17521"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与分摊至剩余履约义务的交易价格相关的信息：</w:t>
      </w:r>
    </w:p>
    <w:p w14:paraId="111B5EE3" w14:textId="77777777" w:rsidR="000309B5" w:rsidRPr="005A284F" w:rsidRDefault="00000000">
      <w:pPr>
        <w:pStyle w:val="a3"/>
        <w:divId w:val="14890680"/>
        <w:rPr>
          <w:rFonts w:ascii="Times New Roman" w:hAnsi="Times New Roman" w:cs="Times New Roman"/>
          <w:sz w:val="18"/>
          <w:szCs w:val="18"/>
        </w:rPr>
      </w:pPr>
      <w:r w:rsidRPr="005A284F">
        <w:rPr>
          <w:rFonts w:ascii="Times New Roman" w:hAnsi="Times New Roman" w:cs="Times New Roman"/>
          <w:sz w:val="18"/>
          <w:szCs w:val="18"/>
        </w:rPr>
        <w:t>无</w:t>
      </w:r>
    </w:p>
    <w:p w14:paraId="6213F6AA" w14:textId="77777777" w:rsidR="006C011D" w:rsidRPr="005A284F" w:rsidRDefault="00000000">
      <w:pPr>
        <w:pStyle w:val="3"/>
        <w:spacing w:line="280" w:lineRule="exact"/>
        <w:jc w:val="left"/>
        <w:rPr>
          <w:rFonts w:ascii="Times New Roman" w:hAnsi="Times New Roman" w:cs="Times New Roman"/>
          <w:b/>
          <w:bCs/>
        </w:rPr>
      </w:pPr>
      <w:bookmarkStart w:id="462" w:name="_Toc989445"/>
      <w:r w:rsidRPr="005A284F">
        <w:rPr>
          <w:rFonts w:ascii="Times New Roman" w:hAnsi="Times New Roman" w:cs="Times New Roman"/>
          <w:b/>
          <w:bCs/>
        </w:rPr>
        <w:t>5</w:t>
      </w:r>
      <w:r w:rsidRPr="005A284F">
        <w:rPr>
          <w:rFonts w:ascii="Times New Roman" w:hAnsi="Times New Roman" w:cs="Times New Roman"/>
          <w:b/>
          <w:bCs/>
        </w:rPr>
        <w:t>、投资收益</w:t>
      </w:r>
      <w:bookmarkEnd w:id="462"/>
    </w:p>
    <w:p w14:paraId="32EACD8C" w14:textId="77777777" w:rsidR="006C011D" w:rsidRPr="005A284F" w:rsidRDefault="00000000">
      <w:pPr>
        <w:spacing w:before="40" w:after="4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1F6367FD" w14:textId="77777777" w:rsidTr="00AC3E7A">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DC3C0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F73C3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CE1760"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上期发生额</w:t>
            </w:r>
          </w:p>
        </w:tc>
      </w:tr>
      <w:tr w:rsidR="006C011D" w:rsidRPr="005A284F" w14:paraId="4ED5E60D" w14:textId="77777777" w:rsidTr="00AC3E7A">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990B88"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交易性金融资产在持有期间的投资收益</w:t>
            </w:r>
          </w:p>
        </w:tc>
        <w:tc>
          <w:tcPr>
            <w:tcW w:w="3213" w:type="dxa"/>
            <w:tcBorders>
              <w:top w:val="single" w:sz="2" w:space="0" w:color="auto"/>
              <w:left w:val="single" w:sz="2" w:space="0" w:color="auto"/>
              <w:bottom w:val="single" w:sz="2" w:space="0" w:color="auto"/>
              <w:right w:val="single" w:sz="2" w:space="0" w:color="auto"/>
            </w:tcBorders>
            <w:vAlign w:val="center"/>
          </w:tcPr>
          <w:p w14:paraId="615C4A34"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690,346.28</w:t>
            </w:r>
          </w:p>
        </w:tc>
        <w:tc>
          <w:tcPr>
            <w:tcW w:w="3213" w:type="dxa"/>
            <w:tcBorders>
              <w:top w:val="single" w:sz="2" w:space="0" w:color="auto"/>
              <w:left w:val="single" w:sz="2" w:space="0" w:color="auto"/>
              <w:bottom w:val="single" w:sz="2" w:space="0" w:color="auto"/>
              <w:right w:val="single" w:sz="2" w:space="0" w:color="auto"/>
            </w:tcBorders>
            <w:vAlign w:val="center"/>
          </w:tcPr>
          <w:p w14:paraId="2C979903" w14:textId="77777777" w:rsidR="006C011D" w:rsidRPr="005A284F" w:rsidRDefault="006C011D">
            <w:pPr>
              <w:spacing w:after="0" w:line="240" w:lineRule="exact"/>
              <w:jc w:val="right"/>
              <w:rPr>
                <w:rFonts w:ascii="Times New Roman" w:eastAsia="宋体" w:hAnsi="Times New Roman" w:cs="Times New Roman"/>
                <w:sz w:val="18"/>
                <w:szCs w:val="18"/>
              </w:rPr>
            </w:pPr>
          </w:p>
        </w:tc>
      </w:tr>
      <w:tr w:rsidR="006C011D" w:rsidRPr="005A284F" w14:paraId="7C26C94B" w14:textId="77777777" w:rsidTr="00AC3E7A">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E75204"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B4266B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690,346.28</w:t>
            </w:r>
          </w:p>
        </w:tc>
        <w:tc>
          <w:tcPr>
            <w:tcW w:w="3213" w:type="dxa"/>
            <w:tcBorders>
              <w:top w:val="single" w:sz="2" w:space="0" w:color="auto"/>
              <w:left w:val="single" w:sz="2" w:space="0" w:color="auto"/>
              <w:bottom w:val="single" w:sz="2" w:space="0" w:color="auto"/>
              <w:right w:val="single" w:sz="2" w:space="0" w:color="auto"/>
            </w:tcBorders>
            <w:vAlign w:val="center"/>
          </w:tcPr>
          <w:p w14:paraId="0D6BD067" w14:textId="77777777" w:rsidR="006C011D" w:rsidRPr="005A284F" w:rsidRDefault="006C011D">
            <w:pPr>
              <w:spacing w:after="0" w:line="240" w:lineRule="exact"/>
              <w:jc w:val="right"/>
              <w:rPr>
                <w:rFonts w:ascii="Times New Roman" w:eastAsia="宋体" w:hAnsi="Times New Roman" w:cs="Times New Roman"/>
                <w:sz w:val="18"/>
                <w:szCs w:val="18"/>
              </w:rPr>
            </w:pPr>
          </w:p>
        </w:tc>
      </w:tr>
    </w:tbl>
    <w:p w14:paraId="77054631" w14:textId="77777777" w:rsidR="006C011D" w:rsidRPr="005A284F" w:rsidRDefault="00000000">
      <w:pPr>
        <w:pStyle w:val="3"/>
        <w:spacing w:line="280" w:lineRule="exact"/>
        <w:jc w:val="left"/>
        <w:rPr>
          <w:rFonts w:ascii="Times New Roman" w:hAnsi="Times New Roman" w:cs="Times New Roman"/>
          <w:b/>
          <w:bCs/>
        </w:rPr>
      </w:pPr>
      <w:bookmarkStart w:id="463" w:name="_Toc989446"/>
      <w:r w:rsidRPr="005A284F">
        <w:rPr>
          <w:rFonts w:ascii="Times New Roman" w:hAnsi="Times New Roman" w:cs="Times New Roman"/>
          <w:b/>
          <w:bCs/>
        </w:rPr>
        <w:t>6</w:t>
      </w:r>
      <w:r w:rsidRPr="005A284F">
        <w:rPr>
          <w:rFonts w:ascii="Times New Roman" w:hAnsi="Times New Roman" w:cs="Times New Roman"/>
          <w:b/>
          <w:bCs/>
        </w:rPr>
        <w:t>、其他</w:t>
      </w:r>
      <w:bookmarkEnd w:id="463"/>
    </w:p>
    <w:p w14:paraId="13FE0249" w14:textId="77777777" w:rsidR="003101BC" w:rsidRPr="005A284F" w:rsidRDefault="003101BC" w:rsidP="003101BC">
      <w:pPr>
        <w:pStyle w:val="a3"/>
        <w:rPr>
          <w:rFonts w:ascii="Times New Roman" w:hAnsi="Times New Roman" w:cs="Times New Roman"/>
          <w:sz w:val="18"/>
          <w:szCs w:val="18"/>
        </w:rPr>
      </w:pPr>
      <w:bookmarkStart w:id="464" w:name="_Toc989447"/>
      <w:r w:rsidRPr="005A284F">
        <w:rPr>
          <w:rFonts w:ascii="Times New Roman" w:hAnsi="Times New Roman" w:cs="Times New Roman"/>
          <w:sz w:val="18"/>
          <w:szCs w:val="18"/>
        </w:rPr>
        <w:t>无</w:t>
      </w:r>
    </w:p>
    <w:p w14:paraId="07952EA6"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r w:rsidRPr="005A284F">
        <w:rPr>
          <w:rFonts w:ascii="Times New Roman" w:eastAsia="宋体" w:hAnsi="Times New Roman" w:cs="Times New Roman"/>
          <w:b/>
          <w:bCs/>
          <w:sz w:val="24"/>
          <w:szCs w:val="24"/>
        </w:rPr>
        <w:lastRenderedPageBreak/>
        <w:t>二十、补充资料</w:t>
      </w:r>
      <w:bookmarkEnd w:id="464"/>
    </w:p>
    <w:p w14:paraId="012B53C0" w14:textId="77777777" w:rsidR="006C011D" w:rsidRPr="005A284F" w:rsidRDefault="00000000">
      <w:pPr>
        <w:pStyle w:val="3"/>
        <w:spacing w:line="280" w:lineRule="exact"/>
        <w:jc w:val="left"/>
        <w:rPr>
          <w:rFonts w:ascii="Times New Roman" w:hAnsi="Times New Roman" w:cs="Times New Roman"/>
          <w:b/>
          <w:bCs/>
        </w:rPr>
      </w:pPr>
      <w:bookmarkStart w:id="465" w:name="_Toc989448"/>
      <w:r w:rsidRPr="005A284F">
        <w:rPr>
          <w:rFonts w:ascii="Times New Roman" w:hAnsi="Times New Roman" w:cs="Times New Roman"/>
          <w:b/>
          <w:bCs/>
        </w:rPr>
        <w:t>1</w:t>
      </w:r>
      <w:r w:rsidRPr="005A284F">
        <w:rPr>
          <w:rFonts w:ascii="Times New Roman" w:hAnsi="Times New Roman" w:cs="Times New Roman"/>
          <w:b/>
          <w:bCs/>
        </w:rPr>
        <w:t>、当期非经常性损益明细表</w:t>
      </w:r>
      <w:bookmarkEnd w:id="465"/>
    </w:p>
    <w:p w14:paraId="76389E20" w14:textId="77777777" w:rsidR="006C011D" w:rsidRPr="003101BC" w:rsidRDefault="00000000">
      <w:pPr>
        <w:spacing w:after="0" w:line="240" w:lineRule="exact"/>
        <w:rPr>
          <w:rFonts w:ascii="宋体" w:eastAsia="宋体" w:hAnsi="宋体" w:cs="Times New Roman" w:hint="eastAsia"/>
          <w:sz w:val="18"/>
          <w:szCs w:val="18"/>
        </w:rPr>
      </w:pPr>
      <w:r w:rsidRPr="003101BC">
        <w:rPr>
          <w:rFonts w:ascii="宋体" w:eastAsia="宋体" w:hAnsi="宋体" w:cs="Times New Roman"/>
          <w:sz w:val="18"/>
          <w:szCs w:val="18"/>
        </w:rPr>
        <w:sym w:font="Wingdings 2" w:char="F052"/>
      </w:r>
      <w:r w:rsidRPr="003101BC">
        <w:rPr>
          <w:rFonts w:ascii="宋体" w:eastAsia="宋体" w:hAnsi="宋体" w:cs="Times New Roman"/>
          <w:sz w:val="18"/>
          <w:szCs w:val="18"/>
        </w:rPr>
        <w:t>适用 □不适用</w:t>
      </w:r>
    </w:p>
    <w:p w14:paraId="7517265D" w14:textId="77777777" w:rsidR="006C011D" w:rsidRPr="005A284F" w:rsidRDefault="00000000">
      <w:pPr>
        <w:spacing w:before="120" w:after="12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单位：元</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C011D" w:rsidRPr="005A284F" w14:paraId="05DE3A71" w14:textId="77777777" w:rsidTr="00AC3E7A">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27A30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A59337"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0D78C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说明</w:t>
            </w:r>
          </w:p>
        </w:tc>
      </w:tr>
      <w:tr w:rsidR="006C011D" w:rsidRPr="005A284F" w14:paraId="355D69FF" w14:textId="77777777" w:rsidTr="00AC3E7A">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74A89D"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非流动性资产处置损益</w:t>
            </w:r>
          </w:p>
        </w:tc>
        <w:tc>
          <w:tcPr>
            <w:tcW w:w="3213" w:type="dxa"/>
            <w:tcBorders>
              <w:top w:val="single" w:sz="2" w:space="0" w:color="auto"/>
              <w:left w:val="single" w:sz="2" w:space="0" w:color="auto"/>
              <w:bottom w:val="single" w:sz="2" w:space="0" w:color="auto"/>
              <w:right w:val="single" w:sz="2" w:space="0" w:color="auto"/>
            </w:tcBorders>
            <w:vAlign w:val="center"/>
          </w:tcPr>
          <w:p w14:paraId="4B75654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-2,068,575.45</w:t>
            </w:r>
          </w:p>
        </w:tc>
        <w:tc>
          <w:tcPr>
            <w:tcW w:w="3213" w:type="dxa"/>
            <w:tcBorders>
              <w:top w:val="single" w:sz="2" w:space="0" w:color="auto"/>
              <w:left w:val="single" w:sz="2" w:space="0" w:color="auto"/>
              <w:bottom w:val="single" w:sz="2" w:space="0" w:color="auto"/>
              <w:right w:val="single" w:sz="2" w:space="0" w:color="auto"/>
            </w:tcBorders>
            <w:vAlign w:val="center"/>
          </w:tcPr>
          <w:p w14:paraId="71BB3140" w14:textId="77777777" w:rsidR="006C011D" w:rsidRPr="005A284F" w:rsidRDefault="006C011D">
            <w:pPr>
              <w:spacing w:after="0" w:line="240" w:lineRule="exact"/>
              <w:rPr>
                <w:rFonts w:ascii="Times New Roman" w:eastAsia="宋体" w:hAnsi="Times New Roman" w:cs="Times New Roman"/>
                <w:sz w:val="18"/>
                <w:szCs w:val="18"/>
              </w:rPr>
            </w:pPr>
          </w:p>
        </w:tc>
      </w:tr>
      <w:tr w:rsidR="006C011D" w:rsidRPr="005A284F" w14:paraId="5B488EE8" w14:textId="77777777" w:rsidTr="00AC3E7A">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B83E51"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计入当期损益的政府补助（与公司正常经营业务密切相关、符合国家政策规定、按照确定的标准享有、对公司损益产生持续影响的政府补助除外）</w:t>
            </w:r>
          </w:p>
        </w:tc>
        <w:tc>
          <w:tcPr>
            <w:tcW w:w="3213" w:type="dxa"/>
            <w:tcBorders>
              <w:top w:val="single" w:sz="2" w:space="0" w:color="auto"/>
              <w:left w:val="single" w:sz="2" w:space="0" w:color="auto"/>
              <w:bottom w:val="single" w:sz="2" w:space="0" w:color="auto"/>
              <w:right w:val="single" w:sz="2" w:space="0" w:color="auto"/>
            </w:tcBorders>
            <w:vAlign w:val="center"/>
          </w:tcPr>
          <w:p w14:paraId="463B8BB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4,239,031.26</w:t>
            </w:r>
          </w:p>
        </w:tc>
        <w:tc>
          <w:tcPr>
            <w:tcW w:w="3213" w:type="dxa"/>
            <w:tcBorders>
              <w:top w:val="single" w:sz="2" w:space="0" w:color="auto"/>
              <w:left w:val="single" w:sz="2" w:space="0" w:color="auto"/>
              <w:bottom w:val="single" w:sz="2" w:space="0" w:color="auto"/>
              <w:right w:val="single" w:sz="2" w:space="0" w:color="auto"/>
            </w:tcBorders>
            <w:vAlign w:val="center"/>
          </w:tcPr>
          <w:p w14:paraId="756C6AC2" w14:textId="77777777" w:rsidR="006C011D" w:rsidRPr="005A284F" w:rsidRDefault="006C011D">
            <w:pPr>
              <w:spacing w:after="0" w:line="240" w:lineRule="exact"/>
              <w:rPr>
                <w:rFonts w:ascii="Times New Roman" w:eastAsia="宋体" w:hAnsi="Times New Roman" w:cs="Times New Roman"/>
                <w:sz w:val="18"/>
                <w:szCs w:val="18"/>
              </w:rPr>
            </w:pPr>
          </w:p>
        </w:tc>
      </w:tr>
      <w:tr w:rsidR="006C011D" w:rsidRPr="005A284F" w14:paraId="1F5F8BBF" w14:textId="77777777" w:rsidTr="00AC3E7A">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9F52FF"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除同公司正常经营业务相关的有效套期保值业务外，非金融企业持有金融资产和金融负债产生的公允价值变动损益以及处置金融资产和金融负债产生的损益</w:t>
            </w:r>
          </w:p>
        </w:tc>
        <w:tc>
          <w:tcPr>
            <w:tcW w:w="3213" w:type="dxa"/>
            <w:tcBorders>
              <w:top w:val="single" w:sz="2" w:space="0" w:color="auto"/>
              <w:left w:val="single" w:sz="2" w:space="0" w:color="auto"/>
              <w:bottom w:val="single" w:sz="2" w:space="0" w:color="auto"/>
              <w:right w:val="single" w:sz="2" w:space="0" w:color="auto"/>
            </w:tcBorders>
            <w:vAlign w:val="center"/>
          </w:tcPr>
          <w:p w14:paraId="403FA5A7"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680,520.71</w:t>
            </w:r>
          </w:p>
        </w:tc>
        <w:tc>
          <w:tcPr>
            <w:tcW w:w="3213" w:type="dxa"/>
            <w:tcBorders>
              <w:top w:val="single" w:sz="2" w:space="0" w:color="auto"/>
              <w:left w:val="single" w:sz="2" w:space="0" w:color="auto"/>
              <w:bottom w:val="single" w:sz="2" w:space="0" w:color="auto"/>
              <w:right w:val="single" w:sz="2" w:space="0" w:color="auto"/>
            </w:tcBorders>
            <w:vAlign w:val="center"/>
          </w:tcPr>
          <w:p w14:paraId="64C2C72A" w14:textId="77777777" w:rsidR="006C011D" w:rsidRPr="005A284F" w:rsidRDefault="006C011D">
            <w:pPr>
              <w:spacing w:after="0" w:line="240" w:lineRule="exact"/>
              <w:rPr>
                <w:rFonts w:ascii="Times New Roman" w:eastAsia="宋体" w:hAnsi="Times New Roman" w:cs="Times New Roman"/>
                <w:sz w:val="18"/>
                <w:szCs w:val="18"/>
              </w:rPr>
            </w:pPr>
          </w:p>
        </w:tc>
      </w:tr>
      <w:tr w:rsidR="006C011D" w:rsidRPr="005A284F" w14:paraId="18CF5145" w14:textId="77777777" w:rsidTr="00AC3E7A">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80F109"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单独进行减值测试的应收款项减值准备转回</w:t>
            </w:r>
          </w:p>
        </w:tc>
        <w:tc>
          <w:tcPr>
            <w:tcW w:w="3213" w:type="dxa"/>
            <w:tcBorders>
              <w:top w:val="single" w:sz="2" w:space="0" w:color="auto"/>
              <w:left w:val="single" w:sz="2" w:space="0" w:color="auto"/>
              <w:bottom w:val="single" w:sz="2" w:space="0" w:color="auto"/>
              <w:right w:val="single" w:sz="2" w:space="0" w:color="auto"/>
            </w:tcBorders>
            <w:vAlign w:val="center"/>
          </w:tcPr>
          <w:p w14:paraId="00ABA729"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643,946.64</w:t>
            </w:r>
          </w:p>
        </w:tc>
        <w:tc>
          <w:tcPr>
            <w:tcW w:w="3213" w:type="dxa"/>
            <w:tcBorders>
              <w:top w:val="single" w:sz="2" w:space="0" w:color="auto"/>
              <w:left w:val="single" w:sz="2" w:space="0" w:color="auto"/>
              <w:bottom w:val="single" w:sz="2" w:space="0" w:color="auto"/>
              <w:right w:val="single" w:sz="2" w:space="0" w:color="auto"/>
            </w:tcBorders>
            <w:vAlign w:val="center"/>
          </w:tcPr>
          <w:p w14:paraId="54388EE9" w14:textId="77777777" w:rsidR="006C011D" w:rsidRPr="005A284F" w:rsidRDefault="006C011D">
            <w:pPr>
              <w:spacing w:after="0" w:line="240" w:lineRule="exact"/>
              <w:rPr>
                <w:rFonts w:ascii="Times New Roman" w:eastAsia="宋体" w:hAnsi="Times New Roman" w:cs="Times New Roman"/>
                <w:sz w:val="18"/>
                <w:szCs w:val="18"/>
              </w:rPr>
            </w:pPr>
          </w:p>
        </w:tc>
      </w:tr>
      <w:tr w:rsidR="006C011D" w:rsidRPr="005A284F" w14:paraId="45D98692" w14:textId="77777777" w:rsidTr="00AC3E7A">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6D9417"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除上述各项之外的其他营业外收入和支出</w:t>
            </w:r>
          </w:p>
        </w:tc>
        <w:tc>
          <w:tcPr>
            <w:tcW w:w="3213" w:type="dxa"/>
            <w:tcBorders>
              <w:top w:val="single" w:sz="2" w:space="0" w:color="auto"/>
              <w:left w:val="single" w:sz="2" w:space="0" w:color="auto"/>
              <w:bottom w:val="single" w:sz="2" w:space="0" w:color="auto"/>
              <w:right w:val="single" w:sz="2" w:space="0" w:color="auto"/>
            </w:tcBorders>
            <w:vAlign w:val="center"/>
          </w:tcPr>
          <w:p w14:paraId="5AD70FE5"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309,376.83</w:t>
            </w:r>
          </w:p>
        </w:tc>
        <w:tc>
          <w:tcPr>
            <w:tcW w:w="3213" w:type="dxa"/>
            <w:tcBorders>
              <w:top w:val="single" w:sz="2" w:space="0" w:color="auto"/>
              <w:left w:val="single" w:sz="2" w:space="0" w:color="auto"/>
              <w:bottom w:val="single" w:sz="2" w:space="0" w:color="auto"/>
              <w:right w:val="single" w:sz="2" w:space="0" w:color="auto"/>
            </w:tcBorders>
            <w:vAlign w:val="center"/>
          </w:tcPr>
          <w:p w14:paraId="0789A05B" w14:textId="77777777" w:rsidR="006C011D" w:rsidRPr="005A284F" w:rsidRDefault="006C011D">
            <w:pPr>
              <w:spacing w:after="0" w:line="240" w:lineRule="exact"/>
              <w:rPr>
                <w:rFonts w:ascii="Times New Roman" w:eastAsia="宋体" w:hAnsi="Times New Roman" w:cs="Times New Roman"/>
                <w:sz w:val="18"/>
                <w:szCs w:val="18"/>
              </w:rPr>
            </w:pPr>
          </w:p>
        </w:tc>
      </w:tr>
      <w:tr w:rsidR="006C011D" w:rsidRPr="005A284F" w14:paraId="1DA33C83" w14:textId="77777777" w:rsidTr="00AC3E7A">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0C5BC4"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减：所得税影响额</w:t>
            </w:r>
          </w:p>
        </w:tc>
        <w:tc>
          <w:tcPr>
            <w:tcW w:w="3213" w:type="dxa"/>
            <w:tcBorders>
              <w:top w:val="single" w:sz="2" w:space="0" w:color="auto"/>
              <w:left w:val="single" w:sz="2" w:space="0" w:color="auto"/>
              <w:bottom w:val="single" w:sz="2" w:space="0" w:color="auto"/>
              <w:right w:val="single" w:sz="2" w:space="0" w:color="auto"/>
            </w:tcBorders>
            <w:vAlign w:val="center"/>
          </w:tcPr>
          <w:p w14:paraId="0629480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9,016.08</w:t>
            </w:r>
          </w:p>
        </w:tc>
        <w:tc>
          <w:tcPr>
            <w:tcW w:w="3213" w:type="dxa"/>
            <w:tcBorders>
              <w:top w:val="single" w:sz="2" w:space="0" w:color="auto"/>
              <w:left w:val="single" w:sz="2" w:space="0" w:color="auto"/>
              <w:bottom w:val="single" w:sz="2" w:space="0" w:color="auto"/>
              <w:right w:val="single" w:sz="2" w:space="0" w:color="auto"/>
            </w:tcBorders>
            <w:vAlign w:val="center"/>
          </w:tcPr>
          <w:p w14:paraId="78BD9FAA" w14:textId="77777777" w:rsidR="006C011D" w:rsidRPr="005A284F" w:rsidRDefault="006C011D">
            <w:pPr>
              <w:spacing w:after="0" w:line="240" w:lineRule="exact"/>
              <w:rPr>
                <w:rFonts w:ascii="Times New Roman" w:eastAsia="宋体" w:hAnsi="Times New Roman" w:cs="Times New Roman"/>
                <w:sz w:val="18"/>
                <w:szCs w:val="18"/>
              </w:rPr>
            </w:pPr>
          </w:p>
        </w:tc>
      </w:tr>
      <w:tr w:rsidR="006C011D" w:rsidRPr="005A284F" w14:paraId="05675187" w14:textId="77777777" w:rsidTr="00AC3E7A">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553BE4" w14:textId="77777777" w:rsidR="006C011D" w:rsidRPr="005A284F" w:rsidRDefault="00000000">
            <w:pPr>
              <w:spacing w:before="40" w:after="40" w:line="240" w:lineRule="exact"/>
              <w:ind w:firstLineChars="200" w:firstLine="360"/>
              <w:rPr>
                <w:rFonts w:ascii="Times New Roman" w:eastAsia="宋体" w:hAnsi="Times New Roman" w:cs="Times New Roman"/>
                <w:sz w:val="18"/>
                <w:szCs w:val="18"/>
              </w:rPr>
            </w:pPr>
            <w:r w:rsidRPr="005A284F">
              <w:rPr>
                <w:rFonts w:ascii="Times New Roman" w:eastAsia="宋体" w:hAnsi="Times New Roman" w:cs="Times New Roman"/>
                <w:sz w:val="18"/>
                <w:szCs w:val="18"/>
              </w:rPr>
              <w:t>少数股东权益影响额（税后）</w:t>
            </w:r>
          </w:p>
        </w:tc>
        <w:tc>
          <w:tcPr>
            <w:tcW w:w="3213" w:type="dxa"/>
            <w:tcBorders>
              <w:top w:val="single" w:sz="2" w:space="0" w:color="auto"/>
              <w:left w:val="single" w:sz="2" w:space="0" w:color="auto"/>
              <w:bottom w:val="single" w:sz="2" w:space="0" w:color="auto"/>
              <w:right w:val="single" w:sz="2" w:space="0" w:color="auto"/>
            </w:tcBorders>
            <w:vAlign w:val="center"/>
          </w:tcPr>
          <w:p w14:paraId="52E76C8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906,191.53</w:t>
            </w:r>
          </w:p>
        </w:tc>
        <w:tc>
          <w:tcPr>
            <w:tcW w:w="3213" w:type="dxa"/>
            <w:tcBorders>
              <w:top w:val="single" w:sz="2" w:space="0" w:color="auto"/>
              <w:left w:val="single" w:sz="2" w:space="0" w:color="auto"/>
              <w:bottom w:val="single" w:sz="2" w:space="0" w:color="auto"/>
              <w:right w:val="single" w:sz="2" w:space="0" w:color="auto"/>
            </w:tcBorders>
            <w:vAlign w:val="center"/>
          </w:tcPr>
          <w:p w14:paraId="133C2515" w14:textId="77777777" w:rsidR="006C011D" w:rsidRPr="005A284F" w:rsidRDefault="006C011D">
            <w:pPr>
              <w:spacing w:after="0" w:line="240" w:lineRule="exact"/>
              <w:rPr>
                <w:rFonts w:ascii="Times New Roman" w:eastAsia="宋体" w:hAnsi="Times New Roman" w:cs="Times New Roman"/>
                <w:sz w:val="18"/>
                <w:szCs w:val="18"/>
              </w:rPr>
            </w:pPr>
          </w:p>
        </w:tc>
      </w:tr>
      <w:tr w:rsidR="006C011D" w:rsidRPr="005A284F" w14:paraId="018BF547" w14:textId="77777777" w:rsidTr="00AC3E7A">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AF52AD"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C039E40"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2,889,092.38</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DACA34"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w:t>
            </w:r>
          </w:p>
        </w:tc>
      </w:tr>
    </w:tbl>
    <w:p w14:paraId="714D43BC"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其他符合非经常性损益定义的损益项目的具体情况：</w:t>
      </w:r>
    </w:p>
    <w:p w14:paraId="3C2C842D" w14:textId="77777777" w:rsidR="006C011D" w:rsidRPr="003101BC" w:rsidRDefault="00000000" w:rsidP="003101BC">
      <w:pPr>
        <w:spacing w:after="0" w:line="240" w:lineRule="exact"/>
        <w:rPr>
          <w:rFonts w:ascii="宋体" w:eastAsia="宋体" w:hAnsi="宋体" w:cs="Times New Roman" w:hint="eastAsia"/>
          <w:sz w:val="18"/>
          <w:szCs w:val="18"/>
        </w:rPr>
      </w:pPr>
      <w:r w:rsidRPr="003101BC">
        <w:rPr>
          <w:rFonts w:ascii="宋体" w:eastAsia="宋体" w:hAnsi="宋体" w:cs="Times New Roman"/>
          <w:sz w:val="18"/>
          <w:szCs w:val="18"/>
        </w:rPr>
        <w:t xml:space="preserve">□适用 </w:t>
      </w:r>
      <w:r w:rsidRPr="003101BC">
        <w:rPr>
          <w:rFonts w:ascii="宋体" w:eastAsia="宋体" w:hAnsi="宋体" w:cs="Times New Roman"/>
          <w:sz w:val="18"/>
          <w:szCs w:val="18"/>
        </w:rPr>
        <w:sym w:font="Wingdings 2" w:char="F052"/>
      </w:r>
      <w:r w:rsidRPr="003101BC">
        <w:rPr>
          <w:rFonts w:ascii="宋体" w:eastAsia="宋体" w:hAnsi="宋体" w:cs="Times New Roman"/>
          <w:sz w:val="18"/>
          <w:szCs w:val="18"/>
        </w:rPr>
        <w:t>不适用</w:t>
      </w:r>
    </w:p>
    <w:p w14:paraId="12D7818D" w14:textId="77777777" w:rsidR="006C011D" w:rsidRPr="005A284F" w:rsidRDefault="00000000">
      <w:pPr>
        <w:spacing w:before="100" w:after="10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公司不存在其他符合非经常性损益定义的损益项目的具体情况。</w:t>
      </w:r>
    </w:p>
    <w:p w14:paraId="7091B179"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将《公开发行证券的公司信息披露解释性公告第</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号</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非经常性损益》中列举的非经常性损益项目界定为经常性损益项目的情况说明</w:t>
      </w:r>
    </w:p>
    <w:p w14:paraId="20525217" w14:textId="77777777" w:rsidR="006C011D" w:rsidRPr="003101BC" w:rsidRDefault="00000000" w:rsidP="003101BC">
      <w:pPr>
        <w:spacing w:after="0" w:line="240" w:lineRule="exact"/>
        <w:rPr>
          <w:rFonts w:ascii="宋体" w:eastAsia="宋体" w:hAnsi="宋体" w:cs="Times New Roman" w:hint="eastAsia"/>
          <w:sz w:val="18"/>
          <w:szCs w:val="18"/>
        </w:rPr>
      </w:pPr>
      <w:r w:rsidRPr="003101BC">
        <w:rPr>
          <w:rFonts w:ascii="宋体" w:eastAsia="宋体" w:hAnsi="宋体" w:cs="Times New Roman"/>
          <w:sz w:val="18"/>
          <w:szCs w:val="18"/>
        </w:rPr>
        <w:t xml:space="preserve">□适用 </w:t>
      </w:r>
      <w:r w:rsidRPr="003101BC">
        <w:rPr>
          <w:rFonts w:ascii="宋体" w:eastAsia="宋体" w:hAnsi="宋体" w:cs="Times New Roman"/>
          <w:sz w:val="18"/>
          <w:szCs w:val="18"/>
        </w:rPr>
        <w:sym w:font="Wingdings 2" w:char="F052"/>
      </w:r>
      <w:r w:rsidRPr="003101BC">
        <w:rPr>
          <w:rFonts w:ascii="宋体" w:eastAsia="宋体" w:hAnsi="宋体" w:cs="Times New Roman"/>
          <w:sz w:val="18"/>
          <w:szCs w:val="18"/>
        </w:rPr>
        <w:t>不适用</w:t>
      </w:r>
    </w:p>
    <w:p w14:paraId="1123FBD3" w14:textId="77777777" w:rsidR="006C011D" w:rsidRPr="005A284F" w:rsidRDefault="00000000">
      <w:pPr>
        <w:pStyle w:val="3"/>
        <w:spacing w:line="280" w:lineRule="exact"/>
        <w:jc w:val="left"/>
        <w:rPr>
          <w:rFonts w:ascii="Times New Roman" w:hAnsi="Times New Roman" w:cs="Times New Roman"/>
          <w:b/>
          <w:bCs/>
        </w:rPr>
      </w:pPr>
      <w:bookmarkStart w:id="466" w:name="_Toc989449"/>
      <w:r w:rsidRPr="005A284F">
        <w:rPr>
          <w:rFonts w:ascii="Times New Roman" w:hAnsi="Times New Roman" w:cs="Times New Roman"/>
          <w:b/>
          <w:bCs/>
        </w:rPr>
        <w:t>2</w:t>
      </w:r>
      <w:r w:rsidRPr="005A284F">
        <w:rPr>
          <w:rFonts w:ascii="Times New Roman" w:hAnsi="Times New Roman" w:cs="Times New Roman"/>
          <w:b/>
          <w:bCs/>
        </w:rPr>
        <w:t>、净资产收益率及每股收益</w:t>
      </w:r>
      <w:bookmarkEnd w:id="466"/>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6C011D" w:rsidRPr="005A284F" w14:paraId="15D069A2" w14:textId="77777777" w:rsidTr="00AC3E7A">
        <w:trPr>
          <w:trHeight w:val="240"/>
          <w:jc w:val="center"/>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C807B5C"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报告期利润</w:t>
            </w:r>
          </w:p>
        </w:tc>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8094A9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加权平均净资产收益率</w:t>
            </w:r>
          </w:p>
        </w:tc>
        <w:tc>
          <w:tcPr>
            <w:tcW w:w="482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780733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每股收益</w:t>
            </w:r>
          </w:p>
        </w:tc>
      </w:tr>
      <w:tr w:rsidR="006C011D" w:rsidRPr="005A284F" w14:paraId="4A855EE5" w14:textId="77777777" w:rsidTr="00AC3E7A">
        <w:trPr>
          <w:trHeight w:val="240"/>
          <w:jc w:val="center"/>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7713A4C" w14:textId="77777777" w:rsidR="006C011D" w:rsidRPr="005A284F" w:rsidRDefault="006C011D">
            <w:pPr>
              <w:rPr>
                <w:rFonts w:ascii="Times New Roman" w:eastAsia="宋体" w:hAnsi="Times New Roman" w:cs="Times New Roman"/>
              </w:rPr>
            </w:pPr>
          </w:p>
        </w:tc>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DD67CA1" w14:textId="77777777" w:rsidR="006C011D" w:rsidRPr="005A284F" w:rsidRDefault="006C011D">
            <w:pPr>
              <w:rPr>
                <w:rFonts w:ascii="Times New Roman" w:eastAsia="宋体" w:hAnsi="Times New Roman" w:cs="Times New Roman"/>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878129E"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基本每股收益（元</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股）</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16F00FA"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稀释每股收益（元</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股）</w:t>
            </w:r>
          </w:p>
        </w:tc>
      </w:tr>
      <w:tr w:rsidR="006C011D" w:rsidRPr="005A284F" w14:paraId="40683D0E" w14:textId="77777777" w:rsidTr="00AC3E7A">
        <w:trPr>
          <w:trHeight w:val="240"/>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9965C91"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归属于公司普通股股东的净利润</w:t>
            </w:r>
          </w:p>
        </w:tc>
        <w:tc>
          <w:tcPr>
            <w:tcW w:w="2410" w:type="dxa"/>
            <w:tcBorders>
              <w:top w:val="single" w:sz="2" w:space="0" w:color="auto"/>
              <w:left w:val="single" w:sz="2" w:space="0" w:color="auto"/>
              <w:bottom w:val="single" w:sz="2" w:space="0" w:color="auto"/>
              <w:right w:val="single" w:sz="2" w:space="0" w:color="auto"/>
            </w:tcBorders>
            <w:vAlign w:val="center"/>
          </w:tcPr>
          <w:p w14:paraId="186A1DAA"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2.61%</w:t>
            </w:r>
          </w:p>
        </w:tc>
        <w:tc>
          <w:tcPr>
            <w:tcW w:w="2410" w:type="dxa"/>
            <w:tcBorders>
              <w:top w:val="single" w:sz="2" w:space="0" w:color="auto"/>
              <w:left w:val="single" w:sz="2" w:space="0" w:color="auto"/>
              <w:bottom w:val="single" w:sz="2" w:space="0" w:color="auto"/>
              <w:right w:val="single" w:sz="2" w:space="0" w:color="auto"/>
            </w:tcBorders>
            <w:vAlign w:val="center"/>
          </w:tcPr>
          <w:p w14:paraId="3A00C75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0.03</w:t>
            </w:r>
          </w:p>
        </w:tc>
        <w:tc>
          <w:tcPr>
            <w:tcW w:w="2410" w:type="dxa"/>
            <w:tcBorders>
              <w:top w:val="single" w:sz="2" w:space="0" w:color="auto"/>
              <w:left w:val="single" w:sz="2" w:space="0" w:color="auto"/>
              <w:bottom w:val="single" w:sz="2" w:space="0" w:color="auto"/>
              <w:right w:val="single" w:sz="2" w:space="0" w:color="auto"/>
            </w:tcBorders>
            <w:vAlign w:val="center"/>
          </w:tcPr>
          <w:p w14:paraId="4AEB4FFB"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0.05</w:t>
            </w:r>
          </w:p>
        </w:tc>
      </w:tr>
      <w:tr w:rsidR="006C011D" w:rsidRPr="005A284F" w14:paraId="567810AF" w14:textId="77777777" w:rsidTr="00AC3E7A">
        <w:trPr>
          <w:trHeight w:val="240"/>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9FB1900"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扣除非经常性损益后归属于公司普通股股东的净利润</w:t>
            </w:r>
          </w:p>
        </w:tc>
        <w:tc>
          <w:tcPr>
            <w:tcW w:w="2410" w:type="dxa"/>
            <w:tcBorders>
              <w:top w:val="single" w:sz="2" w:space="0" w:color="auto"/>
              <w:left w:val="single" w:sz="2" w:space="0" w:color="auto"/>
              <w:bottom w:val="single" w:sz="2" w:space="0" w:color="auto"/>
              <w:right w:val="single" w:sz="2" w:space="0" w:color="auto"/>
            </w:tcBorders>
            <w:vAlign w:val="center"/>
          </w:tcPr>
          <w:p w14:paraId="30FB09D1"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2.39%</w:t>
            </w:r>
          </w:p>
        </w:tc>
        <w:tc>
          <w:tcPr>
            <w:tcW w:w="2410" w:type="dxa"/>
            <w:tcBorders>
              <w:top w:val="single" w:sz="2" w:space="0" w:color="auto"/>
              <w:left w:val="single" w:sz="2" w:space="0" w:color="auto"/>
              <w:bottom w:val="single" w:sz="2" w:space="0" w:color="auto"/>
              <w:right w:val="single" w:sz="2" w:space="0" w:color="auto"/>
            </w:tcBorders>
            <w:vAlign w:val="center"/>
          </w:tcPr>
          <w:p w14:paraId="29B4514C"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0.03</w:t>
            </w:r>
          </w:p>
        </w:tc>
        <w:tc>
          <w:tcPr>
            <w:tcW w:w="2410" w:type="dxa"/>
            <w:tcBorders>
              <w:top w:val="single" w:sz="2" w:space="0" w:color="auto"/>
              <w:left w:val="single" w:sz="2" w:space="0" w:color="auto"/>
              <w:bottom w:val="single" w:sz="2" w:space="0" w:color="auto"/>
              <w:right w:val="single" w:sz="2" w:space="0" w:color="auto"/>
            </w:tcBorders>
            <w:vAlign w:val="center"/>
          </w:tcPr>
          <w:p w14:paraId="059F9732" w14:textId="77777777" w:rsidR="006C011D" w:rsidRPr="005A284F" w:rsidRDefault="00000000">
            <w:pPr>
              <w:spacing w:after="0" w:line="240" w:lineRule="exact"/>
              <w:jc w:val="right"/>
              <w:rPr>
                <w:rFonts w:ascii="Times New Roman" w:eastAsia="宋体" w:hAnsi="Times New Roman" w:cs="Times New Roman"/>
                <w:sz w:val="18"/>
                <w:szCs w:val="18"/>
              </w:rPr>
            </w:pPr>
            <w:r w:rsidRPr="005A284F">
              <w:rPr>
                <w:rFonts w:ascii="Times New Roman" w:eastAsia="宋体" w:hAnsi="Times New Roman" w:cs="Times New Roman"/>
                <w:sz w:val="18"/>
                <w:szCs w:val="18"/>
              </w:rPr>
              <w:t>0.05</w:t>
            </w:r>
          </w:p>
        </w:tc>
      </w:tr>
    </w:tbl>
    <w:p w14:paraId="5724FA44" w14:textId="77777777" w:rsidR="006C011D" w:rsidRPr="005A284F" w:rsidRDefault="00000000">
      <w:pPr>
        <w:pStyle w:val="3"/>
        <w:spacing w:line="280" w:lineRule="exact"/>
        <w:jc w:val="left"/>
        <w:rPr>
          <w:rFonts w:ascii="Times New Roman" w:hAnsi="Times New Roman" w:cs="Times New Roman"/>
          <w:b/>
          <w:bCs/>
        </w:rPr>
      </w:pPr>
      <w:bookmarkStart w:id="467" w:name="_Toc989450"/>
      <w:r w:rsidRPr="005A284F">
        <w:rPr>
          <w:rFonts w:ascii="Times New Roman" w:hAnsi="Times New Roman" w:cs="Times New Roman"/>
          <w:b/>
          <w:bCs/>
        </w:rPr>
        <w:t>3</w:t>
      </w:r>
      <w:r w:rsidRPr="005A284F">
        <w:rPr>
          <w:rFonts w:ascii="Times New Roman" w:hAnsi="Times New Roman" w:cs="Times New Roman"/>
          <w:b/>
          <w:bCs/>
        </w:rPr>
        <w:t>、境内外会计准则下会计数据差异</w:t>
      </w:r>
      <w:bookmarkEnd w:id="467"/>
    </w:p>
    <w:p w14:paraId="40A1E3BC" w14:textId="24823F9B"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468" w:name="_Toc989451"/>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1</w:t>
      </w:r>
      <w:r w:rsidRPr="005A284F">
        <w:rPr>
          <w:rFonts w:ascii="Times New Roman" w:eastAsia="宋体" w:hAnsi="Times New Roman" w:cs="Times New Roman"/>
          <w:b/>
          <w:bCs/>
          <w:sz w:val="21"/>
          <w:szCs w:val="21"/>
        </w:rPr>
        <w:t>）同时按照国际会计准则与按中国会计准则披露的财务报告中净利润和净资产差异情况</w:t>
      </w:r>
      <w:bookmarkEnd w:id="468"/>
    </w:p>
    <w:p w14:paraId="1DAA85C1" w14:textId="77777777" w:rsidR="006C011D" w:rsidRPr="008A6DFB" w:rsidRDefault="00000000">
      <w:pPr>
        <w:spacing w:after="0" w:line="240" w:lineRule="exact"/>
        <w:rPr>
          <w:rFonts w:ascii="宋体" w:eastAsia="宋体" w:hAnsi="宋体" w:cs="Times New Roman" w:hint="eastAsia"/>
          <w:sz w:val="18"/>
          <w:szCs w:val="18"/>
        </w:rPr>
      </w:pPr>
      <w:r w:rsidRPr="008A6DFB">
        <w:rPr>
          <w:rFonts w:ascii="宋体" w:eastAsia="宋体" w:hAnsi="宋体" w:cs="Times New Roman"/>
          <w:sz w:val="18"/>
          <w:szCs w:val="18"/>
        </w:rPr>
        <w:t xml:space="preserve">□适用 </w:t>
      </w:r>
      <w:r w:rsidRPr="008A6DFB">
        <w:rPr>
          <w:rFonts w:ascii="宋体" w:eastAsia="宋体" w:hAnsi="宋体" w:cs="Times New Roman"/>
          <w:sz w:val="18"/>
          <w:szCs w:val="18"/>
        </w:rPr>
        <w:sym w:font="Wingdings 2" w:char="F052"/>
      </w:r>
      <w:r w:rsidRPr="008A6DFB">
        <w:rPr>
          <w:rFonts w:ascii="宋体" w:eastAsia="宋体" w:hAnsi="宋体" w:cs="Times New Roman"/>
          <w:sz w:val="18"/>
          <w:szCs w:val="18"/>
        </w:rPr>
        <w:t>不适用</w:t>
      </w:r>
    </w:p>
    <w:p w14:paraId="31DA0A84" w14:textId="33CEDB46"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469" w:name="_Toc989452"/>
      <w:r w:rsidRPr="005A284F">
        <w:rPr>
          <w:rFonts w:ascii="Times New Roman" w:eastAsia="宋体" w:hAnsi="Times New Roman" w:cs="Times New Roman"/>
          <w:b/>
          <w:bCs/>
          <w:sz w:val="21"/>
          <w:szCs w:val="21"/>
        </w:rPr>
        <w:lastRenderedPageBreak/>
        <w:t>（</w:t>
      </w:r>
      <w:r w:rsidRPr="005A284F">
        <w:rPr>
          <w:rFonts w:ascii="Times New Roman" w:eastAsia="宋体" w:hAnsi="Times New Roman" w:cs="Times New Roman"/>
          <w:b/>
          <w:bCs/>
          <w:sz w:val="21"/>
          <w:szCs w:val="21"/>
        </w:rPr>
        <w:t>2</w:t>
      </w:r>
      <w:r w:rsidRPr="005A284F">
        <w:rPr>
          <w:rFonts w:ascii="Times New Roman" w:eastAsia="宋体" w:hAnsi="Times New Roman" w:cs="Times New Roman"/>
          <w:b/>
          <w:bCs/>
          <w:sz w:val="21"/>
          <w:szCs w:val="21"/>
        </w:rPr>
        <w:t>）同时按照境外会计准则与按中国会计准则披露的财务报告中净利润和净资产差异情况</w:t>
      </w:r>
      <w:bookmarkEnd w:id="469"/>
    </w:p>
    <w:p w14:paraId="14D235C9" w14:textId="77777777" w:rsidR="006C011D" w:rsidRPr="008A6DFB" w:rsidRDefault="00000000">
      <w:pPr>
        <w:spacing w:after="0" w:line="240" w:lineRule="exact"/>
        <w:rPr>
          <w:rFonts w:ascii="宋体" w:eastAsia="宋体" w:hAnsi="宋体" w:cs="Times New Roman" w:hint="eastAsia"/>
          <w:sz w:val="18"/>
          <w:szCs w:val="18"/>
        </w:rPr>
      </w:pPr>
      <w:r w:rsidRPr="008A6DFB">
        <w:rPr>
          <w:rFonts w:ascii="宋体" w:eastAsia="宋体" w:hAnsi="宋体" w:cs="Times New Roman"/>
          <w:sz w:val="18"/>
          <w:szCs w:val="18"/>
        </w:rPr>
        <w:t xml:space="preserve">□适用 </w:t>
      </w:r>
      <w:r w:rsidRPr="008A6DFB">
        <w:rPr>
          <w:rFonts w:ascii="宋体" w:eastAsia="宋体" w:hAnsi="宋体" w:cs="Times New Roman"/>
          <w:sz w:val="18"/>
          <w:szCs w:val="18"/>
        </w:rPr>
        <w:sym w:font="Wingdings 2" w:char="F052"/>
      </w:r>
      <w:r w:rsidRPr="008A6DFB">
        <w:rPr>
          <w:rFonts w:ascii="宋体" w:eastAsia="宋体" w:hAnsi="宋体" w:cs="Times New Roman"/>
          <w:sz w:val="18"/>
          <w:szCs w:val="18"/>
        </w:rPr>
        <w:t>不适用</w:t>
      </w:r>
    </w:p>
    <w:p w14:paraId="5F660C9A" w14:textId="21BEEE97" w:rsidR="006C011D" w:rsidRPr="005A284F" w:rsidRDefault="00000000">
      <w:pPr>
        <w:keepNext/>
        <w:keepLines/>
        <w:spacing w:before="300" w:after="300" w:line="280" w:lineRule="exact"/>
        <w:outlineLvl w:val="3"/>
        <w:rPr>
          <w:rFonts w:ascii="Times New Roman" w:eastAsia="宋体" w:hAnsi="Times New Roman" w:cs="Times New Roman"/>
          <w:b/>
          <w:bCs/>
          <w:sz w:val="21"/>
          <w:szCs w:val="21"/>
        </w:rPr>
      </w:pPr>
      <w:bookmarkStart w:id="470" w:name="_Toc989453"/>
      <w:r w:rsidRPr="005A284F">
        <w:rPr>
          <w:rFonts w:ascii="Times New Roman" w:eastAsia="宋体" w:hAnsi="Times New Roman" w:cs="Times New Roman"/>
          <w:b/>
          <w:bCs/>
          <w:sz w:val="21"/>
          <w:szCs w:val="21"/>
        </w:rPr>
        <w:t>（</w:t>
      </w:r>
      <w:r w:rsidRPr="005A284F">
        <w:rPr>
          <w:rFonts w:ascii="Times New Roman" w:eastAsia="宋体" w:hAnsi="Times New Roman" w:cs="Times New Roman"/>
          <w:b/>
          <w:bCs/>
          <w:sz w:val="21"/>
          <w:szCs w:val="21"/>
        </w:rPr>
        <w:t>3</w:t>
      </w:r>
      <w:r w:rsidRPr="005A284F">
        <w:rPr>
          <w:rFonts w:ascii="Times New Roman" w:eastAsia="宋体" w:hAnsi="Times New Roman" w:cs="Times New Roman"/>
          <w:b/>
          <w:bCs/>
          <w:sz w:val="21"/>
          <w:szCs w:val="21"/>
        </w:rPr>
        <w:t>）境内外会计准则下会计数据差异原因说明，对已经境外审计机构审计的数据进行差异调节的，应注明该境外机构的名称</w:t>
      </w:r>
      <w:bookmarkEnd w:id="470"/>
    </w:p>
    <w:p w14:paraId="68FE4CB4" w14:textId="77777777" w:rsidR="006C011D" w:rsidRPr="005A284F" w:rsidRDefault="00000000">
      <w:pPr>
        <w:pStyle w:val="3"/>
        <w:spacing w:line="280" w:lineRule="exact"/>
        <w:jc w:val="left"/>
        <w:rPr>
          <w:rFonts w:ascii="Times New Roman" w:hAnsi="Times New Roman" w:cs="Times New Roman"/>
          <w:b/>
          <w:bCs/>
        </w:rPr>
      </w:pPr>
      <w:bookmarkStart w:id="471" w:name="_Toc989454"/>
      <w:r w:rsidRPr="005A284F">
        <w:rPr>
          <w:rFonts w:ascii="Times New Roman" w:hAnsi="Times New Roman" w:cs="Times New Roman"/>
          <w:b/>
          <w:bCs/>
        </w:rPr>
        <w:t>4</w:t>
      </w:r>
      <w:r w:rsidRPr="005A284F">
        <w:rPr>
          <w:rFonts w:ascii="Times New Roman" w:hAnsi="Times New Roman" w:cs="Times New Roman"/>
          <w:b/>
          <w:bCs/>
        </w:rPr>
        <w:t>、其他</w:t>
      </w:r>
      <w:bookmarkEnd w:id="471"/>
    </w:p>
    <w:p w14:paraId="7ED190A5" w14:textId="77777777" w:rsidR="000309B5" w:rsidRPr="005A284F" w:rsidRDefault="00000000">
      <w:pPr>
        <w:pStyle w:val="a3"/>
        <w:divId w:val="425687068"/>
        <w:rPr>
          <w:rFonts w:ascii="Times New Roman" w:hAnsi="Times New Roman" w:cs="Times New Roman"/>
          <w:sz w:val="18"/>
          <w:szCs w:val="18"/>
        </w:rPr>
      </w:pPr>
      <w:r w:rsidRPr="005A284F">
        <w:rPr>
          <w:rFonts w:ascii="Times New Roman" w:hAnsi="Times New Roman" w:cs="Times New Roman"/>
          <w:sz w:val="18"/>
          <w:szCs w:val="18"/>
        </w:rPr>
        <w:t>无</w:t>
      </w:r>
    </w:p>
    <w:p w14:paraId="48A7026D" w14:textId="77777777" w:rsidR="006C011D" w:rsidRPr="005A284F" w:rsidRDefault="00000000">
      <w:pPr>
        <w:rPr>
          <w:rFonts w:ascii="Times New Roman" w:eastAsia="宋体" w:hAnsi="Times New Roman" w:cs="Times New Roman"/>
        </w:rPr>
      </w:pPr>
      <w:r w:rsidRPr="005A284F">
        <w:rPr>
          <w:rFonts w:ascii="Times New Roman" w:eastAsia="宋体" w:hAnsi="Times New Roman" w:cs="Times New Roman"/>
        </w:rPr>
        <w:br w:type="page"/>
      </w:r>
    </w:p>
    <w:p w14:paraId="4A14EC6F" w14:textId="77777777" w:rsidR="006C011D" w:rsidRPr="005A284F" w:rsidRDefault="00000000">
      <w:pPr>
        <w:pStyle w:val="headingh1"/>
        <w:spacing w:before="340" w:after="330" w:line="773" w:lineRule="exact"/>
        <w:jc w:val="center"/>
        <w:rPr>
          <w:rFonts w:ascii="Times New Roman" w:eastAsia="宋体" w:hAnsi="Times New Roman" w:cs="Times New Roman"/>
          <w:b/>
          <w:bCs/>
          <w:sz w:val="32"/>
          <w:szCs w:val="32"/>
        </w:rPr>
      </w:pPr>
      <w:bookmarkStart w:id="472" w:name="_Toc989455"/>
      <w:r w:rsidRPr="005A284F">
        <w:rPr>
          <w:rFonts w:ascii="Times New Roman" w:eastAsia="宋体" w:hAnsi="Times New Roman" w:cs="Times New Roman"/>
          <w:b/>
          <w:bCs/>
          <w:sz w:val="32"/>
          <w:szCs w:val="32"/>
        </w:rPr>
        <w:lastRenderedPageBreak/>
        <w:t>第九节</w:t>
      </w:r>
      <w:r w:rsidRPr="005A284F">
        <w:rPr>
          <w:rFonts w:ascii="Times New Roman" w:eastAsia="宋体" w:hAnsi="Times New Roman" w:cs="Times New Roman"/>
          <w:b/>
          <w:bCs/>
          <w:sz w:val="32"/>
          <w:szCs w:val="32"/>
        </w:rPr>
        <w:t xml:space="preserve"> </w:t>
      </w:r>
      <w:r w:rsidRPr="005A284F">
        <w:rPr>
          <w:rFonts w:ascii="Times New Roman" w:eastAsia="宋体" w:hAnsi="Times New Roman" w:cs="Times New Roman"/>
          <w:b/>
          <w:bCs/>
          <w:sz w:val="32"/>
          <w:szCs w:val="32"/>
        </w:rPr>
        <w:t>其他报送数据</w:t>
      </w:r>
      <w:bookmarkEnd w:id="472"/>
    </w:p>
    <w:p w14:paraId="1FBF3A30"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473" w:name="_Toc989456"/>
      <w:r w:rsidRPr="005A284F">
        <w:rPr>
          <w:rFonts w:ascii="Times New Roman" w:eastAsia="宋体" w:hAnsi="Times New Roman" w:cs="Times New Roman"/>
          <w:b/>
          <w:bCs/>
          <w:sz w:val="24"/>
          <w:szCs w:val="24"/>
        </w:rPr>
        <w:t>一、其他重大社会安全问题情况</w:t>
      </w:r>
      <w:bookmarkEnd w:id="473"/>
    </w:p>
    <w:p w14:paraId="06281171"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上市公司及其子公司是否存在其他重大社会安全问题</w:t>
      </w:r>
    </w:p>
    <w:p w14:paraId="4A31D2E6" w14:textId="77777777" w:rsidR="006C011D" w:rsidRPr="003101BC" w:rsidRDefault="00000000">
      <w:pPr>
        <w:spacing w:before="40" w:after="40" w:line="240" w:lineRule="exact"/>
        <w:rPr>
          <w:rFonts w:ascii="宋体" w:eastAsia="宋体" w:hAnsi="宋体" w:cs="Times New Roman" w:hint="eastAsia"/>
          <w:sz w:val="18"/>
          <w:szCs w:val="18"/>
        </w:rPr>
      </w:pPr>
      <w:r w:rsidRPr="003101BC">
        <w:rPr>
          <w:rFonts w:ascii="宋体" w:eastAsia="宋体" w:hAnsi="宋体" w:cs="Times New Roman"/>
          <w:sz w:val="18"/>
          <w:szCs w:val="18"/>
        </w:rPr>
        <w:t xml:space="preserve">□是 </w:t>
      </w:r>
      <w:r w:rsidRPr="003101BC">
        <w:rPr>
          <w:rFonts w:ascii="宋体" w:eastAsia="宋体" w:hAnsi="宋体" w:cs="Times New Roman"/>
          <w:sz w:val="18"/>
          <w:szCs w:val="18"/>
        </w:rPr>
        <w:sym w:font="Wingdings 2" w:char="F052"/>
      </w:r>
      <w:r w:rsidRPr="003101BC">
        <w:rPr>
          <w:rFonts w:ascii="宋体" w:eastAsia="宋体" w:hAnsi="宋体" w:cs="Times New Roman"/>
          <w:sz w:val="18"/>
          <w:szCs w:val="18"/>
        </w:rPr>
        <w:t>否 □不适用</w:t>
      </w:r>
    </w:p>
    <w:p w14:paraId="747499E4" w14:textId="77777777" w:rsidR="006C011D" w:rsidRPr="005A284F" w:rsidRDefault="00000000">
      <w:pPr>
        <w:spacing w:before="10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报告期内是否被行政处罚</w:t>
      </w:r>
    </w:p>
    <w:p w14:paraId="3840C5F3" w14:textId="77777777" w:rsidR="006C011D" w:rsidRPr="003101BC" w:rsidRDefault="00000000">
      <w:pPr>
        <w:spacing w:before="40" w:after="40" w:line="240" w:lineRule="exact"/>
        <w:rPr>
          <w:rFonts w:ascii="宋体" w:eastAsia="宋体" w:hAnsi="宋体" w:cs="Times New Roman" w:hint="eastAsia"/>
          <w:sz w:val="18"/>
          <w:szCs w:val="18"/>
        </w:rPr>
      </w:pPr>
      <w:r w:rsidRPr="003101BC">
        <w:rPr>
          <w:rFonts w:ascii="宋体" w:eastAsia="宋体" w:hAnsi="宋体" w:cs="Times New Roman"/>
          <w:sz w:val="18"/>
          <w:szCs w:val="18"/>
        </w:rPr>
        <w:t xml:space="preserve">□是 </w:t>
      </w:r>
      <w:r w:rsidRPr="003101BC">
        <w:rPr>
          <w:rFonts w:ascii="宋体" w:eastAsia="宋体" w:hAnsi="宋体" w:cs="Times New Roman"/>
          <w:sz w:val="18"/>
          <w:szCs w:val="18"/>
        </w:rPr>
        <w:sym w:font="Wingdings 2" w:char="F052"/>
      </w:r>
      <w:r w:rsidRPr="003101BC">
        <w:rPr>
          <w:rFonts w:ascii="宋体" w:eastAsia="宋体" w:hAnsi="宋体" w:cs="Times New Roman"/>
          <w:sz w:val="18"/>
          <w:szCs w:val="18"/>
        </w:rPr>
        <w:t>否 □不适用</w:t>
      </w:r>
    </w:p>
    <w:p w14:paraId="27F6DA83"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474" w:name="_Toc989457"/>
      <w:r w:rsidRPr="005A284F">
        <w:rPr>
          <w:rFonts w:ascii="Times New Roman" w:eastAsia="宋体" w:hAnsi="Times New Roman" w:cs="Times New Roman"/>
          <w:b/>
          <w:bCs/>
          <w:sz w:val="24"/>
          <w:szCs w:val="24"/>
        </w:rPr>
        <w:t>二、报告期内接待调研、沟通、采访等活动登记表</w:t>
      </w:r>
      <w:bookmarkEnd w:id="474"/>
    </w:p>
    <w:p w14:paraId="4429A842" w14:textId="77777777" w:rsidR="006C011D" w:rsidRPr="005A284F" w:rsidRDefault="00000000">
      <w:pPr>
        <w:spacing w:before="40" w:after="4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sym w:font="Wingdings 2" w:char="F052"/>
      </w:r>
      <w:r w:rsidRPr="005A284F">
        <w:rPr>
          <w:rFonts w:ascii="Times New Roman" w:eastAsia="宋体" w:hAnsi="Times New Roman" w:cs="Times New Roman"/>
          <w:sz w:val="18"/>
          <w:szCs w:val="18"/>
        </w:rPr>
        <w:t>适用</w:t>
      </w:r>
      <w:r w:rsidRPr="005A284F">
        <w:rPr>
          <w:rFonts w:ascii="Times New Roman" w:eastAsia="宋体" w:hAnsi="Times New Roman" w:cs="Times New Roman"/>
          <w:sz w:val="18"/>
          <w:szCs w:val="18"/>
        </w:rPr>
        <w:t xml:space="preserve"> □</w:t>
      </w:r>
      <w:r w:rsidRPr="005A284F">
        <w:rPr>
          <w:rFonts w:ascii="Times New Roman" w:eastAsia="宋体" w:hAnsi="Times New Roman" w:cs="Times New Roman"/>
          <w:sz w:val="18"/>
          <w:szCs w:val="18"/>
        </w:rPr>
        <w:t>不适用</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4A0" w:firstRow="1" w:lastRow="0" w:firstColumn="1" w:lastColumn="0" w:noHBand="0" w:noVBand="1"/>
      </w:tblPr>
      <w:tblGrid>
        <w:gridCol w:w="1377"/>
        <w:gridCol w:w="1377"/>
        <w:gridCol w:w="1377"/>
        <w:gridCol w:w="1377"/>
        <w:gridCol w:w="1377"/>
        <w:gridCol w:w="1377"/>
        <w:gridCol w:w="1377"/>
      </w:tblGrid>
      <w:tr w:rsidR="006C011D" w:rsidRPr="005A284F" w14:paraId="7AFD4803" w14:textId="77777777" w:rsidTr="00AC3E7A">
        <w:trPr>
          <w:trHeight w:val="240"/>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D28CF8F"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接待时间</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1AF63C8"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接待地点</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093F0C1"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接待方式</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6881B1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接待对象类型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E85233D"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接待对象</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4A5D72B"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谈论的主要内容及提供的资料</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93C57B3" w14:textId="77777777" w:rsidR="006C011D" w:rsidRPr="005A284F" w:rsidRDefault="00000000">
            <w:pPr>
              <w:spacing w:before="40" w:after="40" w:line="240" w:lineRule="exact"/>
              <w:jc w:val="center"/>
              <w:rPr>
                <w:rFonts w:ascii="Times New Roman" w:eastAsia="宋体" w:hAnsi="Times New Roman" w:cs="Times New Roman"/>
                <w:sz w:val="18"/>
                <w:szCs w:val="18"/>
              </w:rPr>
            </w:pPr>
            <w:r w:rsidRPr="005A284F">
              <w:rPr>
                <w:rFonts w:ascii="Times New Roman" w:eastAsia="宋体" w:hAnsi="Times New Roman" w:cs="Times New Roman"/>
                <w:sz w:val="18"/>
                <w:szCs w:val="18"/>
              </w:rPr>
              <w:t>调研的基本情况索引</w:t>
            </w:r>
          </w:p>
        </w:tc>
      </w:tr>
      <w:tr w:rsidR="006C011D" w:rsidRPr="005A284F" w14:paraId="0AE029A5" w14:textId="77777777" w:rsidTr="00AC3E7A">
        <w:trPr>
          <w:trHeight w:val="240"/>
          <w:jc w:val="center"/>
        </w:trPr>
        <w:tc>
          <w:tcPr>
            <w:tcW w:w="1377" w:type="dxa"/>
            <w:tcBorders>
              <w:top w:val="single" w:sz="2" w:space="0" w:color="auto"/>
              <w:left w:val="single" w:sz="2" w:space="0" w:color="auto"/>
              <w:bottom w:val="single" w:sz="2" w:space="0" w:color="auto"/>
              <w:right w:val="single" w:sz="2" w:space="0" w:color="auto"/>
            </w:tcBorders>
            <w:vAlign w:val="center"/>
          </w:tcPr>
          <w:p w14:paraId="61C0A10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04</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28</w:t>
            </w:r>
            <w:r w:rsidRPr="005A284F">
              <w:rPr>
                <w:rFonts w:ascii="Times New Roman" w:eastAsia="宋体" w:hAnsi="Times New Roman" w:cs="Times New Roman"/>
                <w:sz w:val="18"/>
                <w:szCs w:val="18"/>
              </w:rPr>
              <w:t>日</w:t>
            </w:r>
          </w:p>
        </w:tc>
        <w:tc>
          <w:tcPr>
            <w:tcW w:w="1377" w:type="dxa"/>
            <w:tcBorders>
              <w:top w:val="single" w:sz="2" w:space="0" w:color="auto"/>
              <w:left w:val="single" w:sz="2" w:space="0" w:color="auto"/>
              <w:bottom w:val="single" w:sz="2" w:space="0" w:color="auto"/>
              <w:right w:val="single" w:sz="2" w:space="0" w:color="auto"/>
            </w:tcBorders>
            <w:vAlign w:val="center"/>
          </w:tcPr>
          <w:p w14:paraId="35EFB3F6"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龙大美食投资者关系</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微信小程序</w:t>
            </w:r>
          </w:p>
        </w:tc>
        <w:tc>
          <w:tcPr>
            <w:tcW w:w="1377" w:type="dxa"/>
            <w:tcBorders>
              <w:top w:val="single" w:sz="2" w:space="0" w:color="auto"/>
              <w:left w:val="single" w:sz="2" w:space="0" w:color="auto"/>
              <w:bottom w:val="single" w:sz="2" w:space="0" w:color="auto"/>
              <w:right w:val="single" w:sz="2" w:space="0" w:color="auto"/>
            </w:tcBorders>
            <w:vAlign w:val="center"/>
          </w:tcPr>
          <w:p w14:paraId="47D7B35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14:paraId="3907FBA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14:paraId="024F0B5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通过</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龙大美食投资者关系</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微信小程序参与公司</w:t>
            </w: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年度网上业绩说明会的广大投资者</w:t>
            </w:r>
          </w:p>
        </w:tc>
        <w:tc>
          <w:tcPr>
            <w:tcW w:w="1377" w:type="dxa"/>
            <w:tcBorders>
              <w:top w:val="single" w:sz="2" w:space="0" w:color="auto"/>
              <w:left w:val="single" w:sz="2" w:space="0" w:color="auto"/>
              <w:bottom w:val="single" w:sz="2" w:space="0" w:color="auto"/>
              <w:right w:val="single" w:sz="2" w:space="0" w:color="auto"/>
            </w:tcBorders>
            <w:vAlign w:val="center"/>
          </w:tcPr>
          <w:p w14:paraId="2D72ED3C"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w:t>
            </w:r>
            <w:r w:rsidRPr="005A284F">
              <w:rPr>
                <w:rFonts w:ascii="Times New Roman" w:eastAsia="宋体" w:hAnsi="Times New Roman" w:cs="Times New Roman"/>
                <w:sz w:val="18"/>
                <w:szCs w:val="18"/>
              </w:rPr>
              <w:t>2024</w:t>
            </w:r>
            <w:r w:rsidRPr="005A284F">
              <w:rPr>
                <w:rFonts w:ascii="Times New Roman" w:eastAsia="宋体" w:hAnsi="Times New Roman" w:cs="Times New Roman"/>
                <w:sz w:val="18"/>
                <w:szCs w:val="18"/>
              </w:rPr>
              <w:t>年度经营情况、</w:t>
            </w: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年度</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季度主要业绩；未提供书面资料</w:t>
            </w:r>
          </w:p>
        </w:tc>
        <w:tc>
          <w:tcPr>
            <w:tcW w:w="1377" w:type="dxa"/>
            <w:tcBorders>
              <w:top w:val="single" w:sz="2" w:space="0" w:color="auto"/>
              <w:left w:val="single" w:sz="2" w:space="0" w:color="auto"/>
              <w:bottom w:val="single" w:sz="2" w:space="0" w:color="auto"/>
              <w:right w:val="single" w:sz="2" w:space="0" w:color="auto"/>
            </w:tcBorders>
            <w:vAlign w:val="center"/>
          </w:tcPr>
          <w:p w14:paraId="2D03EE7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公司于</w:t>
            </w: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4</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28</w:t>
            </w:r>
            <w:r w:rsidRPr="005A284F">
              <w:rPr>
                <w:rFonts w:ascii="Times New Roman" w:eastAsia="宋体" w:hAnsi="Times New Roman" w:cs="Times New Roman"/>
                <w:sz w:val="18"/>
                <w:szCs w:val="18"/>
              </w:rPr>
              <w:t>日刊登在巨潮资讯网上的《龙大美食：</w:t>
            </w:r>
            <w:r w:rsidRPr="005A284F">
              <w:rPr>
                <w:rFonts w:ascii="Times New Roman" w:eastAsia="宋体" w:hAnsi="Times New Roman" w:cs="Times New Roman"/>
                <w:sz w:val="18"/>
                <w:szCs w:val="18"/>
              </w:rPr>
              <w:t>002726</w:t>
            </w:r>
            <w:r w:rsidRPr="005A284F">
              <w:rPr>
                <w:rFonts w:ascii="Times New Roman" w:eastAsia="宋体" w:hAnsi="Times New Roman" w:cs="Times New Roman"/>
                <w:sz w:val="18"/>
                <w:szCs w:val="18"/>
              </w:rPr>
              <w:t>龙大美食投资者关系管理档案</w:t>
            </w:r>
            <w:r w:rsidRPr="005A284F">
              <w:rPr>
                <w:rFonts w:ascii="Times New Roman" w:eastAsia="宋体" w:hAnsi="Times New Roman" w:cs="Times New Roman"/>
                <w:sz w:val="18"/>
                <w:szCs w:val="18"/>
              </w:rPr>
              <w:t>20250428</w:t>
            </w:r>
            <w:r w:rsidRPr="005A284F">
              <w:rPr>
                <w:rFonts w:ascii="Times New Roman" w:eastAsia="宋体" w:hAnsi="Times New Roman" w:cs="Times New Roman"/>
                <w:sz w:val="18"/>
                <w:szCs w:val="18"/>
              </w:rPr>
              <w:t>》编号：</w:t>
            </w:r>
            <w:r w:rsidRPr="005A284F">
              <w:rPr>
                <w:rFonts w:ascii="Times New Roman" w:eastAsia="宋体" w:hAnsi="Times New Roman" w:cs="Times New Roman"/>
                <w:sz w:val="18"/>
                <w:szCs w:val="18"/>
              </w:rPr>
              <w:t>2025-01</w:t>
            </w:r>
            <w:r w:rsidRPr="005A284F">
              <w:rPr>
                <w:rFonts w:ascii="Times New Roman" w:eastAsia="宋体" w:hAnsi="Times New Roman" w:cs="Times New Roman"/>
                <w:sz w:val="18"/>
                <w:szCs w:val="18"/>
              </w:rPr>
              <w:t>。</w:t>
            </w:r>
          </w:p>
        </w:tc>
      </w:tr>
      <w:tr w:rsidR="006C011D" w:rsidRPr="005A284F" w14:paraId="43AE066A" w14:textId="77777777" w:rsidTr="00AC3E7A">
        <w:trPr>
          <w:trHeight w:val="240"/>
          <w:jc w:val="center"/>
        </w:trPr>
        <w:tc>
          <w:tcPr>
            <w:tcW w:w="1377" w:type="dxa"/>
            <w:tcBorders>
              <w:top w:val="single" w:sz="2" w:space="0" w:color="auto"/>
              <w:left w:val="single" w:sz="2" w:space="0" w:color="auto"/>
              <w:bottom w:val="single" w:sz="2" w:space="0" w:color="auto"/>
              <w:right w:val="single" w:sz="2" w:space="0" w:color="auto"/>
            </w:tcBorders>
            <w:vAlign w:val="center"/>
          </w:tcPr>
          <w:p w14:paraId="54AA4D5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05</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15</w:t>
            </w:r>
            <w:r w:rsidRPr="005A284F">
              <w:rPr>
                <w:rFonts w:ascii="Times New Roman" w:eastAsia="宋体" w:hAnsi="Times New Roman" w:cs="Times New Roman"/>
                <w:sz w:val="18"/>
                <w:szCs w:val="18"/>
              </w:rPr>
              <w:t>日</w:t>
            </w:r>
          </w:p>
        </w:tc>
        <w:tc>
          <w:tcPr>
            <w:tcW w:w="1377" w:type="dxa"/>
            <w:tcBorders>
              <w:top w:val="single" w:sz="2" w:space="0" w:color="auto"/>
              <w:left w:val="single" w:sz="2" w:space="0" w:color="auto"/>
              <w:bottom w:val="single" w:sz="2" w:space="0" w:color="auto"/>
              <w:right w:val="single" w:sz="2" w:space="0" w:color="auto"/>
            </w:tcBorders>
            <w:vAlign w:val="center"/>
          </w:tcPr>
          <w:p w14:paraId="24652D5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全景网</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投资者关系互动平台</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https://ir.p5w.net</w:t>
            </w:r>
            <w:r w:rsidRPr="005A284F">
              <w:rPr>
                <w:rFonts w:ascii="Times New Roman" w:eastAsia="宋体" w:hAnsi="Times New Roman" w:cs="Times New Roman"/>
                <w:sz w:val="18"/>
                <w:szCs w:val="18"/>
              </w:rPr>
              <w:t>）</w:t>
            </w:r>
          </w:p>
        </w:tc>
        <w:tc>
          <w:tcPr>
            <w:tcW w:w="1377" w:type="dxa"/>
            <w:tcBorders>
              <w:top w:val="single" w:sz="2" w:space="0" w:color="auto"/>
              <w:left w:val="single" w:sz="2" w:space="0" w:color="auto"/>
              <w:bottom w:val="single" w:sz="2" w:space="0" w:color="auto"/>
              <w:right w:val="single" w:sz="2" w:space="0" w:color="auto"/>
            </w:tcBorders>
            <w:vAlign w:val="center"/>
          </w:tcPr>
          <w:p w14:paraId="58892152"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14:paraId="1FD021E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14:paraId="0EB16FF7"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通过全景网</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投资者关系互动平台</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https://ir.p5w.net</w:t>
            </w:r>
            <w:r w:rsidRPr="005A284F">
              <w:rPr>
                <w:rFonts w:ascii="Times New Roman" w:eastAsia="宋体" w:hAnsi="Times New Roman" w:cs="Times New Roman"/>
                <w:sz w:val="18"/>
                <w:szCs w:val="18"/>
              </w:rPr>
              <w:t>）参与</w:t>
            </w: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年山东辖区上市公司投资者网上集体接待日</w:t>
            </w:r>
            <w:r w:rsidRPr="005A284F">
              <w:rPr>
                <w:rFonts w:ascii="Times New Roman" w:eastAsia="宋体" w:hAnsi="Times New Roman" w:cs="Times New Roman"/>
                <w:sz w:val="18"/>
                <w:szCs w:val="18"/>
              </w:rPr>
              <w:t>”</w:t>
            </w:r>
            <w:r w:rsidRPr="005A284F">
              <w:rPr>
                <w:rFonts w:ascii="Times New Roman" w:eastAsia="宋体" w:hAnsi="Times New Roman" w:cs="Times New Roman"/>
                <w:sz w:val="18"/>
                <w:szCs w:val="18"/>
              </w:rPr>
              <w:t>活动的投资者</w:t>
            </w:r>
          </w:p>
        </w:tc>
        <w:tc>
          <w:tcPr>
            <w:tcW w:w="1377" w:type="dxa"/>
            <w:tcBorders>
              <w:top w:val="single" w:sz="2" w:space="0" w:color="auto"/>
              <w:left w:val="single" w:sz="2" w:space="0" w:color="auto"/>
              <w:bottom w:val="single" w:sz="2" w:space="0" w:color="auto"/>
              <w:right w:val="single" w:sz="2" w:space="0" w:color="auto"/>
            </w:tcBorders>
            <w:vAlign w:val="center"/>
          </w:tcPr>
          <w:p w14:paraId="4821106D"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目前和未来一年业务经营情况、可转债兑付计划；未提供书面资料</w:t>
            </w:r>
          </w:p>
        </w:tc>
        <w:tc>
          <w:tcPr>
            <w:tcW w:w="1377" w:type="dxa"/>
            <w:tcBorders>
              <w:top w:val="single" w:sz="2" w:space="0" w:color="auto"/>
              <w:left w:val="single" w:sz="2" w:space="0" w:color="auto"/>
              <w:bottom w:val="single" w:sz="2" w:space="0" w:color="auto"/>
              <w:right w:val="single" w:sz="2" w:space="0" w:color="auto"/>
            </w:tcBorders>
            <w:vAlign w:val="center"/>
          </w:tcPr>
          <w:p w14:paraId="377FFA31"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公司于</w:t>
            </w: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5</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15</w:t>
            </w:r>
            <w:r w:rsidRPr="005A284F">
              <w:rPr>
                <w:rFonts w:ascii="Times New Roman" w:eastAsia="宋体" w:hAnsi="Times New Roman" w:cs="Times New Roman"/>
                <w:sz w:val="18"/>
                <w:szCs w:val="18"/>
              </w:rPr>
              <w:t>日刊登在巨潮资讯网上的《龙大美食：</w:t>
            </w:r>
            <w:r w:rsidRPr="005A284F">
              <w:rPr>
                <w:rFonts w:ascii="Times New Roman" w:eastAsia="宋体" w:hAnsi="Times New Roman" w:cs="Times New Roman"/>
                <w:sz w:val="18"/>
                <w:szCs w:val="18"/>
              </w:rPr>
              <w:t>002726</w:t>
            </w:r>
            <w:r w:rsidRPr="005A284F">
              <w:rPr>
                <w:rFonts w:ascii="Times New Roman" w:eastAsia="宋体" w:hAnsi="Times New Roman" w:cs="Times New Roman"/>
                <w:sz w:val="18"/>
                <w:szCs w:val="18"/>
              </w:rPr>
              <w:t>龙大美食投资者关系管理档案</w:t>
            </w:r>
            <w:r w:rsidRPr="005A284F">
              <w:rPr>
                <w:rFonts w:ascii="Times New Roman" w:eastAsia="宋体" w:hAnsi="Times New Roman" w:cs="Times New Roman"/>
                <w:sz w:val="18"/>
                <w:szCs w:val="18"/>
              </w:rPr>
              <w:t>20250515</w:t>
            </w:r>
            <w:r w:rsidRPr="005A284F">
              <w:rPr>
                <w:rFonts w:ascii="Times New Roman" w:eastAsia="宋体" w:hAnsi="Times New Roman" w:cs="Times New Roman"/>
                <w:sz w:val="18"/>
                <w:szCs w:val="18"/>
              </w:rPr>
              <w:t>》编号：</w:t>
            </w:r>
            <w:r w:rsidRPr="005A284F">
              <w:rPr>
                <w:rFonts w:ascii="Times New Roman" w:eastAsia="宋体" w:hAnsi="Times New Roman" w:cs="Times New Roman"/>
                <w:sz w:val="18"/>
                <w:szCs w:val="18"/>
              </w:rPr>
              <w:t>2025-02</w:t>
            </w:r>
            <w:r w:rsidRPr="005A284F">
              <w:rPr>
                <w:rFonts w:ascii="Times New Roman" w:eastAsia="宋体" w:hAnsi="Times New Roman" w:cs="Times New Roman"/>
                <w:sz w:val="18"/>
                <w:szCs w:val="18"/>
              </w:rPr>
              <w:t>。</w:t>
            </w:r>
          </w:p>
        </w:tc>
      </w:tr>
      <w:tr w:rsidR="006C011D" w:rsidRPr="005A284F" w14:paraId="78B6714B" w14:textId="77777777" w:rsidTr="00AC3E7A">
        <w:trPr>
          <w:trHeight w:val="240"/>
          <w:jc w:val="center"/>
        </w:trPr>
        <w:tc>
          <w:tcPr>
            <w:tcW w:w="1377" w:type="dxa"/>
            <w:tcBorders>
              <w:top w:val="single" w:sz="2" w:space="0" w:color="auto"/>
              <w:left w:val="single" w:sz="2" w:space="0" w:color="auto"/>
              <w:bottom w:val="single" w:sz="2" w:space="0" w:color="auto"/>
              <w:right w:val="single" w:sz="2" w:space="0" w:color="auto"/>
            </w:tcBorders>
            <w:vAlign w:val="center"/>
          </w:tcPr>
          <w:p w14:paraId="0638D77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06</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04</w:t>
            </w:r>
            <w:r w:rsidRPr="005A284F">
              <w:rPr>
                <w:rFonts w:ascii="Times New Roman" w:eastAsia="宋体" w:hAnsi="Times New Roman" w:cs="Times New Roman"/>
                <w:sz w:val="18"/>
                <w:szCs w:val="18"/>
              </w:rPr>
              <w:t>日</w:t>
            </w:r>
          </w:p>
        </w:tc>
        <w:tc>
          <w:tcPr>
            <w:tcW w:w="1377" w:type="dxa"/>
            <w:tcBorders>
              <w:top w:val="single" w:sz="2" w:space="0" w:color="auto"/>
              <w:left w:val="single" w:sz="2" w:space="0" w:color="auto"/>
              <w:bottom w:val="single" w:sz="2" w:space="0" w:color="auto"/>
              <w:right w:val="single" w:sz="2" w:space="0" w:color="auto"/>
            </w:tcBorders>
            <w:vAlign w:val="center"/>
          </w:tcPr>
          <w:p w14:paraId="4DAECA98"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山东龙大美食股份有限公司</w:t>
            </w:r>
            <w:r w:rsidRPr="005A284F">
              <w:rPr>
                <w:rFonts w:ascii="Times New Roman" w:eastAsia="宋体" w:hAnsi="Times New Roman" w:cs="Times New Roman"/>
                <w:sz w:val="18"/>
                <w:szCs w:val="18"/>
              </w:rPr>
              <w:t>1</w:t>
            </w:r>
            <w:r w:rsidRPr="005A284F">
              <w:rPr>
                <w:rFonts w:ascii="Times New Roman" w:eastAsia="宋体" w:hAnsi="Times New Roman" w:cs="Times New Roman"/>
                <w:sz w:val="18"/>
                <w:szCs w:val="18"/>
              </w:rPr>
              <w:t>号会议室</w:t>
            </w:r>
          </w:p>
        </w:tc>
        <w:tc>
          <w:tcPr>
            <w:tcW w:w="1377" w:type="dxa"/>
            <w:tcBorders>
              <w:top w:val="single" w:sz="2" w:space="0" w:color="auto"/>
              <w:left w:val="single" w:sz="2" w:space="0" w:color="auto"/>
              <w:bottom w:val="single" w:sz="2" w:space="0" w:color="auto"/>
              <w:right w:val="single" w:sz="2" w:space="0" w:color="auto"/>
            </w:tcBorders>
            <w:vAlign w:val="center"/>
          </w:tcPr>
          <w:p w14:paraId="459F054E"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实地调研</w:t>
            </w:r>
          </w:p>
        </w:tc>
        <w:tc>
          <w:tcPr>
            <w:tcW w:w="1377" w:type="dxa"/>
            <w:tcBorders>
              <w:top w:val="single" w:sz="2" w:space="0" w:color="auto"/>
              <w:left w:val="single" w:sz="2" w:space="0" w:color="auto"/>
              <w:bottom w:val="single" w:sz="2" w:space="0" w:color="auto"/>
              <w:right w:val="single" w:sz="2" w:space="0" w:color="auto"/>
            </w:tcBorders>
            <w:vAlign w:val="center"/>
          </w:tcPr>
          <w:p w14:paraId="009B643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机构</w:t>
            </w:r>
          </w:p>
        </w:tc>
        <w:tc>
          <w:tcPr>
            <w:tcW w:w="1377" w:type="dxa"/>
            <w:tcBorders>
              <w:top w:val="single" w:sz="2" w:space="0" w:color="auto"/>
              <w:left w:val="single" w:sz="2" w:space="0" w:color="auto"/>
              <w:bottom w:val="single" w:sz="2" w:space="0" w:color="auto"/>
              <w:right w:val="single" w:sz="2" w:space="0" w:color="auto"/>
            </w:tcBorders>
            <w:vAlign w:val="center"/>
          </w:tcPr>
          <w:p w14:paraId="64616F5F"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光大保德信基金、金泽基金、凯润资管</w:t>
            </w:r>
          </w:p>
        </w:tc>
        <w:tc>
          <w:tcPr>
            <w:tcW w:w="1377" w:type="dxa"/>
            <w:tcBorders>
              <w:top w:val="single" w:sz="2" w:space="0" w:color="auto"/>
              <w:left w:val="single" w:sz="2" w:space="0" w:color="auto"/>
              <w:bottom w:val="single" w:sz="2" w:space="0" w:color="auto"/>
              <w:right w:val="single" w:sz="2" w:space="0" w:color="auto"/>
            </w:tcBorders>
            <w:vAlign w:val="center"/>
          </w:tcPr>
          <w:p w14:paraId="08FA68F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食品板块增速、</w:t>
            </w:r>
            <w:r w:rsidRPr="005A284F">
              <w:rPr>
                <w:rFonts w:ascii="Times New Roman" w:eastAsia="宋体" w:hAnsi="Times New Roman" w:cs="Times New Roman"/>
                <w:sz w:val="18"/>
                <w:szCs w:val="18"/>
              </w:rPr>
              <w:t>C</w:t>
            </w:r>
            <w:r w:rsidRPr="005A284F">
              <w:rPr>
                <w:rFonts w:ascii="Times New Roman" w:eastAsia="宋体" w:hAnsi="Times New Roman" w:cs="Times New Roman"/>
                <w:sz w:val="18"/>
                <w:szCs w:val="18"/>
              </w:rPr>
              <w:t>端渠道变化、出栏量水平；未提供书面资料</w:t>
            </w:r>
          </w:p>
        </w:tc>
        <w:tc>
          <w:tcPr>
            <w:tcW w:w="1377" w:type="dxa"/>
            <w:tcBorders>
              <w:top w:val="single" w:sz="2" w:space="0" w:color="auto"/>
              <w:left w:val="single" w:sz="2" w:space="0" w:color="auto"/>
              <w:bottom w:val="single" w:sz="2" w:space="0" w:color="auto"/>
              <w:right w:val="single" w:sz="2" w:space="0" w:color="auto"/>
            </w:tcBorders>
            <w:vAlign w:val="center"/>
          </w:tcPr>
          <w:p w14:paraId="099A1F7B" w14:textId="77777777" w:rsidR="006C011D" w:rsidRPr="005A284F" w:rsidRDefault="00000000">
            <w:pPr>
              <w:spacing w:after="0" w:line="240" w:lineRule="exact"/>
              <w:rPr>
                <w:rFonts w:ascii="Times New Roman" w:eastAsia="宋体" w:hAnsi="Times New Roman" w:cs="Times New Roman"/>
                <w:sz w:val="18"/>
                <w:szCs w:val="18"/>
              </w:rPr>
            </w:pPr>
            <w:r w:rsidRPr="005A284F">
              <w:rPr>
                <w:rFonts w:ascii="Times New Roman" w:eastAsia="宋体" w:hAnsi="Times New Roman" w:cs="Times New Roman"/>
                <w:sz w:val="18"/>
                <w:szCs w:val="18"/>
              </w:rPr>
              <w:t>公司于</w:t>
            </w:r>
            <w:r w:rsidRPr="005A284F">
              <w:rPr>
                <w:rFonts w:ascii="Times New Roman" w:eastAsia="宋体" w:hAnsi="Times New Roman" w:cs="Times New Roman"/>
                <w:sz w:val="18"/>
                <w:szCs w:val="18"/>
              </w:rPr>
              <w:t>2025</w:t>
            </w:r>
            <w:r w:rsidRPr="005A284F">
              <w:rPr>
                <w:rFonts w:ascii="Times New Roman" w:eastAsia="宋体" w:hAnsi="Times New Roman" w:cs="Times New Roman"/>
                <w:sz w:val="18"/>
                <w:szCs w:val="18"/>
              </w:rPr>
              <w:t>年</w:t>
            </w:r>
            <w:r w:rsidRPr="005A284F">
              <w:rPr>
                <w:rFonts w:ascii="Times New Roman" w:eastAsia="宋体" w:hAnsi="Times New Roman" w:cs="Times New Roman"/>
                <w:sz w:val="18"/>
                <w:szCs w:val="18"/>
              </w:rPr>
              <w:t>6</w:t>
            </w:r>
            <w:r w:rsidRPr="005A284F">
              <w:rPr>
                <w:rFonts w:ascii="Times New Roman" w:eastAsia="宋体" w:hAnsi="Times New Roman" w:cs="Times New Roman"/>
                <w:sz w:val="18"/>
                <w:szCs w:val="18"/>
              </w:rPr>
              <w:t>月</w:t>
            </w:r>
            <w:r w:rsidRPr="005A284F">
              <w:rPr>
                <w:rFonts w:ascii="Times New Roman" w:eastAsia="宋体" w:hAnsi="Times New Roman" w:cs="Times New Roman"/>
                <w:sz w:val="18"/>
                <w:szCs w:val="18"/>
              </w:rPr>
              <w:t>6</w:t>
            </w:r>
            <w:r w:rsidRPr="005A284F">
              <w:rPr>
                <w:rFonts w:ascii="Times New Roman" w:eastAsia="宋体" w:hAnsi="Times New Roman" w:cs="Times New Roman"/>
                <w:sz w:val="18"/>
                <w:szCs w:val="18"/>
              </w:rPr>
              <w:t>日刊登在巨潮资讯网上的《龙大美食：</w:t>
            </w:r>
            <w:r w:rsidRPr="005A284F">
              <w:rPr>
                <w:rFonts w:ascii="Times New Roman" w:eastAsia="宋体" w:hAnsi="Times New Roman" w:cs="Times New Roman"/>
                <w:sz w:val="18"/>
                <w:szCs w:val="18"/>
              </w:rPr>
              <w:t>002726</w:t>
            </w:r>
            <w:r w:rsidRPr="005A284F">
              <w:rPr>
                <w:rFonts w:ascii="Times New Roman" w:eastAsia="宋体" w:hAnsi="Times New Roman" w:cs="Times New Roman"/>
                <w:sz w:val="18"/>
                <w:szCs w:val="18"/>
              </w:rPr>
              <w:t>龙大美食投资者关系管理档案</w:t>
            </w:r>
            <w:r w:rsidRPr="005A284F">
              <w:rPr>
                <w:rFonts w:ascii="Times New Roman" w:eastAsia="宋体" w:hAnsi="Times New Roman" w:cs="Times New Roman"/>
                <w:sz w:val="18"/>
                <w:szCs w:val="18"/>
              </w:rPr>
              <w:t>20250606</w:t>
            </w:r>
            <w:r w:rsidRPr="005A284F">
              <w:rPr>
                <w:rFonts w:ascii="Times New Roman" w:eastAsia="宋体" w:hAnsi="Times New Roman" w:cs="Times New Roman"/>
                <w:sz w:val="18"/>
                <w:szCs w:val="18"/>
              </w:rPr>
              <w:t>》编号：</w:t>
            </w:r>
            <w:r w:rsidRPr="005A284F">
              <w:rPr>
                <w:rFonts w:ascii="Times New Roman" w:eastAsia="宋体" w:hAnsi="Times New Roman" w:cs="Times New Roman"/>
                <w:sz w:val="18"/>
                <w:szCs w:val="18"/>
              </w:rPr>
              <w:t>2025-03</w:t>
            </w:r>
            <w:r w:rsidRPr="005A284F">
              <w:rPr>
                <w:rFonts w:ascii="Times New Roman" w:eastAsia="宋体" w:hAnsi="Times New Roman" w:cs="Times New Roman"/>
                <w:sz w:val="18"/>
                <w:szCs w:val="18"/>
              </w:rPr>
              <w:t>。</w:t>
            </w:r>
          </w:p>
        </w:tc>
      </w:tr>
    </w:tbl>
    <w:p w14:paraId="0A25529F" w14:textId="77777777" w:rsidR="006C011D" w:rsidRPr="005A284F" w:rsidRDefault="00000000">
      <w:pPr>
        <w:pStyle w:val="2"/>
        <w:spacing w:before="300" w:after="300" w:line="320" w:lineRule="exact"/>
        <w:rPr>
          <w:rFonts w:ascii="Times New Roman" w:eastAsia="宋体" w:hAnsi="Times New Roman" w:cs="Times New Roman"/>
          <w:b/>
          <w:bCs/>
          <w:sz w:val="24"/>
          <w:szCs w:val="24"/>
        </w:rPr>
      </w:pPr>
      <w:bookmarkStart w:id="475" w:name="_Toc989458"/>
      <w:r w:rsidRPr="005A284F">
        <w:rPr>
          <w:rFonts w:ascii="Times New Roman" w:eastAsia="宋体" w:hAnsi="Times New Roman" w:cs="Times New Roman"/>
          <w:b/>
          <w:bCs/>
          <w:sz w:val="24"/>
          <w:szCs w:val="24"/>
        </w:rPr>
        <w:t>三、上市公司与控股股东及其他关联方资金往来情况</w:t>
      </w:r>
      <w:bookmarkEnd w:id="475"/>
    </w:p>
    <w:p w14:paraId="54DF415A" w14:textId="77777777" w:rsidR="006C011D" w:rsidRPr="003101BC" w:rsidRDefault="00000000" w:rsidP="008A6DFB">
      <w:pPr>
        <w:spacing w:after="0" w:line="240" w:lineRule="exact"/>
        <w:rPr>
          <w:rFonts w:ascii="宋体" w:eastAsia="宋体" w:hAnsi="宋体" w:cs="Times New Roman" w:hint="eastAsia"/>
          <w:sz w:val="18"/>
          <w:szCs w:val="18"/>
        </w:rPr>
      </w:pPr>
      <w:r w:rsidRPr="003101BC">
        <w:rPr>
          <w:rFonts w:ascii="宋体" w:eastAsia="宋体" w:hAnsi="宋体" w:cs="Times New Roman"/>
          <w:sz w:val="18"/>
          <w:szCs w:val="18"/>
        </w:rPr>
        <w:t xml:space="preserve">□适用 </w:t>
      </w:r>
      <w:r w:rsidRPr="003101BC">
        <w:rPr>
          <w:rFonts w:ascii="宋体" w:eastAsia="宋体" w:hAnsi="宋体" w:cs="Times New Roman"/>
          <w:sz w:val="18"/>
          <w:szCs w:val="18"/>
        </w:rPr>
        <w:sym w:font="Wingdings 2" w:char="F052"/>
      </w:r>
      <w:r w:rsidRPr="003101BC">
        <w:rPr>
          <w:rFonts w:ascii="宋体" w:eastAsia="宋体" w:hAnsi="宋体" w:cs="Times New Roman"/>
          <w:sz w:val="18"/>
          <w:szCs w:val="18"/>
        </w:rPr>
        <w:t>不适用</w:t>
      </w:r>
    </w:p>
    <w:sectPr w:rsidR="006C011D" w:rsidRPr="003101BC">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B130D" w14:textId="77777777" w:rsidR="00F312F8" w:rsidRDefault="00F312F8">
      <w:pPr>
        <w:spacing w:after="0" w:line="240" w:lineRule="auto"/>
        <w:rPr>
          <w:rFonts w:hint="eastAsia"/>
        </w:rPr>
      </w:pPr>
      <w:r>
        <w:separator/>
      </w:r>
    </w:p>
  </w:endnote>
  <w:endnote w:type="continuationSeparator" w:id="0">
    <w:p w14:paraId="62F583EF" w14:textId="77777777" w:rsidR="00F312F8" w:rsidRDefault="00F312F8">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2556" w14:textId="77777777" w:rsidR="006C011D" w:rsidRPr="00294815" w:rsidRDefault="00000000">
    <w:pPr>
      <w:pStyle w:val="fotter1"/>
      <w:rPr>
        <w:rFonts w:ascii="Times New Roman" w:hAnsi="Times New Roman" w:cs="Times New Roman"/>
      </w:rPr>
    </w:pPr>
    <w:r w:rsidRPr="00294815">
      <w:rPr>
        <w:rFonts w:ascii="Times New Roman" w:hAnsi="Times New Roman" w:cs="Times New Roman"/>
      </w:rPr>
      <w:fldChar w:fldCharType="begin"/>
    </w:r>
    <w:r w:rsidRPr="00294815">
      <w:rPr>
        <w:rFonts w:ascii="Times New Roman" w:hAnsi="Times New Roman" w:cs="Times New Roman"/>
      </w:rPr>
      <w:instrText>PAGE   \* MERGEFORMAT</w:instrText>
    </w:r>
    <w:r w:rsidRPr="00294815">
      <w:rPr>
        <w:rFonts w:ascii="Times New Roman" w:hAnsi="Times New Roman" w:cs="Times New Roman"/>
      </w:rPr>
      <w:fldChar w:fldCharType="separate"/>
    </w:r>
    <w:r w:rsidRPr="00294815">
      <w:rPr>
        <w:rFonts w:ascii="Times New Roman" w:hAnsi="Times New Roman" w:cs="Times New Roman"/>
      </w:rPr>
      <w:t>1</w:t>
    </w:r>
    <w:r w:rsidRPr="00294815">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54406" w14:textId="77777777" w:rsidR="00F312F8" w:rsidRDefault="00F312F8">
      <w:pPr>
        <w:spacing w:after="0" w:line="240" w:lineRule="auto"/>
        <w:rPr>
          <w:rFonts w:hint="eastAsia"/>
        </w:rPr>
      </w:pPr>
      <w:r>
        <w:separator/>
      </w:r>
    </w:p>
  </w:footnote>
  <w:footnote w:type="continuationSeparator" w:id="0">
    <w:p w14:paraId="27D946BB" w14:textId="77777777" w:rsidR="00F312F8" w:rsidRDefault="00F312F8">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5ACC" w14:textId="77777777" w:rsidR="006C011D" w:rsidRPr="005A284F" w:rsidRDefault="00000000">
    <w:pPr>
      <w:pStyle w:val="Header1"/>
      <w:pBdr>
        <w:bottom w:val="single" w:sz="6" w:space="1" w:color="auto"/>
      </w:pBdr>
      <w:rPr>
        <w:rFonts w:ascii="Times New Roman" w:hAnsi="Times New Roman" w:cs="Times New Roman"/>
      </w:rPr>
    </w:pPr>
    <w:r w:rsidRPr="005A284F">
      <w:rPr>
        <w:rFonts w:ascii="Times New Roman" w:hAnsi="Times New Roman" w:cs="Times New Roman"/>
      </w:rPr>
      <w:t>山东龙大美食股份有限公司</w:t>
    </w:r>
    <w:r w:rsidRPr="005A284F">
      <w:rPr>
        <w:rFonts w:ascii="Times New Roman" w:hAnsi="Times New Roman" w:cs="Times New Roman"/>
      </w:rPr>
      <w:t>2025</w:t>
    </w:r>
    <w:r w:rsidRPr="005A284F">
      <w:rPr>
        <w:rFonts w:ascii="Times New Roman" w:hAnsi="Times New Roman" w:cs="Times New Roman"/>
      </w:rPr>
      <w:t>年半年度报告全文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B67AC"/>
    <w:multiLevelType w:val="hybridMultilevel"/>
    <w:tmpl w:val="EE90CE3A"/>
    <w:lvl w:ilvl="0" w:tplc="85B01716">
      <w:start w:val="1"/>
      <w:numFmt w:val="japaneseCounting"/>
      <w:lvlText w:val="（%1）"/>
      <w:lvlJc w:val="left"/>
      <w:pPr>
        <w:ind w:left="1080" w:hanging="72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 w15:restartNumberingAfterBreak="0">
    <w:nsid w:val="663C69A0"/>
    <w:multiLevelType w:val="hybridMultilevel"/>
    <w:tmpl w:val="60AE8680"/>
    <w:lvl w:ilvl="0" w:tplc="9402932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99096750">
    <w:abstractNumId w:val="0"/>
  </w:num>
  <w:num w:numId="2" w16cid:durableId="1307903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10"/>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11D"/>
    <w:rsid w:val="000309B5"/>
    <w:rsid w:val="00032DC1"/>
    <w:rsid w:val="00050CA3"/>
    <w:rsid w:val="00057F88"/>
    <w:rsid w:val="00066462"/>
    <w:rsid w:val="000819AE"/>
    <w:rsid w:val="00096CAD"/>
    <w:rsid w:val="000A6A8C"/>
    <w:rsid w:val="000C01E4"/>
    <w:rsid w:val="000F52DB"/>
    <w:rsid w:val="00126E1B"/>
    <w:rsid w:val="00131342"/>
    <w:rsid w:val="00182B30"/>
    <w:rsid w:val="00182BE9"/>
    <w:rsid w:val="00197238"/>
    <w:rsid w:val="001A4BF1"/>
    <w:rsid w:val="001C2948"/>
    <w:rsid w:val="001C5303"/>
    <w:rsid w:val="001D1C52"/>
    <w:rsid w:val="001F561C"/>
    <w:rsid w:val="00241C69"/>
    <w:rsid w:val="00253F00"/>
    <w:rsid w:val="00291E84"/>
    <w:rsid w:val="00294815"/>
    <w:rsid w:val="002A4614"/>
    <w:rsid w:val="002D4CF5"/>
    <w:rsid w:val="002F17CB"/>
    <w:rsid w:val="003073C6"/>
    <w:rsid w:val="003101BC"/>
    <w:rsid w:val="00340B58"/>
    <w:rsid w:val="003524E1"/>
    <w:rsid w:val="00356266"/>
    <w:rsid w:val="00382305"/>
    <w:rsid w:val="00416649"/>
    <w:rsid w:val="00416EC4"/>
    <w:rsid w:val="00422E29"/>
    <w:rsid w:val="00456E84"/>
    <w:rsid w:val="00471F74"/>
    <w:rsid w:val="00476A24"/>
    <w:rsid w:val="00480758"/>
    <w:rsid w:val="004B0065"/>
    <w:rsid w:val="004B1EC4"/>
    <w:rsid w:val="004B7CB8"/>
    <w:rsid w:val="004C1A36"/>
    <w:rsid w:val="004E0542"/>
    <w:rsid w:val="004F2A25"/>
    <w:rsid w:val="004F2B01"/>
    <w:rsid w:val="00510E5A"/>
    <w:rsid w:val="00570B89"/>
    <w:rsid w:val="00576663"/>
    <w:rsid w:val="00580394"/>
    <w:rsid w:val="005A284F"/>
    <w:rsid w:val="005C21FD"/>
    <w:rsid w:val="005D0631"/>
    <w:rsid w:val="005E1317"/>
    <w:rsid w:val="005E2EB5"/>
    <w:rsid w:val="00634AA8"/>
    <w:rsid w:val="00686B44"/>
    <w:rsid w:val="006C011D"/>
    <w:rsid w:val="006C2665"/>
    <w:rsid w:val="006E2EAA"/>
    <w:rsid w:val="0070121C"/>
    <w:rsid w:val="007416C8"/>
    <w:rsid w:val="0078003E"/>
    <w:rsid w:val="00780D88"/>
    <w:rsid w:val="00864560"/>
    <w:rsid w:val="00865D03"/>
    <w:rsid w:val="00871703"/>
    <w:rsid w:val="0088606E"/>
    <w:rsid w:val="008A148E"/>
    <w:rsid w:val="008A6DFB"/>
    <w:rsid w:val="008B0A05"/>
    <w:rsid w:val="008D6EA1"/>
    <w:rsid w:val="008E4EA1"/>
    <w:rsid w:val="008F1E61"/>
    <w:rsid w:val="00916763"/>
    <w:rsid w:val="00942F08"/>
    <w:rsid w:val="0098555C"/>
    <w:rsid w:val="009B215B"/>
    <w:rsid w:val="009C7A60"/>
    <w:rsid w:val="009E004F"/>
    <w:rsid w:val="009E68B2"/>
    <w:rsid w:val="009F64DD"/>
    <w:rsid w:val="00A2005B"/>
    <w:rsid w:val="00A20D64"/>
    <w:rsid w:val="00A27B2B"/>
    <w:rsid w:val="00A55F3B"/>
    <w:rsid w:val="00A63401"/>
    <w:rsid w:val="00AC3E7A"/>
    <w:rsid w:val="00AC43B7"/>
    <w:rsid w:val="00AE6FF0"/>
    <w:rsid w:val="00B614A5"/>
    <w:rsid w:val="00B82D58"/>
    <w:rsid w:val="00B96975"/>
    <w:rsid w:val="00BB1ABC"/>
    <w:rsid w:val="00BE7915"/>
    <w:rsid w:val="00C1176A"/>
    <w:rsid w:val="00C723FF"/>
    <w:rsid w:val="00C73C74"/>
    <w:rsid w:val="00C75C67"/>
    <w:rsid w:val="00C95834"/>
    <w:rsid w:val="00C96694"/>
    <w:rsid w:val="00CB7CD9"/>
    <w:rsid w:val="00CF2FE8"/>
    <w:rsid w:val="00D07B58"/>
    <w:rsid w:val="00D15C4E"/>
    <w:rsid w:val="00D31566"/>
    <w:rsid w:val="00D81019"/>
    <w:rsid w:val="00D901B7"/>
    <w:rsid w:val="00D926F7"/>
    <w:rsid w:val="00D946D1"/>
    <w:rsid w:val="00DD211A"/>
    <w:rsid w:val="00E20C14"/>
    <w:rsid w:val="00E94D55"/>
    <w:rsid w:val="00EC4E04"/>
    <w:rsid w:val="00ED6A35"/>
    <w:rsid w:val="00ED7AF7"/>
    <w:rsid w:val="00EE3DD0"/>
    <w:rsid w:val="00F07112"/>
    <w:rsid w:val="00F30925"/>
    <w:rsid w:val="00F312F8"/>
    <w:rsid w:val="00F50D1B"/>
    <w:rsid w:val="00F9054F"/>
    <w:rsid w:val="00F93545"/>
    <w:rsid w:val="00F97F74"/>
    <w:rsid w:val="00FA14A7"/>
    <w:rsid w:val="00FC43A2"/>
    <w:rsid w:val="00FF6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D298B9"/>
  <w15:docId w15:val="{6187C892-01CB-4A87-B10F-1D42B02C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line="240" w:lineRule="auto"/>
      <w:outlineLvl w:val="1"/>
    </w:pPr>
    <w:rPr>
      <w:sz w:val="21"/>
      <w:szCs w:val="21"/>
    </w:rPr>
  </w:style>
  <w:style w:type="paragraph" w:styleId="3">
    <w:name w:val="heading 3"/>
    <w:basedOn w:val="a"/>
    <w:next w:val="a"/>
    <w:uiPriority w:val="9"/>
    <w:unhideWhenUsed/>
    <w:qFormat/>
    <w:rsid w:val="00B74129"/>
    <w:pPr>
      <w:keepNext/>
      <w:keepLines/>
      <w:spacing w:before="300" w:after="300" w:line="241" w:lineRule="auto"/>
      <w:jc w:val="both"/>
      <w:outlineLvl w:val="2"/>
    </w:pPr>
    <w:rPr>
      <w:rFonts w:eastAsia="宋体"/>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TOC1">
    <w:name w:val="toc 1"/>
    <w:basedOn w:val="a"/>
    <w:next w:val="a"/>
    <w:autoRedefine/>
    <w:uiPriority w:val="39"/>
    <w:rsid w:val="002F17CB"/>
    <w:pPr>
      <w:tabs>
        <w:tab w:val="left" w:leader="dot" w:pos="9469"/>
      </w:tabs>
      <w:ind w:rightChars="-100" w:right="-220"/>
    </w:pPr>
  </w:style>
  <w:style w:type="paragraph" w:styleId="TOC2">
    <w:name w:val="toc 2"/>
    <w:basedOn w:val="a"/>
    <w:next w:val="a"/>
    <w:autoRedefine/>
    <w:uiPriority w:val="39"/>
    <w:unhideWhenUsed/>
    <w:pPr>
      <w:ind w:leftChars="200" w:left="420"/>
    </w:pPr>
  </w:style>
  <w:style w:type="paragraph" w:styleId="a3">
    <w:name w:val="Normal (Web)"/>
    <w:basedOn w:val="a"/>
    <w:uiPriority w:val="99"/>
    <w:unhideWhenUsed/>
    <w:pPr>
      <w:widowControl/>
      <w:spacing w:before="100" w:beforeAutospacing="1" w:after="100" w:afterAutospacing="1" w:line="240" w:lineRule="auto"/>
    </w:pPr>
    <w:rPr>
      <w:rFonts w:ascii="宋体" w:eastAsia="宋体" w:hAnsi="宋体" w:cs="宋体"/>
      <w:kern w:val="0"/>
      <w:sz w:val="24"/>
      <w14:ligatures w14:val="none"/>
    </w:rPr>
  </w:style>
  <w:style w:type="character" w:styleId="a4">
    <w:name w:val="Strong"/>
    <w:basedOn w:val="a0"/>
    <w:uiPriority w:val="22"/>
    <w:qFormat/>
    <w:rPr>
      <w:b/>
      <w:bCs/>
    </w:rPr>
  </w:style>
  <w:style w:type="character" w:styleId="a5">
    <w:name w:val="Emphasis"/>
    <w:basedOn w:val="a0"/>
    <w:uiPriority w:val="20"/>
    <w:qFormat/>
    <w:rPr>
      <w:i/>
      <w:iCs/>
    </w:rPr>
  </w:style>
  <w:style w:type="character" w:styleId="a6">
    <w:name w:val="Hyperlink"/>
    <w:basedOn w:val="a0"/>
    <w:uiPriority w:val="99"/>
    <w:semiHidden/>
    <w:unhideWhenUsed/>
    <w:rPr>
      <w:color w:val="0000FF"/>
      <w:u w:val="single"/>
    </w:rPr>
  </w:style>
  <w:style w:type="character" w:customStyle="1" w:styleId="15">
    <w:name w:val="15"/>
    <w:basedOn w:val="a0"/>
  </w:style>
  <w:style w:type="paragraph" w:customStyle="1" w:styleId="17">
    <w:name w:val="17"/>
    <w:basedOn w:val="a"/>
    <w:pPr>
      <w:widowControl/>
      <w:spacing w:before="100" w:beforeAutospacing="1" w:after="100" w:afterAutospacing="1" w:line="240" w:lineRule="auto"/>
    </w:pPr>
    <w:rPr>
      <w:rFonts w:ascii="宋体" w:eastAsia="宋体" w:hAnsi="宋体" w:cs="宋体"/>
      <w:kern w:val="0"/>
      <w:sz w:val="24"/>
      <w14:ligatures w14:val="none"/>
    </w:rPr>
  </w:style>
  <w:style w:type="paragraph" w:styleId="a7">
    <w:name w:val="header"/>
    <w:basedOn w:val="a"/>
    <w:link w:val="a8"/>
    <w:uiPriority w:val="99"/>
    <w:unhideWhenUsed/>
    <w:rsid w:val="005A284F"/>
    <w:pPr>
      <w:tabs>
        <w:tab w:val="center" w:pos="4153"/>
        <w:tab w:val="right" w:pos="8306"/>
      </w:tabs>
      <w:snapToGrid w:val="0"/>
      <w:spacing w:line="240" w:lineRule="auto"/>
      <w:jc w:val="center"/>
    </w:pPr>
    <w:rPr>
      <w:sz w:val="18"/>
      <w:szCs w:val="18"/>
    </w:rPr>
  </w:style>
  <w:style w:type="character" w:customStyle="1" w:styleId="a8">
    <w:name w:val="页眉 字符"/>
    <w:basedOn w:val="a0"/>
    <w:link w:val="a7"/>
    <w:uiPriority w:val="99"/>
    <w:rsid w:val="005A284F"/>
    <w:rPr>
      <w:sz w:val="18"/>
      <w:szCs w:val="18"/>
    </w:rPr>
  </w:style>
  <w:style w:type="paragraph" w:styleId="a9">
    <w:name w:val="footer"/>
    <w:basedOn w:val="a"/>
    <w:link w:val="aa"/>
    <w:uiPriority w:val="99"/>
    <w:unhideWhenUsed/>
    <w:rsid w:val="005A284F"/>
    <w:pPr>
      <w:tabs>
        <w:tab w:val="center" w:pos="4153"/>
        <w:tab w:val="right" w:pos="8306"/>
      </w:tabs>
      <w:snapToGrid w:val="0"/>
      <w:spacing w:line="240" w:lineRule="auto"/>
    </w:pPr>
    <w:rPr>
      <w:sz w:val="18"/>
      <w:szCs w:val="18"/>
    </w:rPr>
  </w:style>
  <w:style w:type="character" w:customStyle="1" w:styleId="aa">
    <w:name w:val="页脚 字符"/>
    <w:basedOn w:val="a0"/>
    <w:link w:val="a9"/>
    <w:uiPriority w:val="99"/>
    <w:rsid w:val="005A284F"/>
    <w:rPr>
      <w:sz w:val="18"/>
      <w:szCs w:val="18"/>
    </w:rPr>
  </w:style>
  <w:style w:type="paragraph" w:styleId="ab">
    <w:name w:val="Revision"/>
    <w:hidden/>
    <w:uiPriority w:val="99"/>
    <w:semiHidden/>
    <w:rsid w:val="002F17CB"/>
    <w:pPr>
      <w:spacing w:after="0" w:line="240" w:lineRule="auto"/>
    </w:pPr>
  </w:style>
  <w:style w:type="table" w:styleId="ac">
    <w:name w:val="Table Grid"/>
    <w:basedOn w:val="a1"/>
    <w:uiPriority w:val="39"/>
    <w:rsid w:val="00066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6543">
      <w:bodyDiv w:val="1"/>
      <w:marLeft w:val="0"/>
      <w:marRight w:val="0"/>
      <w:marTop w:val="0"/>
      <w:marBottom w:val="0"/>
      <w:divBdr>
        <w:top w:val="none" w:sz="0" w:space="0" w:color="auto"/>
        <w:left w:val="none" w:sz="0" w:space="0" w:color="auto"/>
        <w:bottom w:val="none" w:sz="0" w:space="0" w:color="auto"/>
        <w:right w:val="none" w:sz="0" w:space="0" w:color="auto"/>
      </w:divBdr>
    </w:div>
    <w:div w:id="14890680">
      <w:bodyDiv w:val="1"/>
      <w:marLeft w:val="0"/>
      <w:marRight w:val="0"/>
      <w:marTop w:val="0"/>
      <w:marBottom w:val="0"/>
      <w:divBdr>
        <w:top w:val="none" w:sz="0" w:space="0" w:color="auto"/>
        <w:left w:val="none" w:sz="0" w:space="0" w:color="auto"/>
        <w:bottom w:val="none" w:sz="0" w:space="0" w:color="auto"/>
        <w:right w:val="none" w:sz="0" w:space="0" w:color="auto"/>
      </w:divBdr>
    </w:div>
    <w:div w:id="22947861">
      <w:bodyDiv w:val="1"/>
      <w:marLeft w:val="0"/>
      <w:marRight w:val="0"/>
      <w:marTop w:val="0"/>
      <w:marBottom w:val="0"/>
      <w:divBdr>
        <w:top w:val="none" w:sz="0" w:space="0" w:color="auto"/>
        <w:left w:val="none" w:sz="0" w:space="0" w:color="auto"/>
        <w:bottom w:val="none" w:sz="0" w:space="0" w:color="auto"/>
        <w:right w:val="none" w:sz="0" w:space="0" w:color="auto"/>
      </w:divBdr>
    </w:div>
    <w:div w:id="23672636">
      <w:bodyDiv w:val="1"/>
      <w:marLeft w:val="0"/>
      <w:marRight w:val="0"/>
      <w:marTop w:val="0"/>
      <w:marBottom w:val="0"/>
      <w:divBdr>
        <w:top w:val="none" w:sz="0" w:space="0" w:color="auto"/>
        <w:left w:val="none" w:sz="0" w:space="0" w:color="auto"/>
        <w:bottom w:val="none" w:sz="0" w:space="0" w:color="auto"/>
        <w:right w:val="none" w:sz="0" w:space="0" w:color="auto"/>
      </w:divBdr>
    </w:div>
    <w:div w:id="42602283">
      <w:bodyDiv w:val="1"/>
      <w:marLeft w:val="0"/>
      <w:marRight w:val="0"/>
      <w:marTop w:val="0"/>
      <w:marBottom w:val="0"/>
      <w:divBdr>
        <w:top w:val="none" w:sz="0" w:space="0" w:color="auto"/>
        <w:left w:val="none" w:sz="0" w:space="0" w:color="auto"/>
        <w:bottom w:val="none" w:sz="0" w:space="0" w:color="auto"/>
        <w:right w:val="none" w:sz="0" w:space="0" w:color="auto"/>
      </w:divBdr>
    </w:div>
    <w:div w:id="46033559">
      <w:bodyDiv w:val="1"/>
      <w:marLeft w:val="0"/>
      <w:marRight w:val="0"/>
      <w:marTop w:val="0"/>
      <w:marBottom w:val="0"/>
      <w:divBdr>
        <w:top w:val="none" w:sz="0" w:space="0" w:color="auto"/>
        <w:left w:val="none" w:sz="0" w:space="0" w:color="auto"/>
        <w:bottom w:val="none" w:sz="0" w:space="0" w:color="auto"/>
        <w:right w:val="none" w:sz="0" w:space="0" w:color="auto"/>
      </w:divBdr>
    </w:div>
    <w:div w:id="51928084">
      <w:bodyDiv w:val="1"/>
      <w:marLeft w:val="0"/>
      <w:marRight w:val="0"/>
      <w:marTop w:val="0"/>
      <w:marBottom w:val="0"/>
      <w:divBdr>
        <w:top w:val="none" w:sz="0" w:space="0" w:color="auto"/>
        <w:left w:val="none" w:sz="0" w:space="0" w:color="auto"/>
        <w:bottom w:val="none" w:sz="0" w:space="0" w:color="auto"/>
        <w:right w:val="none" w:sz="0" w:space="0" w:color="auto"/>
      </w:divBdr>
    </w:div>
    <w:div w:id="56326427">
      <w:bodyDiv w:val="1"/>
      <w:marLeft w:val="0"/>
      <w:marRight w:val="0"/>
      <w:marTop w:val="0"/>
      <w:marBottom w:val="0"/>
      <w:divBdr>
        <w:top w:val="none" w:sz="0" w:space="0" w:color="auto"/>
        <w:left w:val="none" w:sz="0" w:space="0" w:color="auto"/>
        <w:bottom w:val="none" w:sz="0" w:space="0" w:color="auto"/>
        <w:right w:val="none" w:sz="0" w:space="0" w:color="auto"/>
      </w:divBdr>
    </w:div>
    <w:div w:id="63994232">
      <w:bodyDiv w:val="1"/>
      <w:marLeft w:val="0"/>
      <w:marRight w:val="0"/>
      <w:marTop w:val="0"/>
      <w:marBottom w:val="0"/>
      <w:divBdr>
        <w:top w:val="none" w:sz="0" w:space="0" w:color="auto"/>
        <w:left w:val="none" w:sz="0" w:space="0" w:color="auto"/>
        <w:bottom w:val="none" w:sz="0" w:space="0" w:color="auto"/>
        <w:right w:val="none" w:sz="0" w:space="0" w:color="auto"/>
      </w:divBdr>
    </w:div>
    <w:div w:id="65419546">
      <w:bodyDiv w:val="1"/>
      <w:marLeft w:val="0"/>
      <w:marRight w:val="0"/>
      <w:marTop w:val="0"/>
      <w:marBottom w:val="0"/>
      <w:divBdr>
        <w:top w:val="none" w:sz="0" w:space="0" w:color="auto"/>
        <w:left w:val="none" w:sz="0" w:space="0" w:color="auto"/>
        <w:bottom w:val="none" w:sz="0" w:space="0" w:color="auto"/>
        <w:right w:val="none" w:sz="0" w:space="0" w:color="auto"/>
      </w:divBdr>
    </w:div>
    <w:div w:id="66732101">
      <w:bodyDiv w:val="1"/>
      <w:marLeft w:val="0"/>
      <w:marRight w:val="0"/>
      <w:marTop w:val="0"/>
      <w:marBottom w:val="0"/>
      <w:divBdr>
        <w:top w:val="none" w:sz="0" w:space="0" w:color="auto"/>
        <w:left w:val="none" w:sz="0" w:space="0" w:color="auto"/>
        <w:bottom w:val="none" w:sz="0" w:space="0" w:color="auto"/>
        <w:right w:val="none" w:sz="0" w:space="0" w:color="auto"/>
      </w:divBdr>
    </w:div>
    <w:div w:id="68815212">
      <w:bodyDiv w:val="1"/>
      <w:marLeft w:val="0"/>
      <w:marRight w:val="0"/>
      <w:marTop w:val="0"/>
      <w:marBottom w:val="0"/>
      <w:divBdr>
        <w:top w:val="none" w:sz="0" w:space="0" w:color="auto"/>
        <w:left w:val="none" w:sz="0" w:space="0" w:color="auto"/>
        <w:bottom w:val="none" w:sz="0" w:space="0" w:color="auto"/>
        <w:right w:val="none" w:sz="0" w:space="0" w:color="auto"/>
      </w:divBdr>
    </w:div>
    <w:div w:id="76825146">
      <w:bodyDiv w:val="1"/>
      <w:marLeft w:val="0"/>
      <w:marRight w:val="0"/>
      <w:marTop w:val="0"/>
      <w:marBottom w:val="0"/>
      <w:divBdr>
        <w:top w:val="none" w:sz="0" w:space="0" w:color="auto"/>
        <w:left w:val="none" w:sz="0" w:space="0" w:color="auto"/>
        <w:bottom w:val="none" w:sz="0" w:space="0" w:color="auto"/>
        <w:right w:val="none" w:sz="0" w:space="0" w:color="auto"/>
      </w:divBdr>
    </w:div>
    <w:div w:id="84109265">
      <w:bodyDiv w:val="1"/>
      <w:marLeft w:val="0"/>
      <w:marRight w:val="0"/>
      <w:marTop w:val="0"/>
      <w:marBottom w:val="0"/>
      <w:divBdr>
        <w:top w:val="none" w:sz="0" w:space="0" w:color="auto"/>
        <w:left w:val="none" w:sz="0" w:space="0" w:color="auto"/>
        <w:bottom w:val="none" w:sz="0" w:space="0" w:color="auto"/>
        <w:right w:val="none" w:sz="0" w:space="0" w:color="auto"/>
      </w:divBdr>
    </w:div>
    <w:div w:id="92438220">
      <w:bodyDiv w:val="1"/>
      <w:marLeft w:val="0"/>
      <w:marRight w:val="0"/>
      <w:marTop w:val="0"/>
      <w:marBottom w:val="0"/>
      <w:divBdr>
        <w:top w:val="none" w:sz="0" w:space="0" w:color="auto"/>
        <w:left w:val="none" w:sz="0" w:space="0" w:color="auto"/>
        <w:bottom w:val="none" w:sz="0" w:space="0" w:color="auto"/>
        <w:right w:val="none" w:sz="0" w:space="0" w:color="auto"/>
      </w:divBdr>
    </w:div>
    <w:div w:id="98454755">
      <w:bodyDiv w:val="1"/>
      <w:marLeft w:val="0"/>
      <w:marRight w:val="0"/>
      <w:marTop w:val="0"/>
      <w:marBottom w:val="0"/>
      <w:divBdr>
        <w:top w:val="none" w:sz="0" w:space="0" w:color="auto"/>
        <w:left w:val="none" w:sz="0" w:space="0" w:color="auto"/>
        <w:bottom w:val="none" w:sz="0" w:space="0" w:color="auto"/>
        <w:right w:val="none" w:sz="0" w:space="0" w:color="auto"/>
      </w:divBdr>
    </w:div>
    <w:div w:id="99496640">
      <w:bodyDiv w:val="1"/>
      <w:marLeft w:val="0"/>
      <w:marRight w:val="0"/>
      <w:marTop w:val="0"/>
      <w:marBottom w:val="0"/>
      <w:divBdr>
        <w:top w:val="none" w:sz="0" w:space="0" w:color="auto"/>
        <w:left w:val="none" w:sz="0" w:space="0" w:color="auto"/>
        <w:bottom w:val="none" w:sz="0" w:space="0" w:color="auto"/>
        <w:right w:val="none" w:sz="0" w:space="0" w:color="auto"/>
      </w:divBdr>
    </w:div>
    <w:div w:id="107118289">
      <w:bodyDiv w:val="1"/>
      <w:marLeft w:val="0"/>
      <w:marRight w:val="0"/>
      <w:marTop w:val="0"/>
      <w:marBottom w:val="0"/>
      <w:divBdr>
        <w:top w:val="none" w:sz="0" w:space="0" w:color="auto"/>
        <w:left w:val="none" w:sz="0" w:space="0" w:color="auto"/>
        <w:bottom w:val="none" w:sz="0" w:space="0" w:color="auto"/>
        <w:right w:val="none" w:sz="0" w:space="0" w:color="auto"/>
      </w:divBdr>
    </w:div>
    <w:div w:id="111677081">
      <w:bodyDiv w:val="1"/>
      <w:marLeft w:val="0"/>
      <w:marRight w:val="0"/>
      <w:marTop w:val="0"/>
      <w:marBottom w:val="0"/>
      <w:divBdr>
        <w:top w:val="none" w:sz="0" w:space="0" w:color="auto"/>
        <w:left w:val="none" w:sz="0" w:space="0" w:color="auto"/>
        <w:bottom w:val="none" w:sz="0" w:space="0" w:color="auto"/>
        <w:right w:val="none" w:sz="0" w:space="0" w:color="auto"/>
      </w:divBdr>
    </w:div>
    <w:div w:id="121195300">
      <w:bodyDiv w:val="1"/>
      <w:marLeft w:val="0"/>
      <w:marRight w:val="0"/>
      <w:marTop w:val="0"/>
      <w:marBottom w:val="0"/>
      <w:divBdr>
        <w:top w:val="none" w:sz="0" w:space="0" w:color="auto"/>
        <w:left w:val="none" w:sz="0" w:space="0" w:color="auto"/>
        <w:bottom w:val="none" w:sz="0" w:space="0" w:color="auto"/>
        <w:right w:val="none" w:sz="0" w:space="0" w:color="auto"/>
      </w:divBdr>
    </w:div>
    <w:div w:id="126700298">
      <w:bodyDiv w:val="1"/>
      <w:marLeft w:val="0"/>
      <w:marRight w:val="0"/>
      <w:marTop w:val="0"/>
      <w:marBottom w:val="0"/>
      <w:divBdr>
        <w:top w:val="none" w:sz="0" w:space="0" w:color="auto"/>
        <w:left w:val="none" w:sz="0" w:space="0" w:color="auto"/>
        <w:bottom w:val="none" w:sz="0" w:space="0" w:color="auto"/>
        <w:right w:val="none" w:sz="0" w:space="0" w:color="auto"/>
      </w:divBdr>
    </w:div>
    <w:div w:id="127091115">
      <w:bodyDiv w:val="1"/>
      <w:marLeft w:val="0"/>
      <w:marRight w:val="0"/>
      <w:marTop w:val="0"/>
      <w:marBottom w:val="0"/>
      <w:divBdr>
        <w:top w:val="none" w:sz="0" w:space="0" w:color="auto"/>
        <w:left w:val="none" w:sz="0" w:space="0" w:color="auto"/>
        <w:bottom w:val="none" w:sz="0" w:space="0" w:color="auto"/>
        <w:right w:val="none" w:sz="0" w:space="0" w:color="auto"/>
      </w:divBdr>
    </w:div>
    <w:div w:id="132212686">
      <w:bodyDiv w:val="1"/>
      <w:marLeft w:val="0"/>
      <w:marRight w:val="0"/>
      <w:marTop w:val="0"/>
      <w:marBottom w:val="0"/>
      <w:divBdr>
        <w:top w:val="none" w:sz="0" w:space="0" w:color="auto"/>
        <w:left w:val="none" w:sz="0" w:space="0" w:color="auto"/>
        <w:bottom w:val="none" w:sz="0" w:space="0" w:color="auto"/>
        <w:right w:val="none" w:sz="0" w:space="0" w:color="auto"/>
      </w:divBdr>
    </w:div>
    <w:div w:id="134642673">
      <w:bodyDiv w:val="1"/>
      <w:marLeft w:val="0"/>
      <w:marRight w:val="0"/>
      <w:marTop w:val="0"/>
      <w:marBottom w:val="0"/>
      <w:divBdr>
        <w:top w:val="none" w:sz="0" w:space="0" w:color="auto"/>
        <w:left w:val="none" w:sz="0" w:space="0" w:color="auto"/>
        <w:bottom w:val="none" w:sz="0" w:space="0" w:color="auto"/>
        <w:right w:val="none" w:sz="0" w:space="0" w:color="auto"/>
      </w:divBdr>
    </w:div>
    <w:div w:id="134642884">
      <w:bodyDiv w:val="1"/>
      <w:marLeft w:val="0"/>
      <w:marRight w:val="0"/>
      <w:marTop w:val="0"/>
      <w:marBottom w:val="0"/>
      <w:divBdr>
        <w:top w:val="none" w:sz="0" w:space="0" w:color="auto"/>
        <w:left w:val="none" w:sz="0" w:space="0" w:color="auto"/>
        <w:bottom w:val="none" w:sz="0" w:space="0" w:color="auto"/>
        <w:right w:val="none" w:sz="0" w:space="0" w:color="auto"/>
      </w:divBdr>
    </w:div>
    <w:div w:id="144664935">
      <w:bodyDiv w:val="1"/>
      <w:marLeft w:val="0"/>
      <w:marRight w:val="0"/>
      <w:marTop w:val="0"/>
      <w:marBottom w:val="0"/>
      <w:divBdr>
        <w:top w:val="none" w:sz="0" w:space="0" w:color="auto"/>
        <w:left w:val="none" w:sz="0" w:space="0" w:color="auto"/>
        <w:bottom w:val="none" w:sz="0" w:space="0" w:color="auto"/>
        <w:right w:val="none" w:sz="0" w:space="0" w:color="auto"/>
      </w:divBdr>
    </w:div>
    <w:div w:id="151024842">
      <w:bodyDiv w:val="1"/>
      <w:marLeft w:val="0"/>
      <w:marRight w:val="0"/>
      <w:marTop w:val="0"/>
      <w:marBottom w:val="0"/>
      <w:divBdr>
        <w:top w:val="none" w:sz="0" w:space="0" w:color="auto"/>
        <w:left w:val="none" w:sz="0" w:space="0" w:color="auto"/>
        <w:bottom w:val="none" w:sz="0" w:space="0" w:color="auto"/>
        <w:right w:val="none" w:sz="0" w:space="0" w:color="auto"/>
      </w:divBdr>
    </w:div>
    <w:div w:id="158230185">
      <w:bodyDiv w:val="1"/>
      <w:marLeft w:val="0"/>
      <w:marRight w:val="0"/>
      <w:marTop w:val="0"/>
      <w:marBottom w:val="0"/>
      <w:divBdr>
        <w:top w:val="none" w:sz="0" w:space="0" w:color="auto"/>
        <w:left w:val="none" w:sz="0" w:space="0" w:color="auto"/>
        <w:bottom w:val="none" w:sz="0" w:space="0" w:color="auto"/>
        <w:right w:val="none" w:sz="0" w:space="0" w:color="auto"/>
      </w:divBdr>
    </w:div>
    <w:div w:id="159469314">
      <w:bodyDiv w:val="1"/>
      <w:marLeft w:val="0"/>
      <w:marRight w:val="0"/>
      <w:marTop w:val="0"/>
      <w:marBottom w:val="0"/>
      <w:divBdr>
        <w:top w:val="none" w:sz="0" w:space="0" w:color="auto"/>
        <w:left w:val="none" w:sz="0" w:space="0" w:color="auto"/>
        <w:bottom w:val="none" w:sz="0" w:space="0" w:color="auto"/>
        <w:right w:val="none" w:sz="0" w:space="0" w:color="auto"/>
      </w:divBdr>
    </w:div>
    <w:div w:id="200940898">
      <w:bodyDiv w:val="1"/>
      <w:marLeft w:val="0"/>
      <w:marRight w:val="0"/>
      <w:marTop w:val="0"/>
      <w:marBottom w:val="0"/>
      <w:divBdr>
        <w:top w:val="none" w:sz="0" w:space="0" w:color="auto"/>
        <w:left w:val="none" w:sz="0" w:space="0" w:color="auto"/>
        <w:bottom w:val="none" w:sz="0" w:space="0" w:color="auto"/>
        <w:right w:val="none" w:sz="0" w:space="0" w:color="auto"/>
      </w:divBdr>
    </w:div>
    <w:div w:id="218631415">
      <w:bodyDiv w:val="1"/>
      <w:marLeft w:val="0"/>
      <w:marRight w:val="0"/>
      <w:marTop w:val="0"/>
      <w:marBottom w:val="0"/>
      <w:divBdr>
        <w:top w:val="none" w:sz="0" w:space="0" w:color="auto"/>
        <w:left w:val="none" w:sz="0" w:space="0" w:color="auto"/>
        <w:bottom w:val="none" w:sz="0" w:space="0" w:color="auto"/>
        <w:right w:val="none" w:sz="0" w:space="0" w:color="auto"/>
      </w:divBdr>
    </w:div>
    <w:div w:id="226495929">
      <w:bodyDiv w:val="1"/>
      <w:marLeft w:val="0"/>
      <w:marRight w:val="0"/>
      <w:marTop w:val="0"/>
      <w:marBottom w:val="0"/>
      <w:divBdr>
        <w:top w:val="none" w:sz="0" w:space="0" w:color="auto"/>
        <w:left w:val="none" w:sz="0" w:space="0" w:color="auto"/>
        <w:bottom w:val="none" w:sz="0" w:space="0" w:color="auto"/>
        <w:right w:val="none" w:sz="0" w:space="0" w:color="auto"/>
      </w:divBdr>
    </w:div>
    <w:div w:id="231239593">
      <w:bodyDiv w:val="1"/>
      <w:marLeft w:val="0"/>
      <w:marRight w:val="0"/>
      <w:marTop w:val="0"/>
      <w:marBottom w:val="0"/>
      <w:divBdr>
        <w:top w:val="none" w:sz="0" w:space="0" w:color="auto"/>
        <w:left w:val="none" w:sz="0" w:space="0" w:color="auto"/>
        <w:bottom w:val="none" w:sz="0" w:space="0" w:color="auto"/>
        <w:right w:val="none" w:sz="0" w:space="0" w:color="auto"/>
      </w:divBdr>
    </w:div>
    <w:div w:id="232353810">
      <w:bodyDiv w:val="1"/>
      <w:marLeft w:val="0"/>
      <w:marRight w:val="0"/>
      <w:marTop w:val="0"/>
      <w:marBottom w:val="0"/>
      <w:divBdr>
        <w:top w:val="none" w:sz="0" w:space="0" w:color="auto"/>
        <w:left w:val="none" w:sz="0" w:space="0" w:color="auto"/>
        <w:bottom w:val="none" w:sz="0" w:space="0" w:color="auto"/>
        <w:right w:val="none" w:sz="0" w:space="0" w:color="auto"/>
      </w:divBdr>
    </w:div>
    <w:div w:id="238909176">
      <w:bodyDiv w:val="1"/>
      <w:marLeft w:val="0"/>
      <w:marRight w:val="0"/>
      <w:marTop w:val="0"/>
      <w:marBottom w:val="0"/>
      <w:divBdr>
        <w:top w:val="none" w:sz="0" w:space="0" w:color="auto"/>
        <w:left w:val="none" w:sz="0" w:space="0" w:color="auto"/>
        <w:bottom w:val="none" w:sz="0" w:space="0" w:color="auto"/>
        <w:right w:val="none" w:sz="0" w:space="0" w:color="auto"/>
      </w:divBdr>
    </w:div>
    <w:div w:id="248580220">
      <w:bodyDiv w:val="1"/>
      <w:marLeft w:val="0"/>
      <w:marRight w:val="0"/>
      <w:marTop w:val="0"/>
      <w:marBottom w:val="0"/>
      <w:divBdr>
        <w:top w:val="none" w:sz="0" w:space="0" w:color="auto"/>
        <w:left w:val="none" w:sz="0" w:space="0" w:color="auto"/>
        <w:bottom w:val="none" w:sz="0" w:space="0" w:color="auto"/>
        <w:right w:val="none" w:sz="0" w:space="0" w:color="auto"/>
      </w:divBdr>
    </w:div>
    <w:div w:id="262107706">
      <w:bodyDiv w:val="1"/>
      <w:marLeft w:val="0"/>
      <w:marRight w:val="0"/>
      <w:marTop w:val="0"/>
      <w:marBottom w:val="0"/>
      <w:divBdr>
        <w:top w:val="none" w:sz="0" w:space="0" w:color="auto"/>
        <w:left w:val="none" w:sz="0" w:space="0" w:color="auto"/>
        <w:bottom w:val="none" w:sz="0" w:space="0" w:color="auto"/>
        <w:right w:val="none" w:sz="0" w:space="0" w:color="auto"/>
      </w:divBdr>
    </w:div>
    <w:div w:id="262344443">
      <w:bodyDiv w:val="1"/>
      <w:marLeft w:val="0"/>
      <w:marRight w:val="0"/>
      <w:marTop w:val="0"/>
      <w:marBottom w:val="0"/>
      <w:divBdr>
        <w:top w:val="none" w:sz="0" w:space="0" w:color="auto"/>
        <w:left w:val="none" w:sz="0" w:space="0" w:color="auto"/>
        <w:bottom w:val="none" w:sz="0" w:space="0" w:color="auto"/>
        <w:right w:val="none" w:sz="0" w:space="0" w:color="auto"/>
      </w:divBdr>
    </w:div>
    <w:div w:id="269826577">
      <w:bodyDiv w:val="1"/>
      <w:marLeft w:val="0"/>
      <w:marRight w:val="0"/>
      <w:marTop w:val="0"/>
      <w:marBottom w:val="0"/>
      <w:divBdr>
        <w:top w:val="none" w:sz="0" w:space="0" w:color="auto"/>
        <w:left w:val="none" w:sz="0" w:space="0" w:color="auto"/>
        <w:bottom w:val="none" w:sz="0" w:space="0" w:color="auto"/>
        <w:right w:val="none" w:sz="0" w:space="0" w:color="auto"/>
      </w:divBdr>
    </w:div>
    <w:div w:id="272564412">
      <w:bodyDiv w:val="1"/>
      <w:marLeft w:val="0"/>
      <w:marRight w:val="0"/>
      <w:marTop w:val="0"/>
      <w:marBottom w:val="0"/>
      <w:divBdr>
        <w:top w:val="none" w:sz="0" w:space="0" w:color="auto"/>
        <w:left w:val="none" w:sz="0" w:space="0" w:color="auto"/>
        <w:bottom w:val="none" w:sz="0" w:space="0" w:color="auto"/>
        <w:right w:val="none" w:sz="0" w:space="0" w:color="auto"/>
      </w:divBdr>
    </w:div>
    <w:div w:id="278221716">
      <w:bodyDiv w:val="1"/>
      <w:marLeft w:val="0"/>
      <w:marRight w:val="0"/>
      <w:marTop w:val="0"/>
      <w:marBottom w:val="0"/>
      <w:divBdr>
        <w:top w:val="none" w:sz="0" w:space="0" w:color="auto"/>
        <w:left w:val="none" w:sz="0" w:space="0" w:color="auto"/>
        <w:bottom w:val="none" w:sz="0" w:space="0" w:color="auto"/>
        <w:right w:val="none" w:sz="0" w:space="0" w:color="auto"/>
      </w:divBdr>
    </w:div>
    <w:div w:id="291712218">
      <w:bodyDiv w:val="1"/>
      <w:marLeft w:val="0"/>
      <w:marRight w:val="0"/>
      <w:marTop w:val="0"/>
      <w:marBottom w:val="0"/>
      <w:divBdr>
        <w:top w:val="none" w:sz="0" w:space="0" w:color="auto"/>
        <w:left w:val="none" w:sz="0" w:space="0" w:color="auto"/>
        <w:bottom w:val="none" w:sz="0" w:space="0" w:color="auto"/>
        <w:right w:val="none" w:sz="0" w:space="0" w:color="auto"/>
      </w:divBdr>
    </w:div>
    <w:div w:id="314533667">
      <w:bodyDiv w:val="1"/>
      <w:marLeft w:val="0"/>
      <w:marRight w:val="0"/>
      <w:marTop w:val="0"/>
      <w:marBottom w:val="0"/>
      <w:divBdr>
        <w:top w:val="none" w:sz="0" w:space="0" w:color="auto"/>
        <w:left w:val="none" w:sz="0" w:space="0" w:color="auto"/>
        <w:bottom w:val="none" w:sz="0" w:space="0" w:color="auto"/>
        <w:right w:val="none" w:sz="0" w:space="0" w:color="auto"/>
      </w:divBdr>
    </w:div>
    <w:div w:id="320230678">
      <w:bodyDiv w:val="1"/>
      <w:marLeft w:val="0"/>
      <w:marRight w:val="0"/>
      <w:marTop w:val="0"/>
      <w:marBottom w:val="0"/>
      <w:divBdr>
        <w:top w:val="none" w:sz="0" w:space="0" w:color="auto"/>
        <w:left w:val="none" w:sz="0" w:space="0" w:color="auto"/>
        <w:bottom w:val="none" w:sz="0" w:space="0" w:color="auto"/>
        <w:right w:val="none" w:sz="0" w:space="0" w:color="auto"/>
      </w:divBdr>
    </w:div>
    <w:div w:id="354816200">
      <w:bodyDiv w:val="1"/>
      <w:marLeft w:val="0"/>
      <w:marRight w:val="0"/>
      <w:marTop w:val="0"/>
      <w:marBottom w:val="0"/>
      <w:divBdr>
        <w:top w:val="none" w:sz="0" w:space="0" w:color="auto"/>
        <w:left w:val="none" w:sz="0" w:space="0" w:color="auto"/>
        <w:bottom w:val="none" w:sz="0" w:space="0" w:color="auto"/>
        <w:right w:val="none" w:sz="0" w:space="0" w:color="auto"/>
      </w:divBdr>
    </w:div>
    <w:div w:id="354888262">
      <w:bodyDiv w:val="1"/>
      <w:marLeft w:val="0"/>
      <w:marRight w:val="0"/>
      <w:marTop w:val="0"/>
      <w:marBottom w:val="0"/>
      <w:divBdr>
        <w:top w:val="none" w:sz="0" w:space="0" w:color="auto"/>
        <w:left w:val="none" w:sz="0" w:space="0" w:color="auto"/>
        <w:bottom w:val="none" w:sz="0" w:space="0" w:color="auto"/>
        <w:right w:val="none" w:sz="0" w:space="0" w:color="auto"/>
      </w:divBdr>
    </w:div>
    <w:div w:id="363141512">
      <w:bodyDiv w:val="1"/>
      <w:marLeft w:val="0"/>
      <w:marRight w:val="0"/>
      <w:marTop w:val="0"/>
      <w:marBottom w:val="0"/>
      <w:divBdr>
        <w:top w:val="none" w:sz="0" w:space="0" w:color="auto"/>
        <w:left w:val="none" w:sz="0" w:space="0" w:color="auto"/>
        <w:bottom w:val="none" w:sz="0" w:space="0" w:color="auto"/>
        <w:right w:val="none" w:sz="0" w:space="0" w:color="auto"/>
      </w:divBdr>
    </w:div>
    <w:div w:id="366371966">
      <w:bodyDiv w:val="1"/>
      <w:marLeft w:val="0"/>
      <w:marRight w:val="0"/>
      <w:marTop w:val="0"/>
      <w:marBottom w:val="0"/>
      <w:divBdr>
        <w:top w:val="none" w:sz="0" w:space="0" w:color="auto"/>
        <w:left w:val="none" w:sz="0" w:space="0" w:color="auto"/>
        <w:bottom w:val="none" w:sz="0" w:space="0" w:color="auto"/>
        <w:right w:val="none" w:sz="0" w:space="0" w:color="auto"/>
      </w:divBdr>
    </w:div>
    <w:div w:id="380982629">
      <w:bodyDiv w:val="1"/>
      <w:marLeft w:val="0"/>
      <w:marRight w:val="0"/>
      <w:marTop w:val="0"/>
      <w:marBottom w:val="0"/>
      <w:divBdr>
        <w:top w:val="none" w:sz="0" w:space="0" w:color="auto"/>
        <w:left w:val="none" w:sz="0" w:space="0" w:color="auto"/>
        <w:bottom w:val="none" w:sz="0" w:space="0" w:color="auto"/>
        <w:right w:val="none" w:sz="0" w:space="0" w:color="auto"/>
      </w:divBdr>
    </w:div>
    <w:div w:id="387653154">
      <w:bodyDiv w:val="1"/>
      <w:marLeft w:val="0"/>
      <w:marRight w:val="0"/>
      <w:marTop w:val="0"/>
      <w:marBottom w:val="0"/>
      <w:divBdr>
        <w:top w:val="none" w:sz="0" w:space="0" w:color="auto"/>
        <w:left w:val="none" w:sz="0" w:space="0" w:color="auto"/>
        <w:bottom w:val="none" w:sz="0" w:space="0" w:color="auto"/>
        <w:right w:val="none" w:sz="0" w:space="0" w:color="auto"/>
      </w:divBdr>
    </w:div>
    <w:div w:id="387807095">
      <w:bodyDiv w:val="1"/>
      <w:marLeft w:val="0"/>
      <w:marRight w:val="0"/>
      <w:marTop w:val="0"/>
      <w:marBottom w:val="0"/>
      <w:divBdr>
        <w:top w:val="none" w:sz="0" w:space="0" w:color="auto"/>
        <w:left w:val="none" w:sz="0" w:space="0" w:color="auto"/>
        <w:bottom w:val="none" w:sz="0" w:space="0" w:color="auto"/>
        <w:right w:val="none" w:sz="0" w:space="0" w:color="auto"/>
      </w:divBdr>
    </w:div>
    <w:div w:id="390731864">
      <w:bodyDiv w:val="1"/>
      <w:marLeft w:val="0"/>
      <w:marRight w:val="0"/>
      <w:marTop w:val="0"/>
      <w:marBottom w:val="0"/>
      <w:divBdr>
        <w:top w:val="none" w:sz="0" w:space="0" w:color="auto"/>
        <w:left w:val="none" w:sz="0" w:space="0" w:color="auto"/>
        <w:bottom w:val="none" w:sz="0" w:space="0" w:color="auto"/>
        <w:right w:val="none" w:sz="0" w:space="0" w:color="auto"/>
      </w:divBdr>
    </w:div>
    <w:div w:id="403531931">
      <w:bodyDiv w:val="1"/>
      <w:marLeft w:val="0"/>
      <w:marRight w:val="0"/>
      <w:marTop w:val="0"/>
      <w:marBottom w:val="0"/>
      <w:divBdr>
        <w:top w:val="none" w:sz="0" w:space="0" w:color="auto"/>
        <w:left w:val="none" w:sz="0" w:space="0" w:color="auto"/>
        <w:bottom w:val="none" w:sz="0" w:space="0" w:color="auto"/>
        <w:right w:val="none" w:sz="0" w:space="0" w:color="auto"/>
      </w:divBdr>
    </w:div>
    <w:div w:id="405416070">
      <w:bodyDiv w:val="1"/>
      <w:marLeft w:val="0"/>
      <w:marRight w:val="0"/>
      <w:marTop w:val="0"/>
      <w:marBottom w:val="0"/>
      <w:divBdr>
        <w:top w:val="none" w:sz="0" w:space="0" w:color="auto"/>
        <w:left w:val="none" w:sz="0" w:space="0" w:color="auto"/>
        <w:bottom w:val="none" w:sz="0" w:space="0" w:color="auto"/>
        <w:right w:val="none" w:sz="0" w:space="0" w:color="auto"/>
      </w:divBdr>
    </w:div>
    <w:div w:id="410006053">
      <w:bodyDiv w:val="1"/>
      <w:marLeft w:val="0"/>
      <w:marRight w:val="0"/>
      <w:marTop w:val="0"/>
      <w:marBottom w:val="0"/>
      <w:divBdr>
        <w:top w:val="none" w:sz="0" w:space="0" w:color="auto"/>
        <w:left w:val="none" w:sz="0" w:space="0" w:color="auto"/>
        <w:bottom w:val="none" w:sz="0" w:space="0" w:color="auto"/>
        <w:right w:val="none" w:sz="0" w:space="0" w:color="auto"/>
      </w:divBdr>
    </w:div>
    <w:div w:id="413481601">
      <w:bodyDiv w:val="1"/>
      <w:marLeft w:val="0"/>
      <w:marRight w:val="0"/>
      <w:marTop w:val="0"/>
      <w:marBottom w:val="0"/>
      <w:divBdr>
        <w:top w:val="none" w:sz="0" w:space="0" w:color="auto"/>
        <w:left w:val="none" w:sz="0" w:space="0" w:color="auto"/>
        <w:bottom w:val="none" w:sz="0" w:space="0" w:color="auto"/>
        <w:right w:val="none" w:sz="0" w:space="0" w:color="auto"/>
      </w:divBdr>
    </w:div>
    <w:div w:id="415176783">
      <w:bodyDiv w:val="1"/>
      <w:marLeft w:val="0"/>
      <w:marRight w:val="0"/>
      <w:marTop w:val="0"/>
      <w:marBottom w:val="0"/>
      <w:divBdr>
        <w:top w:val="none" w:sz="0" w:space="0" w:color="auto"/>
        <w:left w:val="none" w:sz="0" w:space="0" w:color="auto"/>
        <w:bottom w:val="none" w:sz="0" w:space="0" w:color="auto"/>
        <w:right w:val="none" w:sz="0" w:space="0" w:color="auto"/>
      </w:divBdr>
    </w:div>
    <w:div w:id="415788676">
      <w:bodyDiv w:val="1"/>
      <w:marLeft w:val="0"/>
      <w:marRight w:val="0"/>
      <w:marTop w:val="0"/>
      <w:marBottom w:val="0"/>
      <w:divBdr>
        <w:top w:val="none" w:sz="0" w:space="0" w:color="auto"/>
        <w:left w:val="none" w:sz="0" w:space="0" w:color="auto"/>
        <w:bottom w:val="none" w:sz="0" w:space="0" w:color="auto"/>
        <w:right w:val="none" w:sz="0" w:space="0" w:color="auto"/>
      </w:divBdr>
    </w:div>
    <w:div w:id="419566777">
      <w:bodyDiv w:val="1"/>
      <w:marLeft w:val="0"/>
      <w:marRight w:val="0"/>
      <w:marTop w:val="0"/>
      <w:marBottom w:val="0"/>
      <w:divBdr>
        <w:top w:val="none" w:sz="0" w:space="0" w:color="auto"/>
        <w:left w:val="none" w:sz="0" w:space="0" w:color="auto"/>
        <w:bottom w:val="none" w:sz="0" w:space="0" w:color="auto"/>
        <w:right w:val="none" w:sz="0" w:space="0" w:color="auto"/>
      </w:divBdr>
    </w:div>
    <w:div w:id="425687068">
      <w:bodyDiv w:val="1"/>
      <w:marLeft w:val="0"/>
      <w:marRight w:val="0"/>
      <w:marTop w:val="0"/>
      <w:marBottom w:val="0"/>
      <w:divBdr>
        <w:top w:val="none" w:sz="0" w:space="0" w:color="auto"/>
        <w:left w:val="none" w:sz="0" w:space="0" w:color="auto"/>
        <w:bottom w:val="none" w:sz="0" w:space="0" w:color="auto"/>
        <w:right w:val="none" w:sz="0" w:space="0" w:color="auto"/>
      </w:divBdr>
    </w:div>
    <w:div w:id="451097132">
      <w:bodyDiv w:val="1"/>
      <w:marLeft w:val="0"/>
      <w:marRight w:val="0"/>
      <w:marTop w:val="0"/>
      <w:marBottom w:val="0"/>
      <w:divBdr>
        <w:top w:val="none" w:sz="0" w:space="0" w:color="auto"/>
        <w:left w:val="none" w:sz="0" w:space="0" w:color="auto"/>
        <w:bottom w:val="none" w:sz="0" w:space="0" w:color="auto"/>
        <w:right w:val="none" w:sz="0" w:space="0" w:color="auto"/>
      </w:divBdr>
    </w:div>
    <w:div w:id="453644730">
      <w:bodyDiv w:val="1"/>
      <w:marLeft w:val="0"/>
      <w:marRight w:val="0"/>
      <w:marTop w:val="0"/>
      <w:marBottom w:val="0"/>
      <w:divBdr>
        <w:top w:val="none" w:sz="0" w:space="0" w:color="auto"/>
        <w:left w:val="none" w:sz="0" w:space="0" w:color="auto"/>
        <w:bottom w:val="none" w:sz="0" w:space="0" w:color="auto"/>
        <w:right w:val="none" w:sz="0" w:space="0" w:color="auto"/>
      </w:divBdr>
    </w:div>
    <w:div w:id="460340656">
      <w:bodyDiv w:val="1"/>
      <w:marLeft w:val="0"/>
      <w:marRight w:val="0"/>
      <w:marTop w:val="0"/>
      <w:marBottom w:val="0"/>
      <w:divBdr>
        <w:top w:val="none" w:sz="0" w:space="0" w:color="auto"/>
        <w:left w:val="none" w:sz="0" w:space="0" w:color="auto"/>
        <w:bottom w:val="none" w:sz="0" w:space="0" w:color="auto"/>
        <w:right w:val="none" w:sz="0" w:space="0" w:color="auto"/>
      </w:divBdr>
    </w:div>
    <w:div w:id="467672444">
      <w:bodyDiv w:val="1"/>
      <w:marLeft w:val="0"/>
      <w:marRight w:val="0"/>
      <w:marTop w:val="0"/>
      <w:marBottom w:val="0"/>
      <w:divBdr>
        <w:top w:val="none" w:sz="0" w:space="0" w:color="auto"/>
        <w:left w:val="none" w:sz="0" w:space="0" w:color="auto"/>
        <w:bottom w:val="none" w:sz="0" w:space="0" w:color="auto"/>
        <w:right w:val="none" w:sz="0" w:space="0" w:color="auto"/>
      </w:divBdr>
    </w:div>
    <w:div w:id="469133516">
      <w:bodyDiv w:val="1"/>
      <w:marLeft w:val="0"/>
      <w:marRight w:val="0"/>
      <w:marTop w:val="0"/>
      <w:marBottom w:val="0"/>
      <w:divBdr>
        <w:top w:val="none" w:sz="0" w:space="0" w:color="auto"/>
        <w:left w:val="none" w:sz="0" w:space="0" w:color="auto"/>
        <w:bottom w:val="none" w:sz="0" w:space="0" w:color="auto"/>
        <w:right w:val="none" w:sz="0" w:space="0" w:color="auto"/>
      </w:divBdr>
    </w:div>
    <w:div w:id="474420564">
      <w:bodyDiv w:val="1"/>
      <w:marLeft w:val="0"/>
      <w:marRight w:val="0"/>
      <w:marTop w:val="0"/>
      <w:marBottom w:val="0"/>
      <w:divBdr>
        <w:top w:val="none" w:sz="0" w:space="0" w:color="auto"/>
        <w:left w:val="none" w:sz="0" w:space="0" w:color="auto"/>
        <w:bottom w:val="none" w:sz="0" w:space="0" w:color="auto"/>
        <w:right w:val="none" w:sz="0" w:space="0" w:color="auto"/>
      </w:divBdr>
    </w:div>
    <w:div w:id="478426674">
      <w:bodyDiv w:val="1"/>
      <w:marLeft w:val="0"/>
      <w:marRight w:val="0"/>
      <w:marTop w:val="0"/>
      <w:marBottom w:val="0"/>
      <w:divBdr>
        <w:top w:val="none" w:sz="0" w:space="0" w:color="auto"/>
        <w:left w:val="none" w:sz="0" w:space="0" w:color="auto"/>
        <w:bottom w:val="none" w:sz="0" w:space="0" w:color="auto"/>
        <w:right w:val="none" w:sz="0" w:space="0" w:color="auto"/>
      </w:divBdr>
    </w:div>
    <w:div w:id="496462849">
      <w:bodyDiv w:val="1"/>
      <w:marLeft w:val="0"/>
      <w:marRight w:val="0"/>
      <w:marTop w:val="0"/>
      <w:marBottom w:val="0"/>
      <w:divBdr>
        <w:top w:val="none" w:sz="0" w:space="0" w:color="auto"/>
        <w:left w:val="none" w:sz="0" w:space="0" w:color="auto"/>
        <w:bottom w:val="none" w:sz="0" w:space="0" w:color="auto"/>
        <w:right w:val="none" w:sz="0" w:space="0" w:color="auto"/>
      </w:divBdr>
    </w:div>
    <w:div w:id="497428430">
      <w:bodyDiv w:val="1"/>
      <w:marLeft w:val="0"/>
      <w:marRight w:val="0"/>
      <w:marTop w:val="0"/>
      <w:marBottom w:val="0"/>
      <w:divBdr>
        <w:top w:val="none" w:sz="0" w:space="0" w:color="auto"/>
        <w:left w:val="none" w:sz="0" w:space="0" w:color="auto"/>
        <w:bottom w:val="none" w:sz="0" w:space="0" w:color="auto"/>
        <w:right w:val="none" w:sz="0" w:space="0" w:color="auto"/>
      </w:divBdr>
    </w:div>
    <w:div w:id="501550448">
      <w:bodyDiv w:val="1"/>
      <w:marLeft w:val="0"/>
      <w:marRight w:val="0"/>
      <w:marTop w:val="0"/>
      <w:marBottom w:val="0"/>
      <w:divBdr>
        <w:top w:val="none" w:sz="0" w:space="0" w:color="auto"/>
        <w:left w:val="none" w:sz="0" w:space="0" w:color="auto"/>
        <w:bottom w:val="none" w:sz="0" w:space="0" w:color="auto"/>
        <w:right w:val="none" w:sz="0" w:space="0" w:color="auto"/>
      </w:divBdr>
    </w:div>
    <w:div w:id="504899073">
      <w:bodyDiv w:val="1"/>
      <w:marLeft w:val="0"/>
      <w:marRight w:val="0"/>
      <w:marTop w:val="0"/>
      <w:marBottom w:val="0"/>
      <w:divBdr>
        <w:top w:val="none" w:sz="0" w:space="0" w:color="auto"/>
        <w:left w:val="none" w:sz="0" w:space="0" w:color="auto"/>
        <w:bottom w:val="none" w:sz="0" w:space="0" w:color="auto"/>
        <w:right w:val="none" w:sz="0" w:space="0" w:color="auto"/>
      </w:divBdr>
    </w:div>
    <w:div w:id="508645161">
      <w:bodyDiv w:val="1"/>
      <w:marLeft w:val="0"/>
      <w:marRight w:val="0"/>
      <w:marTop w:val="0"/>
      <w:marBottom w:val="0"/>
      <w:divBdr>
        <w:top w:val="none" w:sz="0" w:space="0" w:color="auto"/>
        <w:left w:val="none" w:sz="0" w:space="0" w:color="auto"/>
        <w:bottom w:val="none" w:sz="0" w:space="0" w:color="auto"/>
        <w:right w:val="none" w:sz="0" w:space="0" w:color="auto"/>
      </w:divBdr>
    </w:div>
    <w:div w:id="512190747">
      <w:bodyDiv w:val="1"/>
      <w:marLeft w:val="0"/>
      <w:marRight w:val="0"/>
      <w:marTop w:val="0"/>
      <w:marBottom w:val="0"/>
      <w:divBdr>
        <w:top w:val="none" w:sz="0" w:space="0" w:color="auto"/>
        <w:left w:val="none" w:sz="0" w:space="0" w:color="auto"/>
        <w:bottom w:val="none" w:sz="0" w:space="0" w:color="auto"/>
        <w:right w:val="none" w:sz="0" w:space="0" w:color="auto"/>
      </w:divBdr>
    </w:div>
    <w:div w:id="544214675">
      <w:bodyDiv w:val="1"/>
      <w:marLeft w:val="0"/>
      <w:marRight w:val="0"/>
      <w:marTop w:val="0"/>
      <w:marBottom w:val="0"/>
      <w:divBdr>
        <w:top w:val="none" w:sz="0" w:space="0" w:color="auto"/>
        <w:left w:val="none" w:sz="0" w:space="0" w:color="auto"/>
        <w:bottom w:val="none" w:sz="0" w:space="0" w:color="auto"/>
        <w:right w:val="none" w:sz="0" w:space="0" w:color="auto"/>
      </w:divBdr>
    </w:div>
    <w:div w:id="553348882">
      <w:bodyDiv w:val="1"/>
      <w:marLeft w:val="0"/>
      <w:marRight w:val="0"/>
      <w:marTop w:val="0"/>
      <w:marBottom w:val="0"/>
      <w:divBdr>
        <w:top w:val="none" w:sz="0" w:space="0" w:color="auto"/>
        <w:left w:val="none" w:sz="0" w:space="0" w:color="auto"/>
        <w:bottom w:val="none" w:sz="0" w:space="0" w:color="auto"/>
        <w:right w:val="none" w:sz="0" w:space="0" w:color="auto"/>
      </w:divBdr>
    </w:div>
    <w:div w:id="557087607">
      <w:bodyDiv w:val="1"/>
      <w:marLeft w:val="0"/>
      <w:marRight w:val="0"/>
      <w:marTop w:val="0"/>
      <w:marBottom w:val="0"/>
      <w:divBdr>
        <w:top w:val="none" w:sz="0" w:space="0" w:color="auto"/>
        <w:left w:val="none" w:sz="0" w:space="0" w:color="auto"/>
        <w:bottom w:val="none" w:sz="0" w:space="0" w:color="auto"/>
        <w:right w:val="none" w:sz="0" w:space="0" w:color="auto"/>
      </w:divBdr>
    </w:div>
    <w:div w:id="557788529">
      <w:bodyDiv w:val="1"/>
      <w:marLeft w:val="0"/>
      <w:marRight w:val="0"/>
      <w:marTop w:val="0"/>
      <w:marBottom w:val="0"/>
      <w:divBdr>
        <w:top w:val="none" w:sz="0" w:space="0" w:color="auto"/>
        <w:left w:val="none" w:sz="0" w:space="0" w:color="auto"/>
        <w:bottom w:val="none" w:sz="0" w:space="0" w:color="auto"/>
        <w:right w:val="none" w:sz="0" w:space="0" w:color="auto"/>
      </w:divBdr>
    </w:div>
    <w:div w:id="564226236">
      <w:bodyDiv w:val="1"/>
      <w:marLeft w:val="0"/>
      <w:marRight w:val="0"/>
      <w:marTop w:val="0"/>
      <w:marBottom w:val="0"/>
      <w:divBdr>
        <w:top w:val="none" w:sz="0" w:space="0" w:color="auto"/>
        <w:left w:val="none" w:sz="0" w:space="0" w:color="auto"/>
        <w:bottom w:val="none" w:sz="0" w:space="0" w:color="auto"/>
        <w:right w:val="none" w:sz="0" w:space="0" w:color="auto"/>
      </w:divBdr>
    </w:div>
    <w:div w:id="576131595">
      <w:bodyDiv w:val="1"/>
      <w:marLeft w:val="0"/>
      <w:marRight w:val="0"/>
      <w:marTop w:val="0"/>
      <w:marBottom w:val="0"/>
      <w:divBdr>
        <w:top w:val="none" w:sz="0" w:space="0" w:color="auto"/>
        <w:left w:val="none" w:sz="0" w:space="0" w:color="auto"/>
        <w:bottom w:val="none" w:sz="0" w:space="0" w:color="auto"/>
        <w:right w:val="none" w:sz="0" w:space="0" w:color="auto"/>
      </w:divBdr>
    </w:div>
    <w:div w:id="578290218">
      <w:bodyDiv w:val="1"/>
      <w:marLeft w:val="0"/>
      <w:marRight w:val="0"/>
      <w:marTop w:val="0"/>
      <w:marBottom w:val="0"/>
      <w:divBdr>
        <w:top w:val="none" w:sz="0" w:space="0" w:color="auto"/>
        <w:left w:val="none" w:sz="0" w:space="0" w:color="auto"/>
        <w:bottom w:val="none" w:sz="0" w:space="0" w:color="auto"/>
        <w:right w:val="none" w:sz="0" w:space="0" w:color="auto"/>
      </w:divBdr>
    </w:div>
    <w:div w:id="581793371">
      <w:bodyDiv w:val="1"/>
      <w:marLeft w:val="0"/>
      <w:marRight w:val="0"/>
      <w:marTop w:val="0"/>
      <w:marBottom w:val="0"/>
      <w:divBdr>
        <w:top w:val="none" w:sz="0" w:space="0" w:color="auto"/>
        <w:left w:val="none" w:sz="0" w:space="0" w:color="auto"/>
        <w:bottom w:val="none" w:sz="0" w:space="0" w:color="auto"/>
        <w:right w:val="none" w:sz="0" w:space="0" w:color="auto"/>
      </w:divBdr>
    </w:div>
    <w:div w:id="583804504">
      <w:bodyDiv w:val="1"/>
      <w:marLeft w:val="0"/>
      <w:marRight w:val="0"/>
      <w:marTop w:val="0"/>
      <w:marBottom w:val="0"/>
      <w:divBdr>
        <w:top w:val="none" w:sz="0" w:space="0" w:color="auto"/>
        <w:left w:val="none" w:sz="0" w:space="0" w:color="auto"/>
        <w:bottom w:val="none" w:sz="0" w:space="0" w:color="auto"/>
        <w:right w:val="none" w:sz="0" w:space="0" w:color="auto"/>
      </w:divBdr>
    </w:div>
    <w:div w:id="584190654">
      <w:bodyDiv w:val="1"/>
      <w:marLeft w:val="0"/>
      <w:marRight w:val="0"/>
      <w:marTop w:val="0"/>
      <w:marBottom w:val="0"/>
      <w:divBdr>
        <w:top w:val="none" w:sz="0" w:space="0" w:color="auto"/>
        <w:left w:val="none" w:sz="0" w:space="0" w:color="auto"/>
        <w:bottom w:val="none" w:sz="0" w:space="0" w:color="auto"/>
        <w:right w:val="none" w:sz="0" w:space="0" w:color="auto"/>
      </w:divBdr>
    </w:div>
    <w:div w:id="592011659">
      <w:bodyDiv w:val="1"/>
      <w:marLeft w:val="0"/>
      <w:marRight w:val="0"/>
      <w:marTop w:val="0"/>
      <w:marBottom w:val="0"/>
      <w:divBdr>
        <w:top w:val="none" w:sz="0" w:space="0" w:color="auto"/>
        <w:left w:val="none" w:sz="0" w:space="0" w:color="auto"/>
        <w:bottom w:val="none" w:sz="0" w:space="0" w:color="auto"/>
        <w:right w:val="none" w:sz="0" w:space="0" w:color="auto"/>
      </w:divBdr>
    </w:div>
    <w:div w:id="600067095">
      <w:bodyDiv w:val="1"/>
      <w:marLeft w:val="0"/>
      <w:marRight w:val="0"/>
      <w:marTop w:val="0"/>
      <w:marBottom w:val="0"/>
      <w:divBdr>
        <w:top w:val="none" w:sz="0" w:space="0" w:color="auto"/>
        <w:left w:val="none" w:sz="0" w:space="0" w:color="auto"/>
        <w:bottom w:val="none" w:sz="0" w:space="0" w:color="auto"/>
        <w:right w:val="none" w:sz="0" w:space="0" w:color="auto"/>
      </w:divBdr>
    </w:div>
    <w:div w:id="604925766">
      <w:bodyDiv w:val="1"/>
      <w:marLeft w:val="0"/>
      <w:marRight w:val="0"/>
      <w:marTop w:val="0"/>
      <w:marBottom w:val="0"/>
      <w:divBdr>
        <w:top w:val="none" w:sz="0" w:space="0" w:color="auto"/>
        <w:left w:val="none" w:sz="0" w:space="0" w:color="auto"/>
        <w:bottom w:val="none" w:sz="0" w:space="0" w:color="auto"/>
        <w:right w:val="none" w:sz="0" w:space="0" w:color="auto"/>
      </w:divBdr>
    </w:div>
    <w:div w:id="627397951">
      <w:bodyDiv w:val="1"/>
      <w:marLeft w:val="0"/>
      <w:marRight w:val="0"/>
      <w:marTop w:val="0"/>
      <w:marBottom w:val="0"/>
      <w:divBdr>
        <w:top w:val="none" w:sz="0" w:space="0" w:color="auto"/>
        <w:left w:val="none" w:sz="0" w:space="0" w:color="auto"/>
        <w:bottom w:val="none" w:sz="0" w:space="0" w:color="auto"/>
        <w:right w:val="none" w:sz="0" w:space="0" w:color="auto"/>
      </w:divBdr>
    </w:div>
    <w:div w:id="636303603">
      <w:bodyDiv w:val="1"/>
      <w:marLeft w:val="0"/>
      <w:marRight w:val="0"/>
      <w:marTop w:val="0"/>
      <w:marBottom w:val="0"/>
      <w:divBdr>
        <w:top w:val="none" w:sz="0" w:space="0" w:color="auto"/>
        <w:left w:val="none" w:sz="0" w:space="0" w:color="auto"/>
        <w:bottom w:val="none" w:sz="0" w:space="0" w:color="auto"/>
        <w:right w:val="none" w:sz="0" w:space="0" w:color="auto"/>
      </w:divBdr>
    </w:div>
    <w:div w:id="636489516">
      <w:bodyDiv w:val="1"/>
      <w:marLeft w:val="0"/>
      <w:marRight w:val="0"/>
      <w:marTop w:val="0"/>
      <w:marBottom w:val="0"/>
      <w:divBdr>
        <w:top w:val="none" w:sz="0" w:space="0" w:color="auto"/>
        <w:left w:val="none" w:sz="0" w:space="0" w:color="auto"/>
        <w:bottom w:val="none" w:sz="0" w:space="0" w:color="auto"/>
        <w:right w:val="none" w:sz="0" w:space="0" w:color="auto"/>
      </w:divBdr>
    </w:div>
    <w:div w:id="637102202">
      <w:bodyDiv w:val="1"/>
      <w:marLeft w:val="0"/>
      <w:marRight w:val="0"/>
      <w:marTop w:val="0"/>
      <w:marBottom w:val="0"/>
      <w:divBdr>
        <w:top w:val="none" w:sz="0" w:space="0" w:color="auto"/>
        <w:left w:val="none" w:sz="0" w:space="0" w:color="auto"/>
        <w:bottom w:val="none" w:sz="0" w:space="0" w:color="auto"/>
        <w:right w:val="none" w:sz="0" w:space="0" w:color="auto"/>
      </w:divBdr>
    </w:div>
    <w:div w:id="639651325">
      <w:bodyDiv w:val="1"/>
      <w:marLeft w:val="0"/>
      <w:marRight w:val="0"/>
      <w:marTop w:val="0"/>
      <w:marBottom w:val="0"/>
      <w:divBdr>
        <w:top w:val="none" w:sz="0" w:space="0" w:color="auto"/>
        <w:left w:val="none" w:sz="0" w:space="0" w:color="auto"/>
        <w:bottom w:val="none" w:sz="0" w:space="0" w:color="auto"/>
        <w:right w:val="none" w:sz="0" w:space="0" w:color="auto"/>
      </w:divBdr>
    </w:div>
    <w:div w:id="640888209">
      <w:bodyDiv w:val="1"/>
      <w:marLeft w:val="0"/>
      <w:marRight w:val="0"/>
      <w:marTop w:val="0"/>
      <w:marBottom w:val="0"/>
      <w:divBdr>
        <w:top w:val="none" w:sz="0" w:space="0" w:color="auto"/>
        <w:left w:val="none" w:sz="0" w:space="0" w:color="auto"/>
        <w:bottom w:val="none" w:sz="0" w:space="0" w:color="auto"/>
        <w:right w:val="none" w:sz="0" w:space="0" w:color="auto"/>
      </w:divBdr>
    </w:div>
    <w:div w:id="641424863">
      <w:bodyDiv w:val="1"/>
      <w:marLeft w:val="0"/>
      <w:marRight w:val="0"/>
      <w:marTop w:val="0"/>
      <w:marBottom w:val="0"/>
      <w:divBdr>
        <w:top w:val="none" w:sz="0" w:space="0" w:color="auto"/>
        <w:left w:val="none" w:sz="0" w:space="0" w:color="auto"/>
        <w:bottom w:val="none" w:sz="0" w:space="0" w:color="auto"/>
        <w:right w:val="none" w:sz="0" w:space="0" w:color="auto"/>
      </w:divBdr>
    </w:div>
    <w:div w:id="648366051">
      <w:bodyDiv w:val="1"/>
      <w:marLeft w:val="0"/>
      <w:marRight w:val="0"/>
      <w:marTop w:val="0"/>
      <w:marBottom w:val="0"/>
      <w:divBdr>
        <w:top w:val="none" w:sz="0" w:space="0" w:color="auto"/>
        <w:left w:val="none" w:sz="0" w:space="0" w:color="auto"/>
        <w:bottom w:val="none" w:sz="0" w:space="0" w:color="auto"/>
        <w:right w:val="none" w:sz="0" w:space="0" w:color="auto"/>
      </w:divBdr>
    </w:div>
    <w:div w:id="666594014">
      <w:bodyDiv w:val="1"/>
      <w:marLeft w:val="0"/>
      <w:marRight w:val="0"/>
      <w:marTop w:val="0"/>
      <w:marBottom w:val="0"/>
      <w:divBdr>
        <w:top w:val="none" w:sz="0" w:space="0" w:color="auto"/>
        <w:left w:val="none" w:sz="0" w:space="0" w:color="auto"/>
        <w:bottom w:val="none" w:sz="0" w:space="0" w:color="auto"/>
        <w:right w:val="none" w:sz="0" w:space="0" w:color="auto"/>
      </w:divBdr>
    </w:div>
    <w:div w:id="668676095">
      <w:bodyDiv w:val="1"/>
      <w:marLeft w:val="0"/>
      <w:marRight w:val="0"/>
      <w:marTop w:val="0"/>
      <w:marBottom w:val="0"/>
      <w:divBdr>
        <w:top w:val="none" w:sz="0" w:space="0" w:color="auto"/>
        <w:left w:val="none" w:sz="0" w:space="0" w:color="auto"/>
        <w:bottom w:val="none" w:sz="0" w:space="0" w:color="auto"/>
        <w:right w:val="none" w:sz="0" w:space="0" w:color="auto"/>
      </w:divBdr>
    </w:div>
    <w:div w:id="673803672">
      <w:bodyDiv w:val="1"/>
      <w:marLeft w:val="0"/>
      <w:marRight w:val="0"/>
      <w:marTop w:val="0"/>
      <w:marBottom w:val="0"/>
      <w:divBdr>
        <w:top w:val="none" w:sz="0" w:space="0" w:color="auto"/>
        <w:left w:val="none" w:sz="0" w:space="0" w:color="auto"/>
        <w:bottom w:val="none" w:sz="0" w:space="0" w:color="auto"/>
        <w:right w:val="none" w:sz="0" w:space="0" w:color="auto"/>
      </w:divBdr>
    </w:div>
    <w:div w:id="683283057">
      <w:bodyDiv w:val="1"/>
      <w:marLeft w:val="0"/>
      <w:marRight w:val="0"/>
      <w:marTop w:val="0"/>
      <w:marBottom w:val="0"/>
      <w:divBdr>
        <w:top w:val="none" w:sz="0" w:space="0" w:color="auto"/>
        <w:left w:val="none" w:sz="0" w:space="0" w:color="auto"/>
        <w:bottom w:val="none" w:sz="0" w:space="0" w:color="auto"/>
        <w:right w:val="none" w:sz="0" w:space="0" w:color="auto"/>
      </w:divBdr>
    </w:div>
    <w:div w:id="684595236">
      <w:bodyDiv w:val="1"/>
      <w:marLeft w:val="0"/>
      <w:marRight w:val="0"/>
      <w:marTop w:val="0"/>
      <w:marBottom w:val="0"/>
      <w:divBdr>
        <w:top w:val="none" w:sz="0" w:space="0" w:color="auto"/>
        <w:left w:val="none" w:sz="0" w:space="0" w:color="auto"/>
        <w:bottom w:val="none" w:sz="0" w:space="0" w:color="auto"/>
        <w:right w:val="none" w:sz="0" w:space="0" w:color="auto"/>
      </w:divBdr>
    </w:div>
    <w:div w:id="688797966">
      <w:bodyDiv w:val="1"/>
      <w:marLeft w:val="0"/>
      <w:marRight w:val="0"/>
      <w:marTop w:val="0"/>
      <w:marBottom w:val="0"/>
      <w:divBdr>
        <w:top w:val="none" w:sz="0" w:space="0" w:color="auto"/>
        <w:left w:val="none" w:sz="0" w:space="0" w:color="auto"/>
        <w:bottom w:val="none" w:sz="0" w:space="0" w:color="auto"/>
        <w:right w:val="none" w:sz="0" w:space="0" w:color="auto"/>
      </w:divBdr>
    </w:div>
    <w:div w:id="688946790">
      <w:bodyDiv w:val="1"/>
      <w:marLeft w:val="0"/>
      <w:marRight w:val="0"/>
      <w:marTop w:val="0"/>
      <w:marBottom w:val="0"/>
      <w:divBdr>
        <w:top w:val="none" w:sz="0" w:space="0" w:color="auto"/>
        <w:left w:val="none" w:sz="0" w:space="0" w:color="auto"/>
        <w:bottom w:val="none" w:sz="0" w:space="0" w:color="auto"/>
        <w:right w:val="none" w:sz="0" w:space="0" w:color="auto"/>
      </w:divBdr>
    </w:div>
    <w:div w:id="694885159">
      <w:bodyDiv w:val="1"/>
      <w:marLeft w:val="0"/>
      <w:marRight w:val="0"/>
      <w:marTop w:val="0"/>
      <w:marBottom w:val="0"/>
      <w:divBdr>
        <w:top w:val="none" w:sz="0" w:space="0" w:color="auto"/>
        <w:left w:val="none" w:sz="0" w:space="0" w:color="auto"/>
        <w:bottom w:val="none" w:sz="0" w:space="0" w:color="auto"/>
        <w:right w:val="none" w:sz="0" w:space="0" w:color="auto"/>
      </w:divBdr>
    </w:div>
    <w:div w:id="696734729">
      <w:bodyDiv w:val="1"/>
      <w:marLeft w:val="0"/>
      <w:marRight w:val="0"/>
      <w:marTop w:val="0"/>
      <w:marBottom w:val="0"/>
      <w:divBdr>
        <w:top w:val="none" w:sz="0" w:space="0" w:color="auto"/>
        <w:left w:val="none" w:sz="0" w:space="0" w:color="auto"/>
        <w:bottom w:val="none" w:sz="0" w:space="0" w:color="auto"/>
        <w:right w:val="none" w:sz="0" w:space="0" w:color="auto"/>
      </w:divBdr>
    </w:div>
    <w:div w:id="702054186">
      <w:bodyDiv w:val="1"/>
      <w:marLeft w:val="0"/>
      <w:marRight w:val="0"/>
      <w:marTop w:val="0"/>
      <w:marBottom w:val="0"/>
      <w:divBdr>
        <w:top w:val="none" w:sz="0" w:space="0" w:color="auto"/>
        <w:left w:val="none" w:sz="0" w:space="0" w:color="auto"/>
        <w:bottom w:val="none" w:sz="0" w:space="0" w:color="auto"/>
        <w:right w:val="none" w:sz="0" w:space="0" w:color="auto"/>
      </w:divBdr>
    </w:div>
    <w:div w:id="713309964">
      <w:bodyDiv w:val="1"/>
      <w:marLeft w:val="0"/>
      <w:marRight w:val="0"/>
      <w:marTop w:val="0"/>
      <w:marBottom w:val="0"/>
      <w:divBdr>
        <w:top w:val="none" w:sz="0" w:space="0" w:color="auto"/>
        <w:left w:val="none" w:sz="0" w:space="0" w:color="auto"/>
        <w:bottom w:val="none" w:sz="0" w:space="0" w:color="auto"/>
        <w:right w:val="none" w:sz="0" w:space="0" w:color="auto"/>
      </w:divBdr>
    </w:div>
    <w:div w:id="713699354">
      <w:bodyDiv w:val="1"/>
      <w:marLeft w:val="0"/>
      <w:marRight w:val="0"/>
      <w:marTop w:val="0"/>
      <w:marBottom w:val="0"/>
      <w:divBdr>
        <w:top w:val="none" w:sz="0" w:space="0" w:color="auto"/>
        <w:left w:val="none" w:sz="0" w:space="0" w:color="auto"/>
        <w:bottom w:val="none" w:sz="0" w:space="0" w:color="auto"/>
        <w:right w:val="none" w:sz="0" w:space="0" w:color="auto"/>
      </w:divBdr>
    </w:div>
    <w:div w:id="722022722">
      <w:bodyDiv w:val="1"/>
      <w:marLeft w:val="0"/>
      <w:marRight w:val="0"/>
      <w:marTop w:val="0"/>
      <w:marBottom w:val="0"/>
      <w:divBdr>
        <w:top w:val="none" w:sz="0" w:space="0" w:color="auto"/>
        <w:left w:val="none" w:sz="0" w:space="0" w:color="auto"/>
        <w:bottom w:val="none" w:sz="0" w:space="0" w:color="auto"/>
        <w:right w:val="none" w:sz="0" w:space="0" w:color="auto"/>
      </w:divBdr>
    </w:div>
    <w:div w:id="727606443">
      <w:bodyDiv w:val="1"/>
      <w:marLeft w:val="0"/>
      <w:marRight w:val="0"/>
      <w:marTop w:val="0"/>
      <w:marBottom w:val="0"/>
      <w:divBdr>
        <w:top w:val="none" w:sz="0" w:space="0" w:color="auto"/>
        <w:left w:val="none" w:sz="0" w:space="0" w:color="auto"/>
        <w:bottom w:val="none" w:sz="0" w:space="0" w:color="auto"/>
        <w:right w:val="none" w:sz="0" w:space="0" w:color="auto"/>
      </w:divBdr>
    </w:div>
    <w:div w:id="732047814">
      <w:bodyDiv w:val="1"/>
      <w:marLeft w:val="0"/>
      <w:marRight w:val="0"/>
      <w:marTop w:val="0"/>
      <w:marBottom w:val="0"/>
      <w:divBdr>
        <w:top w:val="none" w:sz="0" w:space="0" w:color="auto"/>
        <w:left w:val="none" w:sz="0" w:space="0" w:color="auto"/>
        <w:bottom w:val="none" w:sz="0" w:space="0" w:color="auto"/>
        <w:right w:val="none" w:sz="0" w:space="0" w:color="auto"/>
      </w:divBdr>
    </w:div>
    <w:div w:id="744500622">
      <w:bodyDiv w:val="1"/>
      <w:marLeft w:val="0"/>
      <w:marRight w:val="0"/>
      <w:marTop w:val="0"/>
      <w:marBottom w:val="0"/>
      <w:divBdr>
        <w:top w:val="none" w:sz="0" w:space="0" w:color="auto"/>
        <w:left w:val="none" w:sz="0" w:space="0" w:color="auto"/>
        <w:bottom w:val="none" w:sz="0" w:space="0" w:color="auto"/>
        <w:right w:val="none" w:sz="0" w:space="0" w:color="auto"/>
      </w:divBdr>
    </w:div>
    <w:div w:id="746419560">
      <w:bodyDiv w:val="1"/>
      <w:marLeft w:val="0"/>
      <w:marRight w:val="0"/>
      <w:marTop w:val="0"/>
      <w:marBottom w:val="0"/>
      <w:divBdr>
        <w:top w:val="none" w:sz="0" w:space="0" w:color="auto"/>
        <w:left w:val="none" w:sz="0" w:space="0" w:color="auto"/>
        <w:bottom w:val="none" w:sz="0" w:space="0" w:color="auto"/>
        <w:right w:val="none" w:sz="0" w:space="0" w:color="auto"/>
      </w:divBdr>
    </w:div>
    <w:div w:id="748967026">
      <w:bodyDiv w:val="1"/>
      <w:marLeft w:val="0"/>
      <w:marRight w:val="0"/>
      <w:marTop w:val="0"/>
      <w:marBottom w:val="0"/>
      <w:divBdr>
        <w:top w:val="none" w:sz="0" w:space="0" w:color="auto"/>
        <w:left w:val="none" w:sz="0" w:space="0" w:color="auto"/>
        <w:bottom w:val="none" w:sz="0" w:space="0" w:color="auto"/>
        <w:right w:val="none" w:sz="0" w:space="0" w:color="auto"/>
      </w:divBdr>
    </w:div>
    <w:div w:id="758521108">
      <w:bodyDiv w:val="1"/>
      <w:marLeft w:val="0"/>
      <w:marRight w:val="0"/>
      <w:marTop w:val="0"/>
      <w:marBottom w:val="0"/>
      <w:divBdr>
        <w:top w:val="none" w:sz="0" w:space="0" w:color="auto"/>
        <w:left w:val="none" w:sz="0" w:space="0" w:color="auto"/>
        <w:bottom w:val="none" w:sz="0" w:space="0" w:color="auto"/>
        <w:right w:val="none" w:sz="0" w:space="0" w:color="auto"/>
      </w:divBdr>
    </w:div>
    <w:div w:id="762456480">
      <w:bodyDiv w:val="1"/>
      <w:marLeft w:val="0"/>
      <w:marRight w:val="0"/>
      <w:marTop w:val="0"/>
      <w:marBottom w:val="0"/>
      <w:divBdr>
        <w:top w:val="none" w:sz="0" w:space="0" w:color="auto"/>
        <w:left w:val="none" w:sz="0" w:space="0" w:color="auto"/>
        <w:bottom w:val="none" w:sz="0" w:space="0" w:color="auto"/>
        <w:right w:val="none" w:sz="0" w:space="0" w:color="auto"/>
      </w:divBdr>
    </w:div>
    <w:div w:id="765658931">
      <w:bodyDiv w:val="1"/>
      <w:marLeft w:val="0"/>
      <w:marRight w:val="0"/>
      <w:marTop w:val="0"/>
      <w:marBottom w:val="0"/>
      <w:divBdr>
        <w:top w:val="none" w:sz="0" w:space="0" w:color="auto"/>
        <w:left w:val="none" w:sz="0" w:space="0" w:color="auto"/>
        <w:bottom w:val="none" w:sz="0" w:space="0" w:color="auto"/>
        <w:right w:val="none" w:sz="0" w:space="0" w:color="auto"/>
      </w:divBdr>
    </w:div>
    <w:div w:id="770515016">
      <w:bodyDiv w:val="1"/>
      <w:marLeft w:val="0"/>
      <w:marRight w:val="0"/>
      <w:marTop w:val="0"/>
      <w:marBottom w:val="0"/>
      <w:divBdr>
        <w:top w:val="none" w:sz="0" w:space="0" w:color="auto"/>
        <w:left w:val="none" w:sz="0" w:space="0" w:color="auto"/>
        <w:bottom w:val="none" w:sz="0" w:space="0" w:color="auto"/>
        <w:right w:val="none" w:sz="0" w:space="0" w:color="auto"/>
      </w:divBdr>
    </w:div>
    <w:div w:id="779033652">
      <w:bodyDiv w:val="1"/>
      <w:marLeft w:val="0"/>
      <w:marRight w:val="0"/>
      <w:marTop w:val="0"/>
      <w:marBottom w:val="0"/>
      <w:divBdr>
        <w:top w:val="none" w:sz="0" w:space="0" w:color="auto"/>
        <w:left w:val="none" w:sz="0" w:space="0" w:color="auto"/>
        <w:bottom w:val="none" w:sz="0" w:space="0" w:color="auto"/>
        <w:right w:val="none" w:sz="0" w:space="0" w:color="auto"/>
      </w:divBdr>
    </w:div>
    <w:div w:id="781920395">
      <w:bodyDiv w:val="1"/>
      <w:marLeft w:val="0"/>
      <w:marRight w:val="0"/>
      <w:marTop w:val="0"/>
      <w:marBottom w:val="0"/>
      <w:divBdr>
        <w:top w:val="none" w:sz="0" w:space="0" w:color="auto"/>
        <w:left w:val="none" w:sz="0" w:space="0" w:color="auto"/>
        <w:bottom w:val="none" w:sz="0" w:space="0" w:color="auto"/>
        <w:right w:val="none" w:sz="0" w:space="0" w:color="auto"/>
      </w:divBdr>
    </w:div>
    <w:div w:id="783884082">
      <w:bodyDiv w:val="1"/>
      <w:marLeft w:val="0"/>
      <w:marRight w:val="0"/>
      <w:marTop w:val="0"/>
      <w:marBottom w:val="0"/>
      <w:divBdr>
        <w:top w:val="none" w:sz="0" w:space="0" w:color="auto"/>
        <w:left w:val="none" w:sz="0" w:space="0" w:color="auto"/>
        <w:bottom w:val="none" w:sz="0" w:space="0" w:color="auto"/>
        <w:right w:val="none" w:sz="0" w:space="0" w:color="auto"/>
      </w:divBdr>
    </w:div>
    <w:div w:id="791439901">
      <w:bodyDiv w:val="1"/>
      <w:marLeft w:val="0"/>
      <w:marRight w:val="0"/>
      <w:marTop w:val="0"/>
      <w:marBottom w:val="0"/>
      <w:divBdr>
        <w:top w:val="none" w:sz="0" w:space="0" w:color="auto"/>
        <w:left w:val="none" w:sz="0" w:space="0" w:color="auto"/>
        <w:bottom w:val="none" w:sz="0" w:space="0" w:color="auto"/>
        <w:right w:val="none" w:sz="0" w:space="0" w:color="auto"/>
      </w:divBdr>
    </w:div>
    <w:div w:id="801389815">
      <w:bodyDiv w:val="1"/>
      <w:marLeft w:val="0"/>
      <w:marRight w:val="0"/>
      <w:marTop w:val="0"/>
      <w:marBottom w:val="0"/>
      <w:divBdr>
        <w:top w:val="none" w:sz="0" w:space="0" w:color="auto"/>
        <w:left w:val="none" w:sz="0" w:space="0" w:color="auto"/>
        <w:bottom w:val="none" w:sz="0" w:space="0" w:color="auto"/>
        <w:right w:val="none" w:sz="0" w:space="0" w:color="auto"/>
      </w:divBdr>
    </w:div>
    <w:div w:id="802698962">
      <w:bodyDiv w:val="1"/>
      <w:marLeft w:val="0"/>
      <w:marRight w:val="0"/>
      <w:marTop w:val="0"/>
      <w:marBottom w:val="0"/>
      <w:divBdr>
        <w:top w:val="none" w:sz="0" w:space="0" w:color="auto"/>
        <w:left w:val="none" w:sz="0" w:space="0" w:color="auto"/>
        <w:bottom w:val="none" w:sz="0" w:space="0" w:color="auto"/>
        <w:right w:val="none" w:sz="0" w:space="0" w:color="auto"/>
      </w:divBdr>
    </w:div>
    <w:div w:id="808014851">
      <w:bodyDiv w:val="1"/>
      <w:marLeft w:val="0"/>
      <w:marRight w:val="0"/>
      <w:marTop w:val="0"/>
      <w:marBottom w:val="0"/>
      <w:divBdr>
        <w:top w:val="none" w:sz="0" w:space="0" w:color="auto"/>
        <w:left w:val="none" w:sz="0" w:space="0" w:color="auto"/>
        <w:bottom w:val="none" w:sz="0" w:space="0" w:color="auto"/>
        <w:right w:val="none" w:sz="0" w:space="0" w:color="auto"/>
      </w:divBdr>
    </w:div>
    <w:div w:id="809203772">
      <w:bodyDiv w:val="1"/>
      <w:marLeft w:val="0"/>
      <w:marRight w:val="0"/>
      <w:marTop w:val="0"/>
      <w:marBottom w:val="0"/>
      <w:divBdr>
        <w:top w:val="none" w:sz="0" w:space="0" w:color="auto"/>
        <w:left w:val="none" w:sz="0" w:space="0" w:color="auto"/>
        <w:bottom w:val="none" w:sz="0" w:space="0" w:color="auto"/>
        <w:right w:val="none" w:sz="0" w:space="0" w:color="auto"/>
      </w:divBdr>
    </w:div>
    <w:div w:id="809205451">
      <w:bodyDiv w:val="1"/>
      <w:marLeft w:val="0"/>
      <w:marRight w:val="0"/>
      <w:marTop w:val="0"/>
      <w:marBottom w:val="0"/>
      <w:divBdr>
        <w:top w:val="none" w:sz="0" w:space="0" w:color="auto"/>
        <w:left w:val="none" w:sz="0" w:space="0" w:color="auto"/>
        <w:bottom w:val="none" w:sz="0" w:space="0" w:color="auto"/>
        <w:right w:val="none" w:sz="0" w:space="0" w:color="auto"/>
      </w:divBdr>
    </w:div>
    <w:div w:id="813445847">
      <w:bodyDiv w:val="1"/>
      <w:marLeft w:val="0"/>
      <w:marRight w:val="0"/>
      <w:marTop w:val="0"/>
      <w:marBottom w:val="0"/>
      <w:divBdr>
        <w:top w:val="none" w:sz="0" w:space="0" w:color="auto"/>
        <w:left w:val="none" w:sz="0" w:space="0" w:color="auto"/>
        <w:bottom w:val="none" w:sz="0" w:space="0" w:color="auto"/>
        <w:right w:val="none" w:sz="0" w:space="0" w:color="auto"/>
      </w:divBdr>
    </w:div>
    <w:div w:id="813717649">
      <w:bodyDiv w:val="1"/>
      <w:marLeft w:val="0"/>
      <w:marRight w:val="0"/>
      <w:marTop w:val="0"/>
      <w:marBottom w:val="0"/>
      <w:divBdr>
        <w:top w:val="none" w:sz="0" w:space="0" w:color="auto"/>
        <w:left w:val="none" w:sz="0" w:space="0" w:color="auto"/>
        <w:bottom w:val="none" w:sz="0" w:space="0" w:color="auto"/>
        <w:right w:val="none" w:sz="0" w:space="0" w:color="auto"/>
      </w:divBdr>
    </w:div>
    <w:div w:id="814835477">
      <w:bodyDiv w:val="1"/>
      <w:marLeft w:val="0"/>
      <w:marRight w:val="0"/>
      <w:marTop w:val="0"/>
      <w:marBottom w:val="0"/>
      <w:divBdr>
        <w:top w:val="none" w:sz="0" w:space="0" w:color="auto"/>
        <w:left w:val="none" w:sz="0" w:space="0" w:color="auto"/>
        <w:bottom w:val="none" w:sz="0" w:space="0" w:color="auto"/>
        <w:right w:val="none" w:sz="0" w:space="0" w:color="auto"/>
      </w:divBdr>
    </w:div>
    <w:div w:id="816335109">
      <w:bodyDiv w:val="1"/>
      <w:marLeft w:val="0"/>
      <w:marRight w:val="0"/>
      <w:marTop w:val="0"/>
      <w:marBottom w:val="0"/>
      <w:divBdr>
        <w:top w:val="none" w:sz="0" w:space="0" w:color="auto"/>
        <w:left w:val="none" w:sz="0" w:space="0" w:color="auto"/>
        <w:bottom w:val="none" w:sz="0" w:space="0" w:color="auto"/>
        <w:right w:val="none" w:sz="0" w:space="0" w:color="auto"/>
      </w:divBdr>
    </w:div>
    <w:div w:id="818810944">
      <w:bodyDiv w:val="1"/>
      <w:marLeft w:val="0"/>
      <w:marRight w:val="0"/>
      <w:marTop w:val="0"/>
      <w:marBottom w:val="0"/>
      <w:divBdr>
        <w:top w:val="none" w:sz="0" w:space="0" w:color="auto"/>
        <w:left w:val="none" w:sz="0" w:space="0" w:color="auto"/>
        <w:bottom w:val="none" w:sz="0" w:space="0" w:color="auto"/>
        <w:right w:val="none" w:sz="0" w:space="0" w:color="auto"/>
      </w:divBdr>
    </w:div>
    <w:div w:id="833764334">
      <w:bodyDiv w:val="1"/>
      <w:marLeft w:val="0"/>
      <w:marRight w:val="0"/>
      <w:marTop w:val="0"/>
      <w:marBottom w:val="0"/>
      <w:divBdr>
        <w:top w:val="none" w:sz="0" w:space="0" w:color="auto"/>
        <w:left w:val="none" w:sz="0" w:space="0" w:color="auto"/>
        <w:bottom w:val="none" w:sz="0" w:space="0" w:color="auto"/>
        <w:right w:val="none" w:sz="0" w:space="0" w:color="auto"/>
      </w:divBdr>
    </w:div>
    <w:div w:id="849179685">
      <w:bodyDiv w:val="1"/>
      <w:marLeft w:val="0"/>
      <w:marRight w:val="0"/>
      <w:marTop w:val="0"/>
      <w:marBottom w:val="0"/>
      <w:divBdr>
        <w:top w:val="none" w:sz="0" w:space="0" w:color="auto"/>
        <w:left w:val="none" w:sz="0" w:space="0" w:color="auto"/>
        <w:bottom w:val="none" w:sz="0" w:space="0" w:color="auto"/>
        <w:right w:val="none" w:sz="0" w:space="0" w:color="auto"/>
      </w:divBdr>
    </w:div>
    <w:div w:id="865631300">
      <w:bodyDiv w:val="1"/>
      <w:marLeft w:val="0"/>
      <w:marRight w:val="0"/>
      <w:marTop w:val="0"/>
      <w:marBottom w:val="0"/>
      <w:divBdr>
        <w:top w:val="none" w:sz="0" w:space="0" w:color="auto"/>
        <w:left w:val="none" w:sz="0" w:space="0" w:color="auto"/>
        <w:bottom w:val="none" w:sz="0" w:space="0" w:color="auto"/>
        <w:right w:val="none" w:sz="0" w:space="0" w:color="auto"/>
      </w:divBdr>
    </w:div>
    <w:div w:id="869102744">
      <w:bodyDiv w:val="1"/>
      <w:marLeft w:val="0"/>
      <w:marRight w:val="0"/>
      <w:marTop w:val="0"/>
      <w:marBottom w:val="0"/>
      <w:divBdr>
        <w:top w:val="none" w:sz="0" w:space="0" w:color="auto"/>
        <w:left w:val="none" w:sz="0" w:space="0" w:color="auto"/>
        <w:bottom w:val="none" w:sz="0" w:space="0" w:color="auto"/>
        <w:right w:val="none" w:sz="0" w:space="0" w:color="auto"/>
      </w:divBdr>
    </w:div>
    <w:div w:id="875234140">
      <w:bodyDiv w:val="1"/>
      <w:marLeft w:val="0"/>
      <w:marRight w:val="0"/>
      <w:marTop w:val="0"/>
      <w:marBottom w:val="0"/>
      <w:divBdr>
        <w:top w:val="none" w:sz="0" w:space="0" w:color="auto"/>
        <w:left w:val="none" w:sz="0" w:space="0" w:color="auto"/>
        <w:bottom w:val="none" w:sz="0" w:space="0" w:color="auto"/>
        <w:right w:val="none" w:sz="0" w:space="0" w:color="auto"/>
      </w:divBdr>
    </w:div>
    <w:div w:id="883056903">
      <w:bodyDiv w:val="1"/>
      <w:marLeft w:val="0"/>
      <w:marRight w:val="0"/>
      <w:marTop w:val="0"/>
      <w:marBottom w:val="0"/>
      <w:divBdr>
        <w:top w:val="none" w:sz="0" w:space="0" w:color="auto"/>
        <w:left w:val="none" w:sz="0" w:space="0" w:color="auto"/>
        <w:bottom w:val="none" w:sz="0" w:space="0" w:color="auto"/>
        <w:right w:val="none" w:sz="0" w:space="0" w:color="auto"/>
      </w:divBdr>
    </w:div>
    <w:div w:id="887957713">
      <w:bodyDiv w:val="1"/>
      <w:marLeft w:val="0"/>
      <w:marRight w:val="0"/>
      <w:marTop w:val="0"/>
      <w:marBottom w:val="0"/>
      <w:divBdr>
        <w:top w:val="none" w:sz="0" w:space="0" w:color="auto"/>
        <w:left w:val="none" w:sz="0" w:space="0" w:color="auto"/>
        <w:bottom w:val="none" w:sz="0" w:space="0" w:color="auto"/>
        <w:right w:val="none" w:sz="0" w:space="0" w:color="auto"/>
      </w:divBdr>
    </w:div>
    <w:div w:id="903224989">
      <w:bodyDiv w:val="1"/>
      <w:marLeft w:val="0"/>
      <w:marRight w:val="0"/>
      <w:marTop w:val="0"/>
      <w:marBottom w:val="0"/>
      <w:divBdr>
        <w:top w:val="none" w:sz="0" w:space="0" w:color="auto"/>
        <w:left w:val="none" w:sz="0" w:space="0" w:color="auto"/>
        <w:bottom w:val="none" w:sz="0" w:space="0" w:color="auto"/>
        <w:right w:val="none" w:sz="0" w:space="0" w:color="auto"/>
      </w:divBdr>
    </w:div>
    <w:div w:id="909774128">
      <w:bodyDiv w:val="1"/>
      <w:marLeft w:val="0"/>
      <w:marRight w:val="0"/>
      <w:marTop w:val="0"/>
      <w:marBottom w:val="0"/>
      <w:divBdr>
        <w:top w:val="none" w:sz="0" w:space="0" w:color="auto"/>
        <w:left w:val="none" w:sz="0" w:space="0" w:color="auto"/>
        <w:bottom w:val="none" w:sz="0" w:space="0" w:color="auto"/>
        <w:right w:val="none" w:sz="0" w:space="0" w:color="auto"/>
      </w:divBdr>
    </w:div>
    <w:div w:id="912086495">
      <w:bodyDiv w:val="1"/>
      <w:marLeft w:val="0"/>
      <w:marRight w:val="0"/>
      <w:marTop w:val="0"/>
      <w:marBottom w:val="0"/>
      <w:divBdr>
        <w:top w:val="none" w:sz="0" w:space="0" w:color="auto"/>
        <w:left w:val="none" w:sz="0" w:space="0" w:color="auto"/>
        <w:bottom w:val="none" w:sz="0" w:space="0" w:color="auto"/>
        <w:right w:val="none" w:sz="0" w:space="0" w:color="auto"/>
      </w:divBdr>
    </w:div>
    <w:div w:id="929460496">
      <w:bodyDiv w:val="1"/>
      <w:marLeft w:val="0"/>
      <w:marRight w:val="0"/>
      <w:marTop w:val="0"/>
      <w:marBottom w:val="0"/>
      <w:divBdr>
        <w:top w:val="none" w:sz="0" w:space="0" w:color="auto"/>
        <w:left w:val="none" w:sz="0" w:space="0" w:color="auto"/>
        <w:bottom w:val="none" w:sz="0" w:space="0" w:color="auto"/>
        <w:right w:val="none" w:sz="0" w:space="0" w:color="auto"/>
      </w:divBdr>
    </w:div>
    <w:div w:id="930431090">
      <w:bodyDiv w:val="1"/>
      <w:marLeft w:val="0"/>
      <w:marRight w:val="0"/>
      <w:marTop w:val="0"/>
      <w:marBottom w:val="0"/>
      <w:divBdr>
        <w:top w:val="none" w:sz="0" w:space="0" w:color="auto"/>
        <w:left w:val="none" w:sz="0" w:space="0" w:color="auto"/>
        <w:bottom w:val="none" w:sz="0" w:space="0" w:color="auto"/>
        <w:right w:val="none" w:sz="0" w:space="0" w:color="auto"/>
      </w:divBdr>
    </w:div>
    <w:div w:id="932588955">
      <w:bodyDiv w:val="1"/>
      <w:marLeft w:val="0"/>
      <w:marRight w:val="0"/>
      <w:marTop w:val="0"/>
      <w:marBottom w:val="0"/>
      <w:divBdr>
        <w:top w:val="none" w:sz="0" w:space="0" w:color="auto"/>
        <w:left w:val="none" w:sz="0" w:space="0" w:color="auto"/>
        <w:bottom w:val="none" w:sz="0" w:space="0" w:color="auto"/>
        <w:right w:val="none" w:sz="0" w:space="0" w:color="auto"/>
      </w:divBdr>
    </w:div>
    <w:div w:id="934434085">
      <w:bodyDiv w:val="1"/>
      <w:marLeft w:val="0"/>
      <w:marRight w:val="0"/>
      <w:marTop w:val="0"/>
      <w:marBottom w:val="0"/>
      <w:divBdr>
        <w:top w:val="none" w:sz="0" w:space="0" w:color="auto"/>
        <w:left w:val="none" w:sz="0" w:space="0" w:color="auto"/>
        <w:bottom w:val="none" w:sz="0" w:space="0" w:color="auto"/>
        <w:right w:val="none" w:sz="0" w:space="0" w:color="auto"/>
      </w:divBdr>
    </w:div>
    <w:div w:id="937180016">
      <w:bodyDiv w:val="1"/>
      <w:marLeft w:val="0"/>
      <w:marRight w:val="0"/>
      <w:marTop w:val="0"/>
      <w:marBottom w:val="0"/>
      <w:divBdr>
        <w:top w:val="none" w:sz="0" w:space="0" w:color="auto"/>
        <w:left w:val="none" w:sz="0" w:space="0" w:color="auto"/>
        <w:bottom w:val="none" w:sz="0" w:space="0" w:color="auto"/>
        <w:right w:val="none" w:sz="0" w:space="0" w:color="auto"/>
      </w:divBdr>
    </w:div>
    <w:div w:id="944969486">
      <w:bodyDiv w:val="1"/>
      <w:marLeft w:val="0"/>
      <w:marRight w:val="0"/>
      <w:marTop w:val="0"/>
      <w:marBottom w:val="0"/>
      <w:divBdr>
        <w:top w:val="none" w:sz="0" w:space="0" w:color="auto"/>
        <w:left w:val="none" w:sz="0" w:space="0" w:color="auto"/>
        <w:bottom w:val="none" w:sz="0" w:space="0" w:color="auto"/>
        <w:right w:val="none" w:sz="0" w:space="0" w:color="auto"/>
      </w:divBdr>
    </w:div>
    <w:div w:id="947850764">
      <w:bodyDiv w:val="1"/>
      <w:marLeft w:val="0"/>
      <w:marRight w:val="0"/>
      <w:marTop w:val="0"/>
      <w:marBottom w:val="0"/>
      <w:divBdr>
        <w:top w:val="none" w:sz="0" w:space="0" w:color="auto"/>
        <w:left w:val="none" w:sz="0" w:space="0" w:color="auto"/>
        <w:bottom w:val="none" w:sz="0" w:space="0" w:color="auto"/>
        <w:right w:val="none" w:sz="0" w:space="0" w:color="auto"/>
      </w:divBdr>
    </w:div>
    <w:div w:id="954291634">
      <w:bodyDiv w:val="1"/>
      <w:marLeft w:val="0"/>
      <w:marRight w:val="0"/>
      <w:marTop w:val="0"/>
      <w:marBottom w:val="0"/>
      <w:divBdr>
        <w:top w:val="none" w:sz="0" w:space="0" w:color="auto"/>
        <w:left w:val="none" w:sz="0" w:space="0" w:color="auto"/>
        <w:bottom w:val="none" w:sz="0" w:space="0" w:color="auto"/>
        <w:right w:val="none" w:sz="0" w:space="0" w:color="auto"/>
      </w:divBdr>
    </w:div>
    <w:div w:id="960768569">
      <w:bodyDiv w:val="1"/>
      <w:marLeft w:val="0"/>
      <w:marRight w:val="0"/>
      <w:marTop w:val="0"/>
      <w:marBottom w:val="0"/>
      <w:divBdr>
        <w:top w:val="none" w:sz="0" w:space="0" w:color="auto"/>
        <w:left w:val="none" w:sz="0" w:space="0" w:color="auto"/>
        <w:bottom w:val="none" w:sz="0" w:space="0" w:color="auto"/>
        <w:right w:val="none" w:sz="0" w:space="0" w:color="auto"/>
      </w:divBdr>
    </w:div>
    <w:div w:id="978337306">
      <w:bodyDiv w:val="1"/>
      <w:marLeft w:val="0"/>
      <w:marRight w:val="0"/>
      <w:marTop w:val="0"/>
      <w:marBottom w:val="0"/>
      <w:divBdr>
        <w:top w:val="none" w:sz="0" w:space="0" w:color="auto"/>
        <w:left w:val="none" w:sz="0" w:space="0" w:color="auto"/>
        <w:bottom w:val="none" w:sz="0" w:space="0" w:color="auto"/>
        <w:right w:val="none" w:sz="0" w:space="0" w:color="auto"/>
      </w:divBdr>
    </w:div>
    <w:div w:id="978657301">
      <w:bodyDiv w:val="1"/>
      <w:marLeft w:val="0"/>
      <w:marRight w:val="0"/>
      <w:marTop w:val="0"/>
      <w:marBottom w:val="0"/>
      <w:divBdr>
        <w:top w:val="none" w:sz="0" w:space="0" w:color="auto"/>
        <w:left w:val="none" w:sz="0" w:space="0" w:color="auto"/>
        <w:bottom w:val="none" w:sz="0" w:space="0" w:color="auto"/>
        <w:right w:val="none" w:sz="0" w:space="0" w:color="auto"/>
      </w:divBdr>
    </w:div>
    <w:div w:id="980965782">
      <w:bodyDiv w:val="1"/>
      <w:marLeft w:val="0"/>
      <w:marRight w:val="0"/>
      <w:marTop w:val="0"/>
      <w:marBottom w:val="0"/>
      <w:divBdr>
        <w:top w:val="none" w:sz="0" w:space="0" w:color="auto"/>
        <w:left w:val="none" w:sz="0" w:space="0" w:color="auto"/>
        <w:bottom w:val="none" w:sz="0" w:space="0" w:color="auto"/>
        <w:right w:val="none" w:sz="0" w:space="0" w:color="auto"/>
      </w:divBdr>
    </w:div>
    <w:div w:id="1003971069">
      <w:bodyDiv w:val="1"/>
      <w:marLeft w:val="0"/>
      <w:marRight w:val="0"/>
      <w:marTop w:val="0"/>
      <w:marBottom w:val="0"/>
      <w:divBdr>
        <w:top w:val="none" w:sz="0" w:space="0" w:color="auto"/>
        <w:left w:val="none" w:sz="0" w:space="0" w:color="auto"/>
        <w:bottom w:val="none" w:sz="0" w:space="0" w:color="auto"/>
        <w:right w:val="none" w:sz="0" w:space="0" w:color="auto"/>
      </w:divBdr>
    </w:div>
    <w:div w:id="1048450518">
      <w:bodyDiv w:val="1"/>
      <w:marLeft w:val="0"/>
      <w:marRight w:val="0"/>
      <w:marTop w:val="0"/>
      <w:marBottom w:val="0"/>
      <w:divBdr>
        <w:top w:val="none" w:sz="0" w:space="0" w:color="auto"/>
        <w:left w:val="none" w:sz="0" w:space="0" w:color="auto"/>
        <w:bottom w:val="none" w:sz="0" w:space="0" w:color="auto"/>
        <w:right w:val="none" w:sz="0" w:space="0" w:color="auto"/>
      </w:divBdr>
    </w:div>
    <w:div w:id="1058284893">
      <w:bodyDiv w:val="1"/>
      <w:marLeft w:val="0"/>
      <w:marRight w:val="0"/>
      <w:marTop w:val="0"/>
      <w:marBottom w:val="0"/>
      <w:divBdr>
        <w:top w:val="none" w:sz="0" w:space="0" w:color="auto"/>
        <w:left w:val="none" w:sz="0" w:space="0" w:color="auto"/>
        <w:bottom w:val="none" w:sz="0" w:space="0" w:color="auto"/>
        <w:right w:val="none" w:sz="0" w:space="0" w:color="auto"/>
      </w:divBdr>
    </w:div>
    <w:div w:id="1060784065">
      <w:bodyDiv w:val="1"/>
      <w:marLeft w:val="0"/>
      <w:marRight w:val="0"/>
      <w:marTop w:val="0"/>
      <w:marBottom w:val="0"/>
      <w:divBdr>
        <w:top w:val="none" w:sz="0" w:space="0" w:color="auto"/>
        <w:left w:val="none" w:sz="0" w:space="0" w:color="auto"/>
        <w:bottom w:val="none" w:sz="0" w:space="0" w:color="auto"/>
        <w:right w:val="none" w:sz="0" w:space="0" w:color="auto"/>
      </w:divBdr>
    </w:div>
    <w:div w:id="1064109572">
      <w:bodyDiv w:val="1"/>
      <w:marLeft w:val="0"/>
      <w:marRight w:val="0"/>
      <w:marTop w:val="0"/>
      <w:marBottom w:val="0"/>
      <w:divBdr>
        <w:top w:val="none" w:sz="0" w:space="0" w:color="auto"/>
        <w:left w:val="none" w:sz="0" w:space="0" w:color="auto"/>
        <w:bottom w:val="none" w:sz="0" w:space="0" w:color="auto"/>
        <w:right w:val="none" w:sz="0" w:space="0" w:color="auto"/>
      </w:divBdr>
    </w:div>
    <w:div w:id="1067267170">
      <w:bodyDiv w:val="1"/>
      <w:marLeft w:val="0"/>
      <w:marRight w:val="0"/>
      <w:marTop w:val="0"/>
      <w:marBottom w:val="0"/>
      <w:divBdr>
        <w:top w:val="none" w:sz="0" w:space="0" w:color="auto"/>
        <w:left w:val="none" w:sz="0" w:space="0" w:color="auto"/>
        <w:bottom w:val="none" w:sz="0" w:space="0" w:color="auto"/>
        <w:right w:val="none" w:sz="0" w:space="0" w:color="auto"/>
      </w:divBdr>
    </w:div>
    <w:div w:id="1085999595">
      <w:bodyDiv w:val="1"/>
      <w:marLeft w:val="0"/>
      <w:marRight w:val="0"/>
      <w:marTop w:val="0"/>
      <w:marBottom w:val="0"/>
      <w:divBdr>
        <w:top w:val="none" w:sz="0" w:space="0" w:color="auto"/>
        <w:left w:val="none" w:sz="0" w:space="0" w:color="auto"/>
        <w:bottom w:val="none" w:sz="0" w:space="0" w:color="auto"/>
        <w:right w:val="none" w:sz="0" w:space="0" w:color="auto"/>
      </w:divBdr>
    </w:div>
    <w:div w:id="1091699266">
      <w:bodyDiv w:val="1"/>
      <w:marLeft w:val="0"/>
      <w:marRight w:val="0"/>
      <w:marTop w:val="0"/>
      <w:marBottom w:val="0"/>
      <w:divBdr>
        <w:top w:val="none" w:sz="0" w:space="0" w:color="auto"/>
        <w:left w:val="none" w:sz="0" w:space="0" w:color="auto"/>
        <w:bottom w:val="none" w:sz="0" w:space="0" w:color="auto"/>
        <w:right w:val="none" w:sz="0" w:space="0" w:color="auto"/>
      </w:divBdr>
    </w:div>
    <w:div w:id="1104499389">
      <w:bodyDiv w:val="1"/>
      <w:marLeft w:val="0"/>
      <w:marRight w:val="0"/>
      <w:marTop w:val="0"/>
      <w:marBottom w:val="0"/>
      <w:divBdr>
        <w:top w:val="none" w:sz="0" w:space="0" w:color="auto"/>
        <w:left w:val="none" w:sz="0" w:space="0" w:color="auto"/>
        <w:bottom w:val="none" w:sz="0" w:space="0" w:color="auto"/>
        <w:right w:val="none" w:sz="0" w:space="0" w:color="auto"/>
      </w:divBdr>
    </w:div>
    <w:div w:id="1106317043">
      <w:bodyDiv w:val="1"/>
      <w:marLeft w:val="0"/>
      <w:marRight w:val="0"/>
      <w:marTop w:val="0"/>
      <w:marBottom w:val="0"/>
      <w:divBdr>
        <w:top w:val="none" w:sz="0" w:space="0" w:color="auto"/>
        <w:left w:val="none" w:sz="0" w:space="0" w:color="auto"/>
        <w:bottom w:val="none" w:sz="0" w:space="0" w:color="auto"/>
        <w:right w:val="none" w:sz="0" w:space="0" w:color="auto"/>
      </w:divBdr>
    </w:div>
    <w:div w:id="1110513695">
      <w:bodyDiv w:val="1"/>
      <w:marLeft w:val="0"/>
      <w:marRight w:val="0"/>
      <w:marTop w:val="0"/>
      <w:marBottom w:val="0"/>
      <w:divBdr>
        <w:top w:val="none" w:sz="0" w:space="0" w:color="auto"/>
        <w:left w:val="none" w:sz="0" w:space="0" w:color="auto"/>
        <w:bottom w:val="none" w:sz="0" w:space="0" w:color="auto"/>
        <w:right w:val="none" w:sz="0" w:space="0" w:color="auto"/>
      </w:divBdr>
    </w:div>
    <w:div w:id="1115102692">
      <w:bodyDiv w:val="1"/>
      <w:marLeft w:val="0"/>
      <w:marRight w:val="0"/>
      <w:marTop w:val="0"/>
      <w:marBottom w:val="0"/>
      <w:divBdr>
        <w:top w:val="none" w:sz="0" w:space="0" w:color="auto"/>
        <w:left w:val="none" w:sz="0" w:space="0" w:color="auto"/>
        <w:bottom w:val="none" w:sz="0" w:space="0" w:color="auto"/>
        <w:right w:val="none" w:sz="0" w:space="0" w:color="auto"/>
      </w:divBdr>
    </w:div>
    <w:div w:id="1117025212">
      <w:bodyDiv w:val="1"/>
      <w:marLeft w:val="0"/>
      <w:marRight w:val="0"/>
      <w:marTop w:val="0"/>
      <w:marBottom w:val="0"/>
      <w:divBdr>
        <w:top w:val="none" w:sz="0" w:space="0" w:color="auto"/>
        <w:left w:val="none" w:sz="0" w:space="0" w:color="auto"/>
        <w:bottom w:val="none" w:sz="0" w:space="0" w:color="auto"/>
        <w:right w:val="none" w:sz="0" w:space="0" w:color="auto"/>
      </w:divBdr>
    </w:div>
    <w:div w:id="1121846473">
      <w:bodyDiv w:val="1"/>
      <w:marLeft w:val="0"/>
      <w:marRight w:val="0"/>
      <w:marTop w:val="0"/>
      <w:marBottom w:val="0"/>
      <w:divBdr>
        <w:top w:val="none" w:sz="0" w:space="0" w:color="auto"/>
        <w:left w:val="none" w:sz="0" w:space="0" w:color="auto"/>
        <w:bottom w:val="none" w:sz="0" w:space="0" w:color="auto"/>
        <w:right w:val="none" w:sz="0" w:space="0" w:color="auto"/>
      </w:divBdr>
    </w:div>
    <w:div w:id="1121847680">
      <w:bodyDiv w:val="1"/>
      <w:marLeft w:val="0"/>
      <w:marRight w:val="0"/>
      <w:marTop w:val="0"/>
      <w:marBottom w:val="0"/>
      <w:divBdr>
        <w:top w:val="none" w:sz="0" w:space="0" w:color="auto"/>
        <w:left w:val="none" w:sz="0" w:space="0" w:color="auto"/>
        <w:bottom w:val="none" w:sz="0" w:space="0" w:color="auto"/>
        <w:right w:val="none" w:sz="0" w:space="0" w:color="auto"/>
      </w:divBdr>
    </w:div>
    <w:div w:id="1127044458">
      <w:bodyDiv w:val="1"/>
      <w:marLeft w:val="0"/>
      <w:marRight w:val="0"/>
      <w:marTop w:val="0"/>
      <w:marBottom w:val="0"/>
      <w:divBdr>
        <w:top w:val="none" w:sz="0" w:space="0" w:color="auto"/>
        <w:left w:val="none" w:sz="0" w:space="0" w:color="auto"/>
        <w:bottom w:val="none" w:sz="0" w:space="0" w:color="auto"/>
        <w:right w:val="none" w:sz="0" w:space="0" w:color="auto"/>
      </w:divBdr>
    </w:div>
    <w:div w:id="1135299495">
      <w:bodyDiv w:val="1"/>
      <w:marLeft w:val="0"/>
      <w:marRight w:val="0"/>
      <w:marTop w:val="0"/>
      <w:marBottom w:val="0"/>
      <w:divBdr>
        <w:top w:val="none" w:sz="0" w:space="0" w:color="auto"/>
        <w:left w:val="none" w:sz="0" w:space="0" w:color="auto"/>
        <w:bottom w:val="none" w:sz="0" w:space="0" w:color="auto"/>
        <w:right w:val="none" w:sz="0" w:space="0" w:color="auto"/>
      </w:divBdr>
    </w:div>
    <w:div w:id="1137795977">
      <w:bodyDiv w:val="1"/>
      <w:marLeft w:val="0"/>
      <w:marRight w:val="0"/>
      <w:marTop w:val="0"/>
      <w:marBottom w:val="0"/>
      <w:divBdr>
        <w:top w:val="none" w:sz="0" w:space="0" w:color="auto"/>
        <w:left w:val="none" w:sz="0" w:space="0" w:color="auto"/>
        <w:bottom w:val="none" w:sz="0" w:space="0" w:color="auto"/>
        <w:right w:val="none" w:sz="0" w:space="0" w:color="auto"/>
      </w:divBdr>
    </w:div>
    <w:div w:id="1150901440">
      <w:bodyDiv w:val="1"/>
      <w:marLeft w:val="0"/>
      <w:marRight w:val="0"/>
      <w:marTop w:val="0"/>
      <w:marBottom w:val="0"/>
      <w:divBdr>
        <w:top w:val="none" w:sz="0" w:space="0" w:color="auto"/>
        <w:left w:val="none" w:sz="0" w:space="0" w:color="auto"/>
        <w:bottom w:val="none" w:sz="0" w:space="0" w:color="auto"/>
        <w:right w:val="none" w:sz="0" w:space="0" w:color="auto"/>
      </w:divBdr>
    </w:div>
    <w:div w:id="1185438531">
      <w:bodyDiv w:val="1"/>
      <w:marLeft w:val="0"/>
      <w:marRight w:val="0"/>
      <w:marTop w:val="0"/>
      <w:marBottom w:val="0"/>
      <w:divBdr>
        <w:top w:val="none" w:sz="0" w:space="0" w:color="auto"/>
        <w:left w:val="none" w:sz="0" w:space="0" w:color="auto"/>
        <w:bottom w:val="none" w:sz="0" w:space="0" w:color="auto"/>
        <w:right w:val="none" w:sz="0" w:space="0" w:color="auto"/>
      </w:divBdr>
    </w:div>
    <w:div w:id="1192837858">
      <w:bodyDiv w:val="1"/>
      <w:marLeft w:val="0"/>
      <w:marRight w:val="0"/>
      <w:marTop w:val="0"/>
      <w:marBottom w:val="0"/>
      <w:divBdr>
        <w:top w:val="none" w:sz="0" w:space="0" w:color="auto"/>
        <w:left w:val="none" w:sz="0" w:space="0" w:color="auto"/>
        <w:bottom w:val="none" w:sz="0" w:space="0" w:color="auto"/>
        <w:right w:val="none" w:sz="0" w:space="0" w:color="auto"/>
      </w:divBdr>
    </w:div>
    <w:div w:id="1200970028">
      <w:bodyDiv w:val="1"/>
      <w:marLeft w:val="0"/>
      <w:marRight w:val="0"/>
      <w:marTop w:val="0"/>
      <w:marBottom w:val="0"/>
      <w:divBdr>
        <w:top w:val="none" w:sz="0" w:space="0" w:color="auto"/>
        <w:left w:val="none" w:sz="0" w:space="0" w:color="auto"/>
        <w:bottom w:val="none" w:sz="0" w:space="0" w:color="auto"/>
        <w:right w:val="none" w:sz="0" w:space="0" w:color="auto"/>
      </w:divBdr>
    </w:div>
    <w:div w:id="1204634958">
      <w:bodyDiv w:val="1"/>
      <w:marLeft w:val="0"/>
      <w:marRight w:val="0"/>
      <w:marTop w:val="0"/>
      <w:marBottom w:val="0"/>
      <w:divBdr>
        <w:top w:val="none" w:sz="0" w:space="0" w:color="auto"/>
        <w:left w:val="none" w:sz="0" w:space="0" w:color="auto"/>
        <w:bottom w:val="none" w:sz="0" w:space="0" w:color="auto"/>
        <w:right w:val="none" w:sz="0" w:space="0" w:color="auto"/>
      </w:divBdr>
    </w:div>
    <w:div w:id="1215971871">
      <w:bodyDiv w:val="1"/>
      <w:marLeft w:val="0"/>
      <w:marRight w:val="0"/>
      <w:marTop w:val="0"/>
      <w:marBottom w:val="0"/>
      <w:divBdr>
        <w:top w:val="none" w:sz="0" w:space="0" w:color="auto"/>
        <w:left w:val="none" w:sz="0" w:space="0" w:color="auto"/>
        <w:bottom w:val="none" w:sz="0" w:space="0" w:color="auto"/>
        <w:right w:val="none" w:sz="0" w:space="0" w:color="auto"/>
      </w:divBdr>
    </w:div>
    <w:div w:id="1228539266">
      <w:bodyDiv w:val="1"/>
      <w:marLeft w:val="0"/>
      <w:marRight w:val="0"/>
      <w:marTop w:val="0"/>
      <w:marBottom w:val="0"/>
      <w:divBdr>
        <w:top w:val="none" w:sz="0" w:space="0" w:color="auto"/>
        <w:left w:val="none" w:sz="0" w:space="0" w:color="auto"/>
        <w:bottom w:val="none" w:sz="0" w:space="0" w:color="auto"/>
        <w:right w:val="none" w:sz="0" w:space="0" w:color="auto"/>
      </w:divBdr>
    </w:div>
    <w:div w:id="1229993226">
      <w:bodyDiv w:val="1"/>
      <w:marLeft w:val="0"/>
      <w:marRight w:val="0"/>
      <w:marTop w:val="0"/>
      <w:marBottom w:val="0"/>
      <w:divBdr>
        <w:top w:val="none" w:sz="0" w:space="0" w:color="auto"/>
        <w:left w:val="none" w:sz="0" w:space="0" w:color="auto"/>
        <w:bottom w:val="none" w:sz="0" w:space="0" w:color="auto"/>
        <w:right w:val="none" w:sz="0" w:space="0" w:color="auto"/>
      </w:divBdr>
    </w:div>
    <w:div w:id="1239242731">
      <w:bodyDiv w:val="1"/>
      <w:marLeft w:val="0"/>
      <w:marRight w:val="0"/>
      <w:marTop w:val="0"/>
      <w:marBottom w:val="0"/>
      <w:divBdr>
        <w:top w:val="none" w:sz="0" w:space="0" w:color="auto"/>
        <w:left w:val="none" w:sz="0" w:space="0" w:color="auto"/>
        <w:bottom w:val="none" w:sz="0" w:space="0" w:color="auto"/>
        <w:right w:val="none" w:sz="0" w:space="0" w:color="auto"/>
      </w:divBdr>
    </w:div>
    <w:div w:id="1257203524">
      <w:bodyDiv w:val="1"/>
      <w:marLeft w:val="0"/>
      <w:marRight w:val="0"/>
      <w:marTop w:val="0"/>
      <w:marBottom w:val="0"/>
      <w:divBdr>
        <w:top w:val="none" w:sz="0" w:space="0" w:color="auto"/>
        <w:left w:val="none" w:sz="0" w:space="0" w:color="auto"/>
        <w:bottom w:val="none" w:sz="0" w:space="0" w:color="auto"/>
        <w:right w:val="none" w:sz="0" w:space="0" w:color="auto"/>
      </w:divBdr>
    </w:div>
    <w:div w:id="1287733556">
      <w:bodyDiv w:val="1"/>
      <w:marLeft w:val="0"/>
      <w:marRight w:val="0"/>
      <w:marTop w:val="0"/>
      <w:marBottom w:val="0"/>
      <w:divBdr>
        <w:top w:val="none" w:sz="0" w:space="0" w:color="auto"/>
        <w:left w:val="none" w:sz="0" w:space="0" w:color="auto"/>
        <w:bottom w:val="none" w:sz="0" w:space="0" w:color="auto"/>
        <w:right w:val="none" w:sz="0" w:space="0" w:color="auto"/>
      </w:divBdr>
    </w:div>
    <w:div w:id="1289506817">
      <w:bodyDiv w:val="1"/>
      <w:marLeft w:val="0"/>
      <w:marRight w:val="0"/>
      <w:marTop w:val="0"/>
      <w:marBottom w:val="0"/>
      <w:divBdr>
        <w:top w:val="none" w:sz="0" w:space="0" w:color="auto"/>
        <w:left w:val="none" w:sz="0" w:space="0" w:color="auto"/>
        <w:bottom w:val="none" w:sz="0" w:space="0" w:color="auto"/>
        <w:right w:val="none" w:sz="0" w:space="0" w:color="auto"/>
      </w:divBdr>
    </w:div>
    <w:div w:id="1291403675">
      <w:bodyDiv w:val="1"/>
      <w:marLeft w:val="0"/>
      <w:marRight w:val="0"/>
      <w:marTop w:val="0"/>
      <w:marBottom w:val="0"/>
      <w:divBdr>
        <w:top w:val="none" w:sz="0" w:space="0" w:color="auto"/>
        <w:left w:val="none" w:sz="0" w:space="0" w:color="auto"/>
        <w:bottom w:val="none" w:sz="0" w:space="0" w:color="auto"/>
        <w:right w:val="none" w:sz="0" w:space="0" w:color="auto"/>
      </w:divBdr>
    </w:div>
    <w:div w:id="1296061131">
      <w:bodyDiv w:val="1"/>
      <w:marLeft w:val="0"/>
      <w:marRight w:val="0"/>
      <w:marTop w:val="0"/>
      <w:marBottom w:val="0"/>
      <w:divBdr>
        <w:top w:val="none" w:sz="0" w:space="0" w:color="auto"/>
        <w:left w:val="none" w:sz="0" w:space="0" w:color="auto"/>
        <w:bottom w:val="none" w:sz="0" w:space="0" w:color="auto"/>
        <w:right w:val="none" w:sz="0" w:space="0" w:color="auto"/>
      </w:divBdr>
    </w:div>
    <w:div w:id="1301305268">
      <w:bodyDiv w:val="1"/>
      <w:marLeft w:val="0"/>
      <w:marRight w:val="0"/>
      <w:marTop w:val="0"/>
      <w:marBottom w:val="0"/>
      <w:divBdr>
        <w:top w:val="none" w:sz="0" w:space="0" w:color="auto"/>
        <w:left w:val="none" w:sz="0" w:space="0" w:color="auto"/>
        <w:bottom w:val="none" w:sz="0" w:space="0" w:color="auto"/>
        <w:right w:val="none" w:sz="0" w:space="0" w:color="auto"/>
      </w:divBdr>
    </w:div>
    <w:div w:id="1310212424">
      <w:bodyDiv w:val="1"/>
      <w:marLeft w:val="0"/>
      <w:marRight w:val="0"/>
      <w:marTop w:val="0"/>
      <w:marBottom w:val="0"/>
      <w:divBdr>
        <w:top w:val="none" w:sz="0" w:space="0" w:color="auto"/>
        <w:left w:val="none" w:sz="0" w:space="0" w:color="auto"/>
        <w:bottom w:val="none" w:sz="0" w:space="0" w:color="auto"/>
        <w:right w:val="none" w:sz="0" w:space="0" w:color="auto"/>
      </w:divBdr>
    </w:div>
    <w:div w:id="1314262495">
      <w:bodyDiv w:val="1"/>
      <w:marLeft w:val="0"/>
      <w:marRight w:val="0"/>
      <w:marTop w:val="0"/>
      <w:marBottom w:val="0"/>
      <w:divBdr>
        <w:top w:val="none" w:sz="0" w:space="0" w:color="auto"/>
        <w:left w:val="none" w:sz="0" w:space="0" w:color="auto"/>
        <w:bottom w:val="none" w:sz="0" w:space="0" w:color="auto"/>
        <w:right w:val="none" w:sz="0" w:space="0" w:color="auto"/>
      </w:divBdr>
    </w:div>
    <w:div w:id="1315644164">
      <w:bodyDiv w:val="1"/>
      <w:marLeft w:val="0"/>
      <w:marRight w:val="0"/>
      <w:marTop w:val="0"/>
      <w:marBottom w:val="0"/>
      <w:divBdr>
        <w:top w:val="none" w:sz="0" w:space="0" w:color="auto"/>
        <w:left w:val="none" w:sz="0" w:space="0" w:color="auto"/>
        <w:bottom w:val="none" w:sz="0" w:space="0" w:color="auto"/>
        <w:right w:val="none" w:sz="0" w:space="0" w:color="auto"/>
      </w:divBdr>
    </w:div>
    <w:div w:id="1325087737">
      <w:bodyDiv w:val="1"/>
      <w:marLeft w:val="0"/>
      <w:marRight w:val="0"/>
      <w:marTop w:val="0"/>
      <w:marBottom w:val="0"/>
      <w:divBdr>
        <w:top w:val="none" w:sz="0" w:space="0" w:color="auto"/>
        <w:left w:val="none" w:sz="0" w:space="0" w:color="auto"/>
        <w:bottom w:val="none" w:sz="0" w:space="0" w:color="auto"/>
        <w:right w:val="none" w:sz="0" w:space="0" w:color="auto"/>
      </w:divBdr>
    </w:div>
    <w:div w:id="1330400115">
      <w:bodyDiv w:val="1"/>
      <w:marLeft w:val="0"/>
      <w:marRight w:val="0"/>
      <w:marTop w:val="0"/>
      <w:marBottom w:val="0"/>
      <w:divBdr>
        <w:top w:val="none" w:sz="0" w:space="0" w:color="auto"/>
        <w:left w:val="none" w:sz="0" w:space="0" w:color="auto"/>
        <w:bottom w:val="none" w:sz="0" w:space="0" w:color="auto"/>
        <w:right w:val="none" w:sz="0" w:space="0" w:color="auto"/>
      </w:divBdr>
    </w:div>
    <w:div w:id="1341472873">
      <w:bodyDiv w:val="1"/>
      <w:marLeft w:val="0"/>
      <w:marRight w:val="0"/>
      <w:marTop w:val="0"/>
      <w:marBottom w:val="0"/>
      <w:divBdr>
        <w:top w:val="none" w:sz="0" w:space="0" w:color="auto"/>
        <w:left w:val="none" w:sz="0" w:space="0" w:color="auto"/>
        <w:bottom w:val="none" w:sz="0" w:space="0" w:color="auto"/>
        <w:right w:val="none" w:sz="0" w:space="0" w:color="auto"/>
      </w:divBdr>
    </w:div>
    <w:div w:id="1361855675">
      <w:bodyDiv w:val="1"/>
      <w:marLeft w:val="0"/>
      <w:marRight w:val="0"/>
      <w:marTop w:val="0"/>
      <w:marBottom w:val="0"/>
      <w:divBdr>
        <w:top w:val="none" w:sz="0" w:space="0" w:color="auto"/>
        <w:left w:val="none" w:sz="0" w:space="0" w:color="auto"/>
        <w:bottom w:val="none" w:sz="0" w:space="0" w:color="auto"/>
        <w:right w:val="none" w:sz="0" w:space="0" w:color="auto"/>
      </w:divBdr>
    </w:div>
    <w:div w:id="1372146737">
      <w:bodyDiv w:val="1"/>
      <w:marLeft w:val="0"/>
      <w:marRight w:val="0"/>
      <w:marTop w:val="0"/>
      <w:marBottom w:val="0"/>
      <w:divBdr>
        <w:top w:val="none" w:sz="0" w:space="0" w:color="auto"/>
        <w:left w:val="none" w:sz="0" w:space="0" w:color="auto"/>
        <w:bottom w:val="none" w:sz="0" w:space="0" w:color="auto"/>
        <w:right w:val="none" w:sz="0" w:space="0" w:color="auto"/>
      </w:divBdr>
    </w:div>
    <w:div w:id="1373848816">
      <w:bodyDiv w:val="1"/>
      <w:marLeft w:val="0"/>
      <w:marRight w:val="0"/>
      <w:marTop w:val="0"/>
      <w:marBottom w:val="0"/>
      <w:divBdr>
        <w:top w:val="none" w:sz="0" w:space="0" w:color="auto"/>
        <w:left w:val="none" w:sz="0" w:space="0" w:color="auto"/>
        <w:bottom w:val="none" w:sz="0" w:space="0" w:color="auto"/>
        <w:right w:val="none" w:sz="0" w:space="0" w:color="auto"/>
      </w:divBdr>
    </w:div>
    <w:div w:id="1383796791">
      <w:bodyDiv w:val="1"/>
      <w:marLeft w:val="0"/>
      <w:marRight w:val="0"/>
      <w:marTop w:val="0"/>
      <w:marBottom w:val="0"/>
      <w:divBdr>
        <w:top w:val="none" w:sz="0" w:space="0" w:color="auto"/>
        <w:left w:val="none" w:sz="0" w:space="0" w:color="auto"/>
        <w:bottom w:val="none" w:sz="0" w:space="0" w:color="auto"/>
        <w:right w:val="none" w:sz="0" w:space="0" w:color="auto"/>
      </w:divBdr>
    </w:div>
    <w:div w:id="1385301206">
      <w:bodyDiv w:val="1"/>
      <w:marLeft w:val="0"/>
      <w:marRight w:val="0"/>
      <w:marTop w:val="0"/>
      <w:marBottom w:val="0"/>
      <w:divBdr>
        <w:top w:val="none" w:sz="0" w:space="0" w:color="auto"/>
        <w:left w:val="none" w:sz="0" w:space="0" w:color="auto"/>
        <w:bottom w:val="none" w:sz="0" w:space="0" w:color="auto"/>
        <w:right w:val="none" w:sz="0" w:space="0" w:color="auto"/>
      </w:divBdr>
    </w:div>
    <w:div w:id="1395664784">
      <w:bodyDiv w:val="1"/>
      <w:marLeft w:val="0"/>
      <w:marRight w:val="0"/>
      <w:marTop w:val="0"/>
      <w:marBottom w:val="0"/>
      <w:divBdr>
        <w:top w:val="none" w:sz="0" w:space="0" w:color="auto"/>
        <w:left w:val="none" w:sz="0" w:space="0" w:color="auto"/>
        <w:bottom w:val="none" w:sz="0" w:space="0" w:color="auto"/>
        <w:right w:val="none" w:sz="0" w:space="0" w:color="auto"/>
      </w:divBdr>
    </w:div>
    <w:div w:id="1416395893">
      <w:bodyDiv w:val="1"/>
      <w:marLeft w:val="0"/>
      <w:marRight w:val="0"/>
      <w:marTop w:val="0"/>
      <w:marBottom w:val="0"/>
      <w:divBdr>
        <w:top w:val="none" w:sz="0" w:space="0" w:color="auto"/>
        <w:left w:val="none" w:sz="0" w:space="0" w:color="auto"/>
        <w:bottom w:val="none" w:sz="0" w:space="0" w:color="auto"/>
        <w:right w:val="none" w:sz="0" w:space="0" w:color="auto"/>
      </w:divBdr>
    </w:div>
    <w:div w:id="1425416226">
      <w:bodyDiv w:val="1"/>
      <w:marLeft w:val="0"/>
      <w:marRight w:val="0"/>
      <w:marTop w:val="0"/>
      <w:marBottom w:val="0"/>
      <w:divBdr>
        <w:top w:val="none" w:sz="0" w:space="0" w:color="auto"/>
        <w:left w:val="none" w:sz="0" w:space="0" w:color="auto"/>
        <w:bottom w:val="none" w:sz="0" w:space="0" w:color="auto"/>
        <w:right w:val="none" w:sz="0" w:space="0" w:color="auto"/>
      </w:divBdr>
    </w:div>
    <w:div w:id="1439056627">
      <w:bodyDiv w:val="1"/>
      <w:marLeft w:val="0"/>
      <w:marRight w:val="0"/>
      <w:marTop w:val="0"/>
      <w:marBottom w:val="0"/>
      <w:divBdr>
        <w:top w:val="none" w:sz="0" w:space="0" w:color="auto"/>
        <w:left w:val="none" w:sz="0" w:space="0" w:color="auto"/>
        <w:bottom w:val="none" w:sz="0" w:space="0" w:color="auto"/>
        <w:right w:val="none" w:sz="0" w:space="0" w:color="auto"/>
      </w:divBdr>
    </w:div>
    <w:div w:id="1455296144">
      <w:bodyDiv w:val="1"/>
      <w:marLeft w:val="0"/>
      <w:marRight w:val="0"/>
      <w:marTop w:val="0"/>
      <w:marBottom w:val="0"/>
      <w:divBdr>
        <w:top w:val="none" w:sz="0" w:space="0" w:color="auto"/>
        <w:left w:val="none" w:sz="0" w:space="0" w:color="auto"/>
        <w:bottom w:val="none" w:sz="0" w:space="0" w:color="auto"/>
        <w:right w:val="none" w:sz="0" w:space="0" w:color="auto"/>
      </w:divBdr>
    </w:div>
    <w:div w:id="1487894465">
      <w:bodyDiv w:val="1"/>
      <w:marLeft w:val="0"/>
      <w:marRight w:val="0"/>
      <w:marTop w:val="0"/>
      <w:marBottom w:val="0"/>
      <w:divBdr>
        <w:top w:val="none" w:sz="0" w:space="0" w:color="auto"/>
        <w:left w:val="none" w:sz="0" w:space="0" w:color="auto"/>
        <w:bottom w:val="none" w:sz="0" w:space="0" w:color="auto"/>
        <w:right w:val="none" w:sz="0" w:space="0" w:color="auto"/>
      </w:divBdr>
    </w:div>
    <w:div w:id="1490092201">
      <w:bodyDiv w:val="1"/>
      <w:marLeft w:val="0"/>
      <w:marRight w:val="0"/>
      <w:marTop w:val="0"/>
      <w:marBottom w:val="0"/>
      <w:divBdr>
        <w:top w:val="none" w:sz="0" w:space="0" w:color="auto"/>
        <w:left w:val="none" w:sz="0" w:space="0" w:color="auto"/>
        <w:bottom w:val="none" w:sz="0" w:space="0" w:color="auto"/>
        <w:right w:val="none" w:sz="0" w:space="0" w:color="auto"/>
      </w:divBdr>
    </w:div>
    <w:div w:id="1492939543">
      <w:bodyDiv w:val="1"/>
      <w:marLeft w:val="0"/>
      <w:marRight w:val="0"/>
      <w:marTop w:val="0"/>
      <w:marBottom w:val="0"/>
      <w:divBdr>
        <w:top w:val="none" w:sz="0" w:space="0" w:color="auto"/>
        <w:left w:val="none" w:sz="0" w:space="0" w:color="auto"/>
        <w:bottom w:val="none" w:sz="0" w:space="0" w:color="auto"/>
        <w:right w:val="none" w:sz="0" w:space="0" w:color="auto"/>
      </w:divBdr>
    </w:div>
    <w:div w:id="1501851126">
      <w:bodyDiv w:val="1"/>
      <w:marLeft w:val="0"/>
      <w:marRight w:val="0"/>
      <w:marTop w:val="0"/>
      <w:marBottom w:val="0"/>
      <w:divBdr>
        <w:top w:val="none" w:sz="0" w:space="0" w:color="auto"/>
        <w:left w:val="none" w:sz="0" w:space="0" w:color="auto"/>
        <w:bottom w:val="none" w:sz="0" w:space="0" w:color="auto"/>
        <w:right w:val="none" w:sz="0" w:space="0" w:color="auto"/>
      </w:divBdr>
    </w:div>
    <w:div w:id="1508902175">
      <w:bodyDiv w:val="1"/>
      <w:marLeft w:val="0"/>
      <w:marRight w:val="0"/>
      <w:marTop w:val="0"/>
      <w:marBottom w:val="0"/>
      <w:divBdr>
        <w:top w:val="none" w:sz="0" w:space="0" w:color="auto"/>
        <w:left w:val="none" w:sz="0" w:space="0" w:color="auto"/>
        <w:bottom w:val="none" w:sz="0" w:space="0" w:color="auto"/>
        <w:right w:val="none" w:sz="0" w:space="0" w:color="auto"/>
      </w:divBdr>
    </w:div>
    <w:div w:id="1524510990">
      <w:bodyDiv w:val="1"/>
      <w:marLeft w:val="0"/>
      <w:marRight w:val="0"/>
      <w:marTop w:val="0"/>
      <w:marBottom w:val="0"/>
      <w:divBdr>
        <w:top w:val="none" w:sz="0" w:space="0" w:color="auto"/>
        <w:left w:val="none" w:sz="0" w:space="0" w:color="auto"/>
        <w:bottom w:val="none" w:sz="0" w:space="0" w:color="auto"/>
        <w:right w:val="none" w:sz="0" w:space="0" w:color="auto"/>
      </w:divBdr>
    </w:div>
    <w:div w:id="1528759263">
      <w:bodyDiv w:val="1"/>
      <w:marLeft w:val="0"/>
      <w:marRight w:val="0"/>
      <w:marTop w:val="0"/>
      <w:marBottom w:val="0"/>
      <w:divBdr>
        <w:top w:val="none" w:sz="0" w:space="0" w:color="auto"/>
        <w:left w:val="none" w:sz="0" w:space="0" w:color="auto"/>
        <w:bottom w:val="none" w:sz="0" w:space="0" w:color="auto"/>
        <w:right w:val="none" w:sz="0" w:space="0" w:color="auto"/>
      </w:divBdr>
    </w:div>
    <w:div w:id="1531332173">
      <w:bodyDiv w:val="1"/>
      <w:marLeft w:val="0"/>
      <w:marRight w:val="0"/>
      <w:marTop w:val="0"/>
      <w:marBottom w:val="0"/>
      <w:divBdr>
        <w:top w:val="none" w:sz="0" w:space="0" w:color="auto"/>
        <w:left w:val="none" w:sz="0" w:space="0" w:color="auto"/>
        <w:bottom w:val="none" w:sz="0" w:space="0" w:color="auto"/>
        <w:right w:val="none" w:sz="0" w:space="0" w:color="auto"/>
      </w:divBdr>
    </w:div>
    <w:div w:id="1535535846">
      <w:bodyDiv w:val="1"/>
      <w:marLeft w:val="0"/>
      <w:marRight w:val="0"/>
      <w:marTop w:val="0"/>
      <w:marBottom w:val="0"/>
      <w:divBdr>
        <w:top w:val="none" w:sz="0" w:space="0" w:color="auto"/>
        <w:left w:val="none" w:sz="0" w:space="0" w:color="auto"/>
        <w:bottom w:val="none" w:sz="0" w:space="0" w:color="auto"/>
        <w:right w:val="none" w:sz="0" w:space="0" w:color="auto"/>
      </w:divBdr>
    </w:div>
    <w:div w:id="1543445312">
      <w:bodyDiv w:val="1"/>
      <w:marLeft w:val="0"/>
      <w:marRight w:val="0"/>
      <w:marTop w:val="0"/>
      <w:marBottom w:val="0"/>
      <w:divBdr>
        <w:top w:val="none" w:sz="0" w:space="0" w:color="auto"/>
        <w:left w:val="none" w:sz="0" w:space="0" w:color="auto"/>
        <w:bottom w:val="none" w:sz="0" w:space="0" w:color="auto"/>
        <w:right w:val="none" w:sz="0" w:space="0" w:color="auto"/>
      </w:divBdr>
    </w:div>
    <w:div w:id="1551922907">
      <w:bodyDiv w:val="1"/>
      <w:marLeft w:val="0"/>
      <w:marRight w:val="0"/>
      <w:marTop w:val="0"/>
      <w:marBottom w:val="0"/>
      <w:divBdr>
        <w:top w:val="none" w:sz="0" w:space="0" w:color="auto"/>
        <w:left w:val="none" w:sz="0" w:space="0" w:color="auto"/>
        <w:bottom w:val="none" w:sz="0" w:space="0" w:color="auto"/>
        <w:right w:val="none" w:sz="0" w:space="0" w:color="auto"/>
      </w:divBdr>
    </w:div>
    <w:div w:id="1558004946">
      <w:bodyDiv w:val="1"/>
      <w:marLeft w:val="0"/>
      <w:marRight w:val="0"/>
      <w:marTop w:val="0"/>
      <w:marBottom w:val="0"/>
      <w:divBdr>
        <w:top w:val="none" w:sz="0" w:space="0" w:color="auto"/>
        <w:left w:val="none" w:sz="0" w:space="0" w:color="auto"/>
        <w:bottom w:val="none" w:sz="0" w:space="0" w:color="auto"/>
        <w:right w:val="none" w:sz="0" w:space="0" w:color="auto"/>
      </w:divBdr>
    </w:div>
    <w:div w:id="1558009386">
      <w:bodyDiv w:val="1"/>
      <w:marLeft w:val="0"/>
      <w:marRight w:val="0"/>
      <w:marTop w:val="0"/>
      <w:marBottom w:val="0"/>
      <w:divBdr>
        <w:top w:val="none" w:sz="0" w:space="0" w:color="auto"/>
        <w:left w:val="none" w:sz="0" w:space="0" w:color="auto"/>
        <w:bottom w:val="none" w:sz="0" w:space="0" w:color="auto"/>
        <w:right w:val="none" w:sz="0" w:space="0" w:color="auto"/>
      </w:divBdr>
    </w:div>
    <w:div w:id="1558928711">
      <w:bodyDiv w:val="1"/>
      <w:marLeft w:val="0"/>
      <w:marRight w:val="0"/>
      <w:marTop w:val="0"/>
      <w:marBottom w:val="0"/>
      <w:divBdr>
        <w:top w:val="none" w:sz="0" w:space="0" w:color="auto"/>
        <w:left w:val="none" w:sz="0" w:space="0" w:color="auto"/>
        <w:bottom w:val="none" w:sz="0" w:space="0" w:color="auto"/>
        <w:right w:val="none" w:sz="0" w:space="0" w:color="auto"/>
      </w:divBdr>
    </w:div>
    <w:div w:id="1560018976">
      <w:bodyDiv w:val="1"/>
      <w:marLeft w:val="0"/>
      <w:marRight w:val="0"/>
      <w:marTop w:val="0"/>
      <w:marBottom w:val="0"/>
      <w:divBdr>
        <w:top w:val="none" w:sz="0" w:space="0" w:color="auto"/>
        <w:left w:val="none" w:sz="0" w:space="0" w:color="auto"/>
        <w:bottom w:val="none" w:sz="0" w:space="0" w:color="auto"/>
        <w:right w:val="none" w:sz="0" w:space="0" w:color="auto"/>
      </w:divBdr>
    </w:div>
    <w:div w:id="1561556651">
      <w:bodyDiv w:val="1"/>
      <w:marLeft w:val="0"/>
      <w:marRight w:val="0"/>
      <w:marTop w:val="0"/>
      <w:marBottom w:val="0"/>
      <w:divBdr>
        <w:top w:val="none" w:sz="0" w:space="0" w:color="auto"/>
        <w:left w:val="none" w:sz="0" w:space="0" w:color="auto"/>
        <w:bottom w:val="none" w:sz="0" w:space="0" w:color="auto"/>
        <w:right w:val="none" w:sz="0" w:space="0" w:color="auto"/>
      </w:divBdr>
    </w:div>
    <w:div w:id="1578637475">
      <w:bodyDiv w:val="1"/>
      <w:marLeft w:val="0"/>
      <w:marRight w:val="0"/>
      <w:marTop w:val="0"/>
      <w:marBottom w:val="0"/>
      <w:divBdr>
        <w:top w:val="none" w:sz="0" w:space="0" w:color="auto"/>
        <w:left w:val="none" w:sz="0" w:space="0" w:color="auto"/>
        <w:bottom w:val="none" w:sz="0" w:space="0" w:color="auto"/>
        <w:right w:val="none" w:sz="0" w:space="0" w:color="auto"/>
      </w:divBdr>
    </w:div>
    <w:div w:id="1580939384">
      <w:bodyDiv w:val="1"/>
      <w:marLeft w:val="0"/>
      <w:marRight w:val="0"/>
      <w:marTop w:val="0"/>
      <w:marBottom w:val="0"/>
      <w:divBdr>
        <w:top w:val="none" w:sz="0" w:space="0" w:color="auto"/>
        <w:left w:val="none" w:sz="0" w:space="0" w:color="auto"/>
        <w:bottom w:val="none" w:sz="0" w:space="0" w:color="auto"/>
        <w:right w:val="none" w:sz="0" w:space="0" w:color="auto"/>
      </w:divBdr>
    </w:div>
    <w:div w:id="1582988334">
      <w:bodyDiv w:val="1"/>
      <w:marLeft w:val="0"/>
      <w:marRight w:val="0"/>
      <w:marTop w:val="0"/>
      <w:marBottom w:val="0"/>
      <w:divBdr>
        <w:top w:val="none" w:sz="0" w:space="0" w:color="auto"/>
        <w:left w:val="none" w:sz="0" w:space="0" w:color="auto"/>
        <w:bottom w:val="none" w:sz="0" w:space="0" w:color="auto"/>
        <w:right w:val="none" w:sz="0" w:space="0" w:color="auto"/>
      </w:divBdr>
    </w:div>
    <w:div w:id="1585649641">
      <w:bodyDiv w:val="1"/>
      <w:marLeft w:val="0"/>
      <w:marRight w:val="0"/>
      <w:marTop w:val="0"/>
      <w:marBottom w:val="0"/>
      <w:divBdr>
        <w:top w:val="none" w:sz="0" w:space="0" w:color="auto"/>
        <w:left w:val="none" w:sz="0" w:space="0" w:color="auto"/>
        <w:bottom w:val="none" w:sz="0" w:space="0" w:color="auto"/>
        <w:right w:val="none" w:sz="0" w:space="0" w:color="auto"/>
      </w:divBdr>
    </w:div>
    <w:div w:id="1586107910">
      <w:bodyDiv w:val="1"/>
      <w:marLeft w:val="0"/>
      <w:marRight w:val="0"/>
      <w:marTop w:val="0"/>
      <w:marBottom w:val="0"/>
      <w:divBdr>
        <w:top w:val="none" w:sz="0" w:space="0" w:color="auto"/>
        <w:left w:val="none" w:sz="0" w:space="0" w:color="auto"/>
        <w:bottom w:val="none" w:sz="0" w:space="0" w:color="auto"/>
        <w:right w:val="none" w:sz="0" w:space="0" w:color="auto"/>
      </w:divBdr>
    </w:div>
    <w:div w:id="1599943332">
      <w:bodyDiv w:val="1"/>
      <w:marLeft w:val="0"/>
      <w:marRight w:val="0"/>
      <w:marTop w:val="0"/>
      <w:marBottom w:val="0"/>
      <w:divBdr>
        <w:top w:val="none" w:sz="0" w:space="0" w:color="auto"/>
        <w:left w:val="none" w:sz="0" w:space="0" w:color="auto"/>
        <w:bottom w:val="none" w:sz="0" w:space="0" w:color="auto"/>
        <w:right w:val="none" w:sz="0" w:space="0" w:color="auto"/>
      </w:divBdr>
    </w:div>
    <w:div w:id="1600093017">
      <w:bodyDiv w:val="1"/>
      <w:marLeft w:val="0"/>
      <w:marRight w:val="0"/>
      <w:marTop w:val="0"/>
      <w:marBottom w:val="0"/>
      <w:divBdr>
        <w:top w:val="none" w:sz="0" w:space="0" w:color="auto"/>
        <w:left w:val="none" w:sz="0" w:space="0" w:color="auto"/>
        <w:bottom w:val="none" w:sz="0" w:space="0" w:color="auto"/>
        <w:right w:val="none" w:sz="0" w:space="0" w:color="auto"/>
      </w:divBdr>
    </w:div>
    <w:div w:id="1605916381">
      <w:bodyDiv w:val="1"/>
      <w:marLeft w:val="0"/>
      <w:marRight w:val="0"/>
      <w:marTop w:val="0"/>
      <w:marBottom w:val="0"/>
      <w:divBdr>
        <w:top w:val="none" w:sz="0" w:space="0" w:color="auto"/>
        <w:left w:val="none" w:sz="0" w:space="0" w:color="auto"/>
        <w:bottom w:val="none" w:sz="0" w:space="0" w:color="auto"/>
        <w:right w:val="none" w:sz="0" w:space="0" w:color="auto"/>
      </w:divBdr>
    </w:div>
    <w:div w:id="1612591654">
      <w:bodyDiv w:val="1"/>
      <w:marLeft w:val="0"/>
      <w:marRight w:val="0"/>
      <w:marTop w:val="0"/>
      <w:marBottom w:val="0"/>
      <w:divBdr>
        <w:top w:val="none" w:sz="0" w:space="0" w:color="auto"/>
        <w:left w:val="none" w:sz="0" w:space="0" w:color="auto"/>
        <w:bottom w:val="none" w:sz="0" w:space="0" w:color="auto"/>
        <w:right w:val="none" w:sz="0" w:space="0" w:color="auto"/>
      </w:divBdr>
    </w:div>
    <w:div w:id="1630823729">
      <w:bodyDiv w:val="1"/>
      <w:marLeft w:val="0"/>
      <w:marRight w:val="0"/>
      <w:marTop w:val="0"/>
      <w:marBottom w:val="0"/>
      <w:divBdr>
        <w:top w:val="none" w:sz="0" w:space="0" w:color="auto"/>
        <w:left w:val="none" w:sz="0" w:space="0" w:color="auto"/>
        <w:bottom w:val="none" w:sz="0" w:space="0" w:color="auto"/>
        <w:right w:val="none" w:sz="0" w:space="0" w:color="auto"/>
      </w:divBdr>
    </w:div>
    <w:div w:id="1635216262">
      <w:bodyDiv w:val="1"/>
      <w:marLeft w:val="0"/>
      <w:marRight w:val="0"/>
      <w:marTop w:val="0"/>
      <w:marBottom w:val="0"/>
      <w:divBdr>
        <w:top w:val="none" w:sz="0" w:space="0" w:color="auto"/>
        <w:left w:val="none" w:sz="0" w:space="0" w:color="auto"/>
        <w:bottom w:val="none" w:sz="0" w:space="0" w:color="auto"/>
        <w:right w:val="none" w:sz="0" w:space="0" w:color="auto"/>
      </w:divBdr>
    </w:div>
    <w:div w:id="1642687900">
      <w:bodyDiv w:val="1"/>
      <w:marLeft w:val="0"/>
      <w:marRight w:val="0"/>
      <w:marTop w:val="0"/>
      <w:marBottom w:val="0"/>
      <w:divBdr>
        <w:top w:val="none" w:sz="0" w:space="0" w:color="auto"/>
        <w:left w:val="none" w:sz="0" w:space="0" w:color="auto"/>
        <w:bottom w:val="none" w:sz="0" w:space="0" w:color="auto"/>
        <w:right w:val="none" w:sz="0" w:space="0" w:color="auto"/>
      </w:divBdr>
    </w:div>
    <w:div w:id="1649557875">
      <w:bodyDiv w:val="1"/>
      <w:marLeft w:val="0"/>
      <w:marRight w:val="0"/>
      <w:marTop w:val="0"/>
      <w:marBottom w:val="0"/>
      <w:divBdr>
        <w:top w:val="none" w:sz="0" w:space="0" w:color="auto"/>
        <w:left w:val="none" w:sz="0" w:space="0" w:color="auto"/>
        <w:bottom w:val="none" w:sz="0" w:space="0" w:color="auto"/>
        <w:right w:val="none" w:sz="0" w:space="0" w:color="auto"/>
      </w:divBdr>
    </w:div>
    <w:div w:id="1652635978">
      <w:bodyDiv w:val="1"/>
      <w:marLeft w:val="0"/>
      <w:marRight w:val="0"/>
      <w:marTop w:val="0"/>
      <w:marBottom w:val="0"/>
      <w:divBdr>
        <w:top w:val="none" w:sz="0" w:space="0" w:color="auto"/>
        <w:left w:val="none" w:sz="0" w:space="0" w:color="auto"/>
        <w:bottom w:val="none" w:sz="0" w:space="0" w:color="auto"/>
        <w:right w:val="none" w:sz="0" w:space="0" w:color="auto"/>
      </w:divBdr>
    </w:div>
    <w:div w:id="1655916071">
      <w:bodyDiv w:val="1"/>
      <w:marLeft w:val="0"/>
      <w:marRight w:val="0"/>
      <w:marTop w:val="0"/>
      <w:marBottom w:val="0"/>
      <w:divBdr>
        <w:top w:val="none" w:sz="0" w:space="0" w:color="auto"/>
        <w:left w:val="none" w:sz="0" w:space="0" w:color="auto"/>
        <w:bottom w:val="none" w:sz="0" w:space="0" w:color="auto"/>
        <w:right w:val="none" w:sz="0" w:space="0" w:color="auto"/>
      </w:divBdr>
    </w:div>
    <w:div w:id="1660116588">
      <w:bodyDiv w:val="1"/>
      <w:marLeft w:val="0"/>
      <w:marRight w:val="0"/>
      <w:marTop w:val="0"/>
      <w:marBottom w:val="0"/>
      <w:divBdr>
        <w:top w:val="none" w:sz="0" w:space="0" w:color="auto"/>
        <w:left w:val="none" w:sz="0" w:space="0" w:color="auto"/>
        <w:bottom w:val="none" w:sz="0" w:space="0" w:color="auto"/>
        <w:right w:val="none" w:sz="0" w:space="0" w:color="auto"/>
      </w:divBdr>
    </w:div>
    <w:div w:id="1661227412">
      <w:bodyDiv w:val="1"/>
      <w:marLeft w:val="0"/>
      <w:marRight w:val="0"/>
      <w:marTop w:val="0"/>
      <w:marBottom w:val="0"/>
      <w:divBdr>
        <w:top w:val="none" w:sz="0" w:space="0" w:color="auto"/>
        <w:left w:val="none" w:sz="0" w:space="0" w:color="auto"/>
        <w:bottom w:val="none" w:sz="0" w:space="0" w:color="auto"/>
        <w:right w:val="none" w:sz="0" w:space="0" w:color="auto"/>
      </w:divBdr>
    </w:div>
    <w:div w:id="1661469949">
      <w:bodyDiv w:val="1"/>
      <w:marLeft w:val="0"/>
      <w:marRight w:val="0"/>
      <w:marTop w:val="0"/>
      <w:marBottom w:val="0"/>
      <w:divBdr>
        <w:top w:val="none" w:sz="0" w:space="0" w:color="auto"/>
        <w:left w:val="none" w:sz="0" w:space="0" w:color="auto"/>
        <w:bottom w:val="none" w:sz="0" w:space="0" w:color="auto"/>
        <w:right w:val="none" w:sz="0" w:space="0" w:color="auto"/>
      </w:divBdr>
    </w:div>
    <w:div w:id="1673490564">
      <w:bodyDiv w:val="1"/>
      <w:marLeft w:val="0"/>
      <w:marRight w:val="0"/>
      <w:marTop w:val="0"/>
      <w:marBottom w:val="0"/>
      <w:divBdr>
        <w:top w:val="none" w:sz="0" w:space="0" w:color="auto"/>
        <w:left w:val="none" w:sz="0" w:space="0" w:color="auto"/>
        <w:bottom w:val="none" w:sz="0" w:space="0" w:color="auto"/>
        <w:right w:val="none" w:sz="0" w:space="0" w:color="auto"/>
      </w:divBdr>
    </w:div>
    <w:div w:id="1678802397">
      <w:bodyDiv w:val="1"/>
      <w:marLeft w:val="0"/>
      <w:marRight w:val="0"/>
      <w:marTop w:val="0"/>
      <w:marBottom w:val="0"/>
      <w:divBdr>
        <w:top w:val="none" w:sz="0" w:space="0" w:color="auto"/>
        <w:left w:val="none" w:sz="0" w:space="0" w:color="auto"/>
        <w:bottom w:val="none" w:sz="0" w:space="0" w:color="auto"/>
        <w:right w:val="none" w:sz="0" w:space="0" w:color="auto"/>
      </w:divBdr>
    </w:div>
    <w:div w:id="1685353507">
      <w:bodyDiv w:val="1"/>
      <w:marLeft w:val="0"/>
      <w:marRight w:val="0"/>
      <w:marTop w:val="0"/>
      <w:marBottom w:val="0"/>
      <w:divBdr>
        <w:top w:val="none" w:sz="0" w:space="0" w:color="auto"/>
        <w:left w:val="none" w:sz="0" w:space="0" w:color="auto"/>
        <w:bottom w:val="none" w:sz="0" w:space="0" w:color="auto"/>
        <w:right w:val="none" w:sz="0" w:space="0" w:color="auto"/>
      </w:divBdr>
    </w:div>
    <w:div w:id="1689453221">
      <w:bodyDiv w:val="1"/>
      <w:marLeft w:val="0"/>
      <w:marRight w:val="0"/>
      <w:marTop w:val="0"/>
      <w:marBottom w:val="0"/>
      <w:divBdr>
        <w:top w:val="none" w:sz="0" w:space="0" w:color="auto"/>
        <w:left w:val="none" w:sz="0" w:space="0" w:color="auto"/>
        <w:bottom w:val="none" w:sz="0" w:space="0" w:color="auto"/>
        <w:right w:val="none" w:sz="0" w:space="0" w:color="auto"/>
      </w:divBdr>
    </w:div>
    <w:div w:id="1690332539">
      <w:bodyDiv w:val="1"/>
      <w:marLeft w:val="0"/>
      <w:marRight w:val="0"/>
      <w:marTop w:val="0"/>
      <w:marBottom w:val="0"/>
      <w:divBdr>
        <w:top w:val="none" w:sz="0" w:space="0" w:color="auto"/>
        <w:left w:val="none" w:sz="0" w:space="0" w:color="auto"/>
        <w:bottom w:val="none" w:sz="0" w:space="0" w:color="auto"/>
        <w:right w:val="none" w:sz="0" w:space="0" w:color="auto"/>
      </w:divBdr>
    </w:div>
    <w:div w:id="1706786452">
      <w:bodyDiv w:val="1"/>
      <w:marLeft w:val="0"/>
      <w:marRight w:val="0"/>
      <w:marTop w:val="0"/>
      <w:marBottom w:val="0"/>
      <w:divBdr>
        <w:top w:val="none" w:sz="0" w:space="0" w:color="auto"/>
        <w:left w:val="none" w:sz="0" w:space="0" w:color="auto"/>
        <w:bottom w:val="none" w:sz="0" w:space="0" w:color="auto"/>
        <w:right w:val="none" w:sz="0" w:space="0" w:color="auto"/>
      </w:divBdr>
    </w:div>
    <w:div w:id="1707175380">
      <w:bodyDiv w:val="1"/>
      <w:marLeft w:val="0"/>
      <w:marRight w:val="0"/>
      <w:marTop w:val="0"/>
      <w:marBottom w:val="0"/>
      <w:divBdr>
        <w:top w:val="none" w:sz="0" w:space="0" w:color="auto"/>
        <w:left w:val="none" w:sz="0" w:space="0" w:color="auto"/>
        <w:bottom w:val="none" w:sz="0" w:space="0" w:color="auto"/>
        <w:right w:val="none" w:sz="0" w:space="0" w:color="auto"/>
      </w:divBdr>
    </w:div>
    <w:div w:id="1711153091">
      <w:bodyDiv w:val="1"/>
      <w:marLeft w:val="0"/>
      <w:marRight w:val="0"/>
      <w:marTop w:val="0"/>
      <w:marBottom w:val="0"/>
      <w:divBdr>
        <w:top w:val="none" w:sz="0" w:space="0" w:color="auto"/>
        <w:left w:val="none" w:sz="0" w:space="0" w:color="auto"/>
        <w:bottom w:val="none" w:sz="0" w:space="0" w:color="auto"/>
        <w:right w:val="none" w:sz="0" w:space="0" w:color="auto"/>
      </w:divBdr>
    </w:div>
    <w:div w:id="1713650774">
      <w:bodyDiv w:val="1"/>
      <w:marLeft w:val="0"/>
      <w:marRight w:val="0"/>
      <w:marTop w:val="0"/>
      <w:marBottom w:val="0"/>
      <w:divBdr>
        <w:top w:val="none" w:sz="0" w:space="0" w:color="auto"/>
        <w:left w:val="none" w:sz="0" w:space="0" w:color="auto"/>
        <w:bottom w:val="none" w:sz="0" w:space="0" w:color="auto"/>
        <w:right w:val="none" w:sz="0" w:space="0" w:color="auto"/>
      </w:divBdr>
    </w:div>
    <w:div w:id="1732533834">
      <w:bodyDiv w:val="1"/>
      <w:marLeft w:val="0"/>
      <w:marRight w:val="0"/>
      <w:marTop w:val="0"/>
      <w:marBottom w:val="0"/>
      <w:divBdr>
        <w:top w:val="none" w:sz="0" w:space="0" w:color="auto"/>
        <w:left w:val="none" w:sz="0" w:space="0" w:color="auto"/>
        <w:bottom w:val="none" w:sz="0" w:space="0" w:color="auto"/>
        <w:right w:val="none" w:sz="0" w:space="0" w:color="auto"/>
      </w:divBdr>
    </w:div>
    <w:div w:id="1749426644">
      <w:bodyDiv w:val="1"/>
      <w:marLeft w:val="0"/>
      <w:marRight w:val="0"/>
      <w:marTop w:val="0"/>
      <w:marBottom w:val="0"/>
      <w:divBdr>
        <w:top w:val="none" w:sz="0" w:space="0" w:color="auto"/>
        <w:left w:val="none" w:sz="0" w:space="0" w:color="auto"/>
        <w:bottom w:val="none" w:sz="0" w:space="0" w:color="auto"/>
        <w:right w:val="none" w:sz="0" w:space="0" w:color="auto"/>
      </w:divBdr>
    </w:div>
    <w:div w:id="1759671476">
      <w:bodyDiv w:val="1"/>
      <w:marLeft w:val="0"/>
      <w:marRight w:val="0"/>
      <w:marTop w:val="0"/>
      <w:marBottom w:val="0"/>
      <w:divBdr>
        <w:top w:val="none" w:sz="0" w:space="0" w:color="auto"/>
        <w:left w:val="none" w:sz="0" w:space="0" w:color="auto"/>
        <w:bottom w:val="none" w:sz="0" w:space="0" w:color="auto"/>
        <w:right w:val="none" w:sz="0" w:space="0" w:color="auto"/>
      </w:divBdr>
    </w:div>
    <w:div w:id="1763909523">
      <w:bodyDiv w:val="1"/>
      <w:marLeft w:val="0"/>
      <w:marRight w:val="0"/>
      <w:marTop w:val="0"/>
      <w:marBottom w:val="0"/>
      <w:divBdr>
        <w:top w:val="none" w:sz="0" w:space="0" w:color="auto"/>
        <w:left w:val="none" w:sz="0" w:space="0" w:color="auto"/>
        <w:bottom w:val="none" w:sz="0" w:space="0" w:color="auto"/>
        <w:right w:val="none" w:sz="0" w:space="0" w:color="auto"/>
      </w:divBdr>
    </w:div>
    <w:div w:id="1763985477">
      <w:bodyDiv w:val="1"/>
      <w:marLeft w:val="0"/>
      <w:marRight w:val="0"/>
      <w:marTop w:val="0"/>
      <w:marBottom w:val="0"/>
      <w:divBdr>
        <w:top w:val="none" w:sz="0" w:space="0" w:color="auto"/>
        <w:left w:val="none" w:sz="0" w:space="0" w:color="auto"/>
        <w:bottom w:val="none" w:sz="0" w:space="0" w:color="auto"/>
        <w:right w:val="none" w:sz="0" w:space="0" w:color="auto"/>
      </w:divBdr>
    </w:div>
    <w:div w:id="1766879948">
      <w:bodyDiv w:val="1"/>
      <w:marLeft w:val="0"/>
      <w:marRight w:val="0"/>
      <w:marTop w:val="0"/>
      <w:marBottom w:val="0"/>
      <w:divBdr>
        <w:top w:val="none" w:sz="0" w:space="0" w:color="auto"/>
        <w:left w:val="none" w:sz="0" w:space="0" w:color="auto"/>
        <w:bottom w:val="none" w:sz="0" w:space="0" w:color="auto"/>
        <w:right w:val="none" w:sz="0" w:space="0" w:color="auto"/>
      </w:divBdr>
    </w:div>
    <w:div w:id="1771971958">
      <w:bodyDiv w:val="1"/>
      <w:marLeft w:val="0"/>
      <w:marRight w:val="0"/>
      <w:marTop w:val="0"/>
      <w:marBottom w:val="0"/>
      <w:divBdr>
        <w:top w:val="none" w:sz="0" w:space="0" w:color="auto"/>
        <w:left w:val="none" w:sz="0" w:space="0" w:color="auto"/>
        <w:bottom w:val="none" w:sz="0" w:space="0" w:color="auto"/>
        <w:right w:val="none" w:sz="0" w:space="0" w:color="auto"/>
      </w:divBdr>
    </w:div>
    <w:div w:id="1782526379">
      <w:bodyDiv w:val="1"/>
      <w:marLeft w:val="0"/>
      <w:marRight w:val="0"/>
      <w:marTop w:val="0"/>
      <w:marBottom w:val="0"/>
      <w:divBdr>
        <w:top w:val="none" w:sz="0" w:space="0" w:color="auto"/>
        <w:left w:val="none" w:sz="0" w:space="0" w:color="auto"/>
        <w:bottom w:val="none" w:sz="0" w:space="0" w:color="auto"/>
        <w:right w:val="none" w:sz="0" w:space="0" w:color="auto"/>
      </w:divBdr>
    </w:div>
    <w:div w:id="1783644407">
      <w:bodyDiv w:val="1"/>
      <w:marLeft w:val="0"/>
      <w:marRight w:val="0"/>
      <w:marTop w:val="0"/>
      <w:marBottom w:val="0"/>
      <w:divBdr>
        <w:top w:val="none" w:sz="0" w:space="0" w:color="auto"/>
        <w:left w:val="none" w:sz="0" w:space="0" w:color="auto"/>
        <w:bottom w:val="none" w:sz="0" w:space="0" w:color="auto"/>
        <w:right w:val="none" w:sz="0" w:space="0" w:color="auto"/>
      </w:divBdr>
    </w:div>
    <w:div w:id="1783763324">
      <w:bodyDiv w:val="1"/>
      <w:marLeft w:val="0"/>
      <w:marRight w:val="0"/>
      <w:marTop w:val="0"/>
      <w:marBottom w:val="0"/>
      <w:divBdr>
        <w:top w:val="none" w:sz="0" w:space="0" w:color="auto"/>
        <w:left w:val="none" w:sz="0" w:space="0" w:color="auto"/>
        <w:bottom w:val="none" w:sz="0" w:space="0" w:color="auto"/>
        <w:right w:val="none" w:sz="0" w:space="0" w:color="auto"/>
      </w:divBdr>
    </w:div>
    <w:div w:id="1785802075">
      <w:bodyDiv w:val="1"/>
      <w:marLeft w:val="0"/>
      <w:marRight w:val="0"/>
      <w:marTop w:val="0"/>
      <w:marBottom w:val="0"/>
      <w:divBdr>
        <w:top w:val="none" w:sz="0" w:space="0" w:color="auto"/>
        <w:left w:val="none" w:sz="0" w:space="0" w:color="auto"/>
        <w:bottom w:val="none" w:sz="0" w:space="0" w:color="auto"/>
        <w:right w:val="none" w:sz="0" w:space="0" w:color="auto"/>
      </w:divBdr>
    </w:div>
    <w:div w:id="1792165127">
      <w:bodyDiv w:val="1"/>
      <w:marLeft w:val="0"/>
      <w:marRight w:val="0"/>
      <w:marTop w:val="0"/>
      <w:marBottom w:val="0"/>
      <w:divBdr>
        <w:top w:val="none" w:sz="0" w:space="0" w:color="auto"/>
        <w:left w:val="none" w:sz="0" w:space="0" w:color="auto"/>
        <w:bottom w:val="none" w:sz="0" w:space="0" w:color="auto"/>
        <w:right w:val="none" w:sz="0" w:space="0" w:color="auto"/>
      </w:divBdr>
    </w:div>
    <w:div w:id="1801411749">
      <w:bodyDiv w:val="1"/>
      <w:marLeft w:val="0"/>
      <w:marRight w:val="0"/>
      <w:marTop w:val="0"/>
      <w:marBottom w:val="0"/>
      <w:divBdr>
        <w:top w:val="none" w:sz="0" w:space="0" w:color="auto"/>
        <w:left w:val="none" w:sz="0" w:space="0" w:color="auto"/>
        <w:bottom w:val="none" w:sz="0" w:space="0" w:color="auto"/>
        <w:right w:val="none" w:sz="0" w:space="0" w:color="auto"/>
      </w:divBdr>
    </w:div>
    <w:div w:id="1810854812">
      <w:bodyDiv w:val="1"/>
      <w:marLeft w:val="0"/>
      <w:marRight w:val="0"/>
      <w:marTop w:val="0"/>
      <w:marBottom w:val="0"/>
      <w:divBdr>
        <w:top w:val="none" w:sz="0" w:space="0" w:color="auto"/>
        <w:left w:val="none" w:sz="0" w:space="0" w:color="auto"/>
        <w:bottom w:val="none" w:sz="0" w:space="0" w:color="auto"/>
        <w:right w:val="none" w:sz="0" w:space="0" w:color="auto"/>
      </w:divBdr>
    </w:div>
    <w:div w:id="1816289899">
      <w:bodyDiv w:val="1"/>
      <w:marLeft w:val="0"/>
      <w:marRight w:val="0"/>
      <w:marTop w:val="0"/>
      <w:marBottom w:val="0"/>
      <w:divBdr>
        <w:top w:val="none" w:sz="0" w:space="0" w:color="auto"/>
        <w:left w:val="none" w:sz="0" w:space="0" w:color="auto"/>
        <w:bottom w:val="none" w:sz="0" w:space="0" w:color="auto"/>
        <w:right w:val="none" w:sz="0" w:space="0" w:color="auto"/>
      </w:divBdr>
    </w:div>
    <w:div w:id="1820884119">
      <w:bodyDiv w:val="1"/>
      <w:marLeft w:val="0"/>
      <w:marRight w:val="0"/>
      <w:marTop w:val="0"/>
      <w:marBottom w:val="0"/>
      <w:divBdr>
        <w:top w:val="none" w:sz="0" w:space="0" w:color="auto"/>
        <w:left w:val="none" w:sz="0" w:space="0" w:color="auto"/>
        <w:bottom w:val="none" w:sz="0" w:space="0" w:color="auto"/>
        <w:right w:val="none" w:sz="0" w:space="0" w:color="auto"/>
      </w:divBdr>
    </w:div>
    <w:div w:id="1826117473">
      <w:bodyDiv w:val="1"/>
      <w:marLeft w:val="0"/>
      <w:marRight w:val="0"/>
      <w:marTop w:val="0"/>
      <w:marBottom w:val="0"/>
      <w:divBdr>
        <w:top w:val="none" w:sz="0" w:space="0" w:color="auto"/>
        <w:left w:val="none" w:sz="0" w:space="0" w:color="auto"/>
        <w:bottom w:val="none" w:sz="0" w:space="0" w:color="auto"/>
        <w:right w:val="none" w:sz="0" w:space="0" w:color="auto"/>
      </w:divBdr>
    </w:div>
    <w:div w:id="1835489688">
      <w:bodyDiv w:val="1"/>
      <w:marLeft w:val="0"/>
      <w:marRight w:val="0"/>
      <w:marTop w:val="0"/>
      <w:marBottom w:val="0"/>
      <w:divBdr>
        <w:top w:val="none" w:sz="0" w:space="0" w:color="auto"/>
        <w:left w:val="none" w:sz="0" w:space="0" w:color="auto"/>
        <w:bottom w:val="none" w:sz="0" w:space="0" w:color="auto"/>
        <w:right w:val="none" w:sz="0" w:space="0" w:color="auto"/>
      </w:divBdr>
    </w:div>
    <w:div w:id="1838499959">
      <w:bodyDiv w:val="1"/>
      <w:marLeft w:val="0"/>
      <w:marRight w:val="0"/>
      <w:marTop w:val="0"/>
      <w:marBottom w:val="0"/>
      <w:divBdr>
        <w:top w:val="none" w:sz="0" w:space="0" w:color="auto"/>
        <w:left w:val="none" w:sz="0" w:space="0" w:color="auto"/>
        <w:bottom w:val="none" w:sz="0" w:space="0" w:color="auto"/>
        <w:right w:val="none" w:sz="0" w:space="0" w:color="auto"/>
      </w:divBdr>
    </w:div>
    <w:div w:id="1841701710">
      <w:bodyDiv w:val="1"/>
      <w:marLeft w:val="0"/>
      <w:marRight w:val="0"/>
      <w:marTop w:val="0"/>
      <w:marBottom w:val="0"/>
      <w:divBdr>
        <w:top w:val="none" w:sz="0" w:space="0" w:color="auto"/>
        <w:left w:val="none" w:sz="0" w:space="0" w:color="auto"/>
        <w:bottom w:val="none" w:sz="0" w:space="0" w:color="auto"/>
        <w:right w:val="none" w:sz="0" w:space="0" w:color="auto"/>
      </w:divBdr>
    </w:div>
    <w:div w:id="1851874797">
      <w:bodyDiv w:val="1"/>
      <w:marLeft w:val="0"/>
      <w:marRight w:val="0"/>
      <w:marTop w:val="0"/>
      <w:marBottom w:val="0"/>
      <w:divBdr>
        <w:top w:val="none" w:sz="0" w:space="0" w:color="auto"/>
        <w:left w:val="none" w:sz="0" w:space="0" w:color="auto"/>
        <w:bottom w:val="none" w:sz="0" w:space="0" w:color="auto"/>
        <w:right w:val="none" w:sz="0" w:space="0" w:color="auto"/>
      </w:divBdr>
    </w:div>
    <w:div w:id="1860465006">
      <w:bodyDiv w:val="1"/>
      <w:marLeft w:val="0"/>
      <w:marRight w:val="0"/>
      <w:marTop w:val="0"/>
      <w:marBottom w:val="0"/>
      <w:divBdr>
        <w:top w:val="none" w:sz="0" w:space="0" w:color="auto"/>
        <w:left w:val="none" w:sz="0" w:space="0" w:color="auto"/>
        <w:bottom w:val="none" w:sz="0" w:space="0" w:color="auto"/>
        <w:right w:val="none" w:sz="0" w:space="0" w:color="auto"/>
      </w:divBdr>
    </w:div>
    <w:div w:id="1863201621">
      <w:bodyDiv w:val="1"/>
      <w:marLeft w:val="0"/>
      <w:marRight w:val="0"/>
      <w:marTop w:val="0"/>
      <w:marBottom w:val="0"/>
      <w:divBdr>
        <w:top w:val="none" w:sz="0" w:space="0" w:color="auto"/>
        <w:left w:val="none" w:sz="0" w:space="0" w:color="auto"/>
        <w:bottom w:val="none" w:sz="0" w:space="0" w:color="auto"/>
        <w:right w:val="none" w:sz="0" w:space="0" w:color="auto"/>
      </w:divBdr>
    </w:div>
    <w:div w:id="1867715945">
      <w:bodyDiv w:val="1"/>
      <w:marLeft w:val="0"/>
      <w:marRight w:val="0"/>
      <w:marTop w:val="0"/>
      <w:marBottom w:val="0"/>
      <w:divBdr>
        <w:top w:val="none" w:sz="0" w:space="0" w:color="auto"/>
        <w:left w:val="none" w:sz="0" w:space="0" w:color="auto"/>
        <w:bottom w:val="none" w:sz="0" w:space="0" w:color="auto"/>
        <w:right w:val="none" w:sz="0" w:space="0" w:color="auto"/>
      </w:divBdr>
    </w:div>
    <w:div w:id="1890339111">
      <w:bodyDiv w:val="1"/>
      <w:marLeft w:val="0"/>
      <w:marRight w:val="0"/>
      <w:marTop w:val="0"/>
      <w:marBottom w:val="0"/>
      <w:divBdr>
        <w:top w:val="none" w:sz="0" w:space="0" w:color="auto"/>
        <w:left w:val="none" w:sz="0" w:space="0" w:color="auto"/>
        <w:bottom w:val="none" w:sz="0" w:space="0" w:color="auto"/>
        <w:right w:val="none" w:sz="0" w:space="0" w:color="auto"/>
      </w:divBdr>
    </w:div>
    <w:div w:id="1897549289">
      <w:bodyDiv w:val="1"/>
      <w:marLeft w:val="0"/>
      <w:marRight w:val="0"/>
      <w:marTop w:val="0"/>
      <w:marBottom w:val="0"/>
      <w:divBdr>
        <w:top w:val="none" w:sz="0" w:space="0" w:color="auto"/>
        <w:left w:val="none" w:sz="0" w:space="0" w:color="auto"/>
        <w:bottom w:val="none" w:sz="0" w:space="0" w:color="auto"/>
        <w:right w:val="none" w:sz="0" w:space="0" w:color="auto"/>
      </w:divBdr>
    </w:div>
    <w:div w:id="1904634617">
      <w:bodyDiv w:val="1"/>
      <w:marLeft w:val="0"/>
      <w:marRight w:val="0"/>
      <w:marTop w:val="0"/>
      <w:marBottom w:val="0"/>
      <w:divBdr>
        <w:top w:val="none" w:sz="0" w:space="0" w:color="auto"/>
        <w:left w:val="none" w:sz="0" w:space="0" w:color="auto"/>
        <w:bottom w:val="none" w:sz="0" w:space="0" w:color="auto"/>
        <w:right w:val="none" w:sz="0" w:space="0" w:color="auto"/>
      </w:divBdr>
    </w:div>
    <w:div w:id="1914656412">
      <w:bodyDiv w:val="1"/>
      <w:marLeft w:val="0"/>
      <w:marRight w:val="0"/>
      <w:marTop w:val="0"/>
      <w:marBottom w:val="0"/>
      <w:divBdr>
        <w:top w:val="none" w:sz="0" w:space="0" w:color="auto"/>
        <w:left w:val="none" w:sz="0" w:space="0" w:color="auto"/>
        <w:bottom w:val="none" w:sz="0" w:space="0" w:color="auto"/>
        <w:right w:val="none" w:sz="0" w:space="0" w:color="auto"/>
      </w:divBdr>
    </w:div>
    <w:div w:id="1926649985">
      <w:bodyDiv w:val="1"/>
      <w:marLeft w:val="0"/>
      <w:marRight w:val="0"/>
      <w:marTop w:val="0"/>
      <w:marBottom w:val="0"/>
      <w:divBdr>
        <w:top w:val="none" w:sz="0" w:space="0" w:color="auto"/>
        <w:left w:val="none" w:sz="0" w:space="0" w:color="auto"/>
        <w:bottom w:val="none" w:sz="0" w:space="0" w:color="auto"/>
        <w:right w:val="none" w:sz="0" w:space="0" w:color="auto"/>
      </w:divBdr>
    </w:div>
    <w:div w:id="1928030458">
      <w:bodyDiv w:val="1"/>
      <w:marLeft w:val="0"/>
      <w:marRight w:val="0"/>
      <w:marTop w:val="0"/>
      <w:marBottom w:val="0"/>
      <w:divBdr>
        <w:top w:val="none" w:sz="0" w:space="0" w:color="auto"/>
        <w:left w:val="none" w:sz="0" w:space="0" w:color="auto"/>
        <w:bottom w:val="none" w:sz="0" w:space="0" w:color="auto"/>
        <w:right w:val="none" w:sz="0" w:space="0" w:color="auto"/>
      </w:divBdr>
    </w:div>
    <w:div w:id="1942645582">
      <w:bodyDiv w:val="1"/>
      <w:marLeft w:val="0"/>
      <w:marRight w:val="0"/>
      <w:marTop w:val="0"/>
      <w:marBottom w:val="0"/>
      <w:divBdr>
        <w:top w:val="none" w:sz="0" w:space="0" w:color="auto"/>
        <w:left w:val="none" w:sz="0" w:space="0" w:color="auto"/>
        <w:bottom w:val="none" w:sz="0" w:space="0" w:color="auto"/>
        <w:right w:val="none" w:sz="0" w:space="0" w:color="auto"/>
      </w:divBdr>
    </w:div>
    <w:div w:id="1943565076">
      <w:bodyDiv w:val="1"/>
      <w:marLeft w:val="0"/>
      <w:marRight w:val="0"/>
      <w:marTop w:val="0"/>
      <w:marBottom w:val="0"/>
      <w:divBdr>
        <w:top w:val="none" w:sz="0" w:space="0" w:color="auto"/>
        <w:left w:val="none" w:sz="0" w:space="0" w:color="auto"/>
        <w:bottom w:val="none" w:sz="0" w:space="0" w:color="auto"/>
        <w:right w:val="none" w:sz="0" w:space="0" w:color="auto"/>
      </w:divBdr>
    </w:div>
    <w:div w:id="1956908006">
      <w:bodyDiv w:val="1"/>
      <w:marLeft w:val="0"/>
      <w:marRight w:val="0"/>
      <w:marTop w:val="0"/>
      <w:marBottom w:val="0"/>
      <w:divBdr>
        <w:top w:val="none" w:sz="0" w:space="0" w:color="auto"/>
        <w:left w:val="none" w:sz="0" w:space="0" w:color="auto"/>
        <w:bottom w:val="none" w:sz="0" w:space="0" w:color="auto"/>
        <w:right w:val="none" w:sz="0" w:space="0" w:color="auto"/>
      </w:divBdr>
    </w:div>
    <w:div w:id="1957901818">
      <w:bodyDiv w:val="1"/>
      <w:marLeft w:val="0"/>
      <w:marRight w:val="0"/>
      <w:marTop w:val="0"/>
      <w:marBottom w:val="0"/>
      <w:divBdr>
        <w:top w:val="none" w:sz="0" w:space="0" w:color="auto"/>
        <w:left w:val="none" w:sz="0" w:space="0" w:color="auto"/>
        <w:bottom w:val="none" w:sz="0" w:space="0" w:color="auto"/>
        <w:right w:val="none" w:sz="0" w:space="0" w:color="auto"/>
      </w:divBdr>
    </w:div>
    <w:div w:id="1960211669">
      <w:bodyDiv w:val="1"/>
      <w:marLeft w:val="0"/>
      <w:marRight w:val="0"/>
      <w:marTop w:val="0"/>
      <w:marBottom w:val="0"/>
      <w:divBdr>
        <w:top w:val="none" w:sz="0" w:space="0" w:color="auto"/>
        <w:left w:val="none" w:sz="0" w:space="0" w:color="auto"/>
        <w:bottom w:val="none" w:sz="0" w:space="0" w:color="auto"/>
        <w:right w:val="none" w:sz="0" w:space="0" w:color="auto"/>
      </w:divBdr>
    </w:div>
    <w:div w:id="1960525776">
      <w:bodyDiv w:val="1"/>
      <w:marLeft w:val="0"/>
      <w:marRight w:val="0"/>
      <w:marTop w:val="0"/>
      <w:marBottom w:val="0"/>
      <w:divBdr>
        <w:top w:val="none" w:sz="0" w:space="0" w:color="auto"/>
        <w:left w:val="none" w:sz="0" w:space="0" w:color="auto"/>
        <w:bottom w:val="none" w:sz="0" w:space="0" w:color="auto"/>
        <w:right w:val="none" w:sz="0" w:space="0" w:color="auto"/>
      </w:divBdr>
    </w:div>
    <w:div w:id="1969506198">
      <w:bodyDiv w:val="1"/>
      <w:marLeft w:val="0"/>
      <w:marRight w:val="0"/>
      <w:marTop w:val="0"/>
      <w:marBottom w:val="0"/>
      <w:divBdr>
        <w:top w:val="none" w:sz="0" w:space="0" w:color="auto"/>
        <w:left w:val="none" w:sz="0" w:space="0" w:color="auto"/>
        <w:bottom w:val="none" w:sz="0" w:space="0" w:color="auto"/>
        <w:right w:val="none" w:sz="0" w:space="0" w:color="auto"/>
      </w:divBdr>
    </w:div>
    <w:div w:id="1972974952">
      <w:bodyDiv w:val="1"/>
      <w:marLeft w:val="0"/>
      <w:marRight w:val="0"/>
      <w:marTop w:val="0"/>
      <w:marBottom w:val="0"/>
      <w:divBdr>
        <w:top w:val="none" w:sz="0" w:space="0" w:color="auto"/>
        <w:left w:val="none" w:sz="0" w:space="0" w:color="auto"/>
        <w:bottom w:val="none" w:sz="0" w:space="0" w:color="auto"/>
        <w:right w:val="none" w:sz="0" w:space="0" w:color="auto"/>
      </w:divBdr>
    </w:div>
    <w:div w:id="1980912321">
      <w:bodyDiv w:val="1"/>
      <w:marLeft w:val="0"/>
      <w:marRight w:val="0"/>
      <w:marTop w:val="0"/>
      <w:marBottom w:val="0"/>
      <w:divBdr>
        <w:top w:val="none" w:sz="0" w:space="0" w:color="auto"/>
        <w:left w:val="none" w:sz="0" w:space="0" w:color="auto"/>
        <w:bottom w:val="none" w:sz="0" w:space="0" w:color="auto"/>
        <w:right w:val="none" w:sz="0" w:space="0" w:color="auto"/>
      </w:divBdr>
    </w:div>
    <w:div w:id="1990594726">
      <w:bodyDiv w:val="1"/>
      <w:marLeft w:val="0"/>
      <w:marRight w:val="0"/>
      <w:marTop w:val="0"/>
      <w:marBottom w:val="0"/>
      <w:divBdr>
        <w:top w:val="none" w:sz="0" w:space="0" w:color="auto"/>
        <w:left w:val="none" w:sz="0" w:space="0" w:color="auto"/>
        <w:bottom w:val="none" w:sz="0" w:space="0" w:color="auto"/>
        <w:right w:val="none" w:sz="0" w:space="0" w:color="auto"/>
      </w:divBdr>
    </w:div>
    <w:div w:id="2009017795">
      <w:bodyDiv w:val="1"/>
      <w:marLeft w:val="0"/>
      <w:marRight w:val="0"/>
      <w:marTop w:val="0"/>
      <w:marBottom w:val="0"/>
      <w:divBdr>
        <w:top w:val="none" w:sz="0" w:space="0" w:color="auto"/>
        <w:left w:val="none" w:sz="0" w:space="0" w:color="auto"/>
        <w:bottom w:val="none" w:sz="0" w:space="0" w:color="auto"/>
        <w:right w:val="none" w:sz="0" w:space="0" w:color="auto"/>
      </w:divBdr>
    </w:div>
    <w:div w:id="2022077202">
      <w:bodyDiv w:val="1"/>
      <w:marLeft w:val="0"/>
      <w:marRight w:val="0"/>
      <w:marTop w:val="0"/>
      <w:marBottom w:val="0"/>
      <w:divBdr>
        <w:top w:val="none" w:sz="0" w:space="0" w:color="auto"/>
        <w:left w:val="none" w:sz="0" w:space="0" w:color="auto"/>
        <w:bottom w:val="none" w:sz="0" w:space="0" w:color="auto"/>
        <w:right w:val="none" w:sz="0" w:space="0" w:color="auto"/>
      </w:divBdr>
    </w:div>
    <w:div w:id="2032756330">
      <w:bodyDiv w:val="1"/>
      <w:marLeft w:val="0"/>
      <w:marRight w:val="0"/>
      <w:marTop w:val="0"/>
      <w:marBottom w:val="0"/>
      <w:divBdr>
        <w:top w:val="none" w:sz="0" w:space="0" w:color="auto"/>
        <w:left w:val="none" w:sz="0" w:space="0" w:color="auto"/>
        <w:bottom w:val="none" w:sz="0" w:space="0" w:color="auto"/>
        <w:right w:val="none" w:sz="0" w:space="0" w:color="auto"/>
      </w:divBdr>
    </w:div>
    <w:div w:id="2034306423">
      <w:bodyDiv w:val="1"/>
      <w:marLeft w:val="0"/>
      <w:marRight w:val="0"/>
      <w:marTop w:val="0"/>
      <w:marBottom w:val="0"/>
      <w:divBdr>
        <w:top w:val="none" w:sz="0" w:space="0" w:color="auto"/>
        <w:left w:val="none" w:sz="0" w:space="0" w:color="auto"/>
        <w:bottom w:val="none" w:sz="0" w:space="0" w:color="auto"/>
        <w:right w:val="none" w:sz="0" w:space="0" w:color="auto"/>
      </w:divBdr>
    </w:div>
    <w:div w:id="2034762093">
      <w:bodyDiv w:val="1"/>
      <w:marLeft w:val="0"/>
      <w:marRight w:val="0"/>
      <w:marTop w:val="0"/>
      <w:marBottom w:val="0"/>
      <w:divBdr>
        <w:top w:val="none" w:sz="0" w:space="0" w:color="auto"/>
        <w:left w:val="none" w:sz="0" w:space="0" w:color="auto"/>
        <w:bottom w:val="none" w:sz="0" w:space="0" w:color="auto"/>
        <w:right w:val="none" w:sz="0" w:space="0" w:color="auto"/>
      </w:divBdr>
    </w:div>
    <w:div w:id="2040935814">
      <w:bodyDiv w:val="1"/>
      <w:marLeft w:val="0"/>
      <w:marRight w:val="0"/>
      <w:marTop w:val="0"/>
      <w:marBottom w:val="0"/>
      <w:divBdr>
        <w:top w:val="none" w:sz="0" w:space="0" w:color="auto"/>
        <w:left w:val="none" w:sz="0" w:space="0" w:color="auto"/>
        <w:bottom w:val="none" w:sz="0" w:space="0" w:color="auto"/>
        <w:right w:val="none" w:sz="0" w:space="0" w:color="auto"/>
      </w:divBdr>
    </w:div>
    <w:div w:id="2048793903">
      <w:bodyDiv w:val="1"/>
      <w:marLeft w:val="0"/>
      <w:marRight w:val="0"/>
      <w:marTop w:val="0"/>
      <w:marBottom w:val="0"/>
      <w:divBdr>
        <w:top w:val="none" w:sz="0" w:space="0" w:color="auto"/>
        <w:left w:val="none" w:sz="0" w:space="0" w:color="auto"/>
        <w:bottom w:val="none" w:sz="0" w:space="0" w:color="auto"/>
        <w:right w:val="none" w:sz="0" w:space="0" w:color="auto"/>
      </w:divBdr>
    </w:div>
    <w:div w:id="2057849984">
      <w:bodyDiv w:val="1"/>
      <w:marLeft w:val="0"/>
      <w:marRight w:val="0"/>
      <w:marTop w:val="0"/>
      <w:marBottom w:val="0"/>
      <w:divBdr>
        <w:top w:val="none" w:sz="0" w:space="0" w:color="auto"/>
        <w:left w:val="none" w:sz="0" w:space="0" w:color="auto"/>
        <w:bottom w:val="none" w:sz="0" w:space="0" w:color="auto"/>
        <w:right w:val="none" w:sz="0" w:space="0" w:color="auto"/>
      </w:divBdr>
    </w:div>
    <w:div w:id="2061704887">
      <w:bodyDiv w:val="1"/>
      <w:marLeft w:val="0"/>
      <w:marRight w:val="0"/>
      <w:marTop w:val="0"/>
      <w:marBottom w:val="0"/>
      <w:divBdr>
        <w:top w:val="none" w:sz="0" w:space="0" w:color="auto"/>
        <w:left w:val="none" w:sz="0" w:space="0" w:color="auto"/>
        <w:bottom w:val="none" w:sz="0" w:space="0" w:color="auto"/>
        <w:right w:val="none" w:sz="0" w:space="0" w:color="auto"/>
      </w:divBdr>
    </w:div>
    <w:div w:id="2074740675">
      <w:bodyDiv w:val="1"/>
      <w:marLeft w:val="0"/>
      <w:marRight w:val="0"/>
      <w:marTop w:val="0"/>
      <w:marBottom w:val="0"/>
      <w:divBdr>
        <w:top w:val="none" w:sz="0" w:space="0" w:color="auto"/>
        <w:left w:val="none" w:sz="0" w:space="0" w:color="auto"/>
        <w:bottom w:val="none" w:sz="0" w:space="0" w:color="auto"/>
        <w:right w:val="none" w:sz="0" w:space="0" w:color="auto"/>
      </w:divBdr>
    </w:div>
    <w:div w:id="2076973112">
      <w:bodyDiv w:val="1"/>
      <w:marLeft w:val="0"/>
      <w:marRight w:val="0"/>
      <w:marTop w:val="0"/>
      <w:marBottom w:val="0"/>
      <w:divBdr>
        <w:top w:val="none" w:sz="0" w:space="0" w:color="auto"/>
        <w:left w:val="none" w:sz="0" w:space="0" w:color="auto"/>
        <w:bottom w:val="none" w:sz="0" w:space="0" w:color="auto"/>
        <w:right w:val="none" w:sz="0" w:space="0" w:color="auto"/>
      </w:divBdr>
    </w:div>
    <w:div w:id="2082940842">
      <w:bodyDiv w:val="1"/>
      <w:marLeft w:val="0"/>
      <w:marRight w:val="0"/>
      <w:marTop w:val="0"/>
      <w:marBottom w:val="0"/>
      <w:divBdr>
        <w:top w:val="none" w:sz="0" w:space="0" w:color="auto"/>
        <w:left w:val="none" w:sz="0" w:space="0" w:color="auto"/>
        <w:bottom w:val="none" w:sz="0" w:space="0" w:color="auto"/>
        <w:right w:val="none" w:sz="0" w:space="0" w:color="auto"/>
      </w:divBdr>
    </w:div>
    <w:div w:id="2082945436">
      <w:bodyDiv w:val="1"/>
      <w:marLeft w:val="0"/>
      <w:marRight w:val="0"/>
      <w:marTop w:val="0"/>
      <w:marBottom w:val="0"/>
      <w:divBdr>
        <w:top w:val="none" w:sz="0" w:space="0" w:color="auto"/>
        <w:left w:val="none" w:sz="0" w:space="0" w:color="auto"/>
        <w:bottom w:val="none" w:sz="0" w:space="0" w:color="auto"/>
        <w:right w:val="none" w:sz="0" w:space="0" w:color="auto"/>
      </w:divBdr>
    </w:div>
    <w:div w:id="2083678616">
      <w:bodyDiv w:val="1"/>
      <w:marLeft w:val="0"/>
      <w:marRight w:val="0"/>
      <w:marTop w:val="0"/>
      <w:marBottom w:val="0"/>
      <w:divBdr>
        <w:top w:val="none" w:sz="0" w:space="0" w:color="auto"/>
        <w:left w:val="none" w:sz="0" w:space="0" w:color="auto"/>
        <w:bottom w:val="none" w:sz="0" w:space="0" w:color="auto"/>
        <w:right w:val="none" w:sz="0" w:space="0" w:color="auto"/>
      </w:divBdr>
    </w:div>
    <w:div w:id="2084327083">
      <w:bodyDiv w:val="1"/>
      <w:marLeft w:val="0"/>
      <w:marRight w:val="0"/>
      <w:marTop w:val="0"/>
      <w:marBottom w:val="0"/>
      <w:divBdr>
        <w:top w:val="none" w:sz="0" w:space="0" w:color="auto"/>
        <w:left w:val="none" w:sz="0" w:space="0" w:color="auto"/>
        <w:bottom w:val="none" w:sz="0" w:space="0" w:color="auto"/>
        <w:right w:val="none" w:sz="0" w:space="0" w:color="auto"/>
      </w:divBdr>
    </w:div>
    <w:div w:id="2084444073">
      <w:bodyDiv w:val="1"/>
      <w:marLeft w:val="0"/>
      <w:marRight w:val="0"/>
      <w:marTop w:val="0"/>
      <w:marBottom w:val="0"/>
      <w:divBdr>
        <w:top w:val="none" w:sz="0" w:space="0" w:color="auto"/>
        <w:left w:val="none" w:sz="0" w:space="0" w:color="auto"/>
        <w:bottom w:val="none" w:sz="0" w:space="0" w:color="auto"/>
        <w:right w:val="none" w:sz="0" w:space="0" w:color="auto"/>
      </w:divBdr>
    </w:div>
    <w:div w:id="2086416020">
      <w:bodyDiv w:val="1"/>
      <w:marLeft w:val="0"/>
      <w:marRight w:val="0"/>
      <w:marTop w:val="0"/>
      <w:marBottom w:val="0"/>
      <w:divBdr>
        <w:top w:val="none" w:sz="0" w:space="0" w:color="auto"/>
        <w:left w:val="none" w:sz="0" w:space="0" w:color="auto"/>
        <w:bottom w:val="none" w:sz="0" w:space="0" w:color="auto"/>
        <w:right w:val="none" w:sz="0" w:space="0" w:color="auto"/>
      </w:divBdr>
    </w:div>
    <w:div w:id="2094352785">
      <w:bodyDiv w:val="1"/>
      <w:marLeft w:val="0"/>
      <w:marRight w:val="0"/>
      <w:marTop w:val="0"/>
      <w:marBottom w:val="0"/>
      <w:divBdr>
        <w:top w:val="none" w:sz="0" w:space="0" w:color="auto"/>
        <w:left w:val="none" w:sz="0" w:space="0" w:color="auto"/>
        <w:bottom w:val="none" w:sz="0" w:space="0" w:color="auto"/>
        <w:right w:val="none" w:sz="0" w:space="0" w:color="auto"/>
      </w:divBdr>
    </w:div>
    <w:div w:id="2098282703">
      <w:bodyDiv w:val="1"/>
      <w:marLeft w:val="0"/>
      <w:marRight w:val="0"/>
      <w:marTop w:val="0"/>
      <w:marBottom w:val="0"/>
      <w:divBdr>
        <w:top w:val="none" w:sz="0" w:space="0" w:color="auto"/>
        <w:left w:val="none" w:sz="0" w:space="0" w:color="auto"/>
        <w:bottom w:val="none" w:sz="0" w:space="0" w:color="auto"/>
        <w:right w:val="none" w:sz="0" w:space="0" w:color="auto"/>
      </w:divBdr>
    </w:div>
    <w:div w:id="2112623547">
      <w:bodyDiv w:val="1"/>
      <w:marLeft w:val="0"/>
      <w:marRight w:val="0"/>
      <w:marTop w:val="0"/>
      <w:marBottom w:val="0"/>
      <w:divBdr>
        <w:top w:val="none" w:sz="0" w:space="0" w:color="auto"/>
        <w:left w:val="none" w:sz="0" w:space="0" w:color="auto"/>
        <w:bottom w:val="none" w:sz="0" w:space="0" w:color="auto"/>
        <w:right w:val="none" w:sz="0" w:space="0" w:color="auto"/>
      </w:divBdr>
    </w:div>
    <w:div w:id="2124030871">
      <w:bodyDiv w:val="1"/>
      <w:marLeft w:val="0"/>
      <w:marRight w:val="0"/>
      <w:marTop w:val="0"/>
      <w:marBottom w:val="0"/>
      <w:divBdr>
        <w:top w:val="none" w:sz="0" w:space="0" w:color="auto"/>
        <w:left w:val="none" w:sz="0" w:space="0" w:color="auto"/>
        <w:bottom w:val="none" w:sz="0" w:space="0" w:color="auto"/>
        <w:right w:val="none" w:sz="0" w:space="0" w:color="auto"/>
      </w:divBdr>
    </w:div>
    <w:div w:id="2130077274">
      <w:bodyDiv w:val="1"/>
      <w:marLeft w:val="0"/>
      <w:marRight w:val="0"/>
      <w:marTop w:val="0"/>
      <w:marBottom w:val="0"/>
      <w:divBdr>
        <w:top w:val="none" w:sz="0" w:space="0" w:color="auto"/>
        <w:left w:val="none" w:sz="0" w:space="0" w:color="auto"/>
        <w:bottom w:val="none" w:sz="0" w:space="0" w:color="auto"/>
        <w:right w:val="none" w:sz="0" w:space="0" w:color="auto"/>
      </w:divBdr>
    </w:div>
    <w:div w:id="2144806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hui5.cn/article/d1/8214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hui5.cn/article/d6/74674.html" TargetMode="External"/><Relationship Id="rId5" Type="http://schemas.openxmlformats.org/officeDocument/2006/relationships/footnotes" Target="footnotes.xml"/><Relationship Id="rId10" Type="http://schemas.openxmlformats.org/officeDocument/2006/relationships/hyperlink" Target="https://www.shui5.cn/article/0b/5765.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71425</Words>
  <Characters>97854</Characters>
  <Application>Microsoft Office Word</Application>
  <DocSecurity>0</DocSecurity>
  <Lines>10872</Lines>
  <Paragraphs>10579</Paragraphs>
  <ScaleCrop>false</ScaleCrop>
  <Company/>
  <LinksUpToDate>false</LinksUpToDate>
  <CharactersWithSpaces>158700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彭威</dc:creator>
  <cp:lastModifiedBy>WJ 王静</cp:lastModifiedBy>
  <cp:revision>9</cp:revision>
  <cp:lastPrinted>2025-08-28T09:23:00Z</cp:lastPrinted>
  <dcterms:created xsi:type="dcterms:W3CDTF">2025-08-28T09:13:00Z</dcterms:created>
  <dcterms:modified xsi:type="dcterms:W3CDTF">2025-08-28T09:24:00Z</dcterms:modified>
</cp:coreProperties>
</file>