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FCB5" w14:textId="77777777" w:rsidR="00EB6E50" w:rsidRDefault="00EB6E50">
      <w:pPr>
        <w:spacing w:line="360" w:lineRule="auto"/>
        <w:jc w:val="center"/>
        <w:rPr>
          <w:b/>
          <w:sz w:val="28"/>
        </w:rPr>
      </w:pPr>
    </w:p>
    <w:p w14:paraId="4F5E74F5" w14:textId="77777777" w:rsidR="00EB6E50" w:rsidRDefault="00000000">
      <w:pPr>
        <w:spacing w:line="360" w:lineRule="auto"/>
        <w:jc w:val="center"/>
        <w:rPr>
          <w:b/>
          <w:sz w:val="28"/>
        </w:rPr>
      </w:pPr>
      <w:r>
        <w:rPr>
          <w:b/>
          <w:sz w:val="28"/>
        </w:rPr>
        <w:t>山东龙大美食股份有限公司</w:t>
      </w:r>
    </w:p>
    <w:p w14:paraId="75B9C699" w14:textId="77777777" w:rsidR="00EB6E50" w:rsidRDefault="00000000">
      <w:pPr>
        <w:spacing w:line="360" w:lineRule="auto"/>
        <w:jc w:val="center"/>
        <w:rPr>
          <w:b/>
          <w:sz w:val="28"/>
        </w:rPr>
      </w:pPr>
      <w:bookmarkStart w:id="0" w:name="_Hlk110797755"/>
      <w:r>
        <w:rPr>
          <w:b/>
          <w:sz w:val="28"/>
        </w:rPr>
        <w:t>内幕信息知情人登记管理制度</w:t>
      </w:r>
    </w:p>
    <w:bookmarkEnd w:id="0"/>
    <w:p w14:paraId="7304D57D" w14:textId="77777777" w:rsidR="00EB6E50" w:rsidRDefault="00EB6E50">
      <w:pPr>
        <w:spacing w:line="360" w:lineRule="auto"/>
        <w:jc w:val="center"/>
        <w:rPr>
          <w:sz w:val="24"/>
        </w:rPr>
      </w:pPr>
    </w:p>
    <w:p w14:paraId="1B7F0AA2" w14:textId="77777777" w:rsidR="00EB6E50" w:rsidRDefault="00000000">
      <w:pPr>
        <w:spacing w:line="360" w:lineRule="auto"/>
        <w:jc w:val="center"/>
        <w:rPr>
          <w:sz w:val="24"/>
        </w:rPr>
      </w:pPr>
      <w:r>
        <w:rPr>
          <w:b/>
          <w:bCs/>
          <w:sz w:val="24"/>
        </w:rPr>
        <w:t>第一章</w:t>
      </w:r>
      <w:r>
        <w:rPr>
          <w:b/>
          <w:bCs/>
          <w:sz w:val="24"/>
        </w:rPr>
        <w:t xml:space="preserve"> </w:t>
      </w:r>
      <w:r>
        <w:rPr>
          <w:b/>
          <w:bCs/>
          <w:sz w:val="24"/>
        </w:rPr>
        <w:t>总则</w:t>
      </w:r>
    </w:p>
    <w:p w14:paraId="73C7A3D1" w14:textId="77777777" w:rsidR="00EB6E50" w:rsidRDefault="00EB6E50">
      <w:pPr>
        <w:spacing w:line="360" w:lineRule="auto"/>
        <w:rPr>
          <w:sz w:val="24"/>
        </w:rPr>
      </w:pPr>
    </w:p>
    <w:p w14:paraId="4CE48741" w14:textId="77777777" w:rsidR="00EB6E50" w:rsidRDefault="00000000">
      <w:pPr>
        <w:spacing w:line="360" w:lineRule="auto"/>
        <w:ind w:firstLineChars="200" w:firstLine="480"/>
        <w:rPr>
          <w:b/>
          <w:bCs/>
          <w:sz w:val="24"/>
        </w:rPr>
      </w:pPr>
      <w:r>
        <w:rPr>
          <w:sz w:val="24"/>
        </w:rPr>
        <w:t>第一条</w:t>
      </w:r>
      <w:r>
        <w:rPr>
          <w:rFonts w:hint="eastAsia"/>
          <w:sz w:val="24"/>
        </w:rPr>
        <w:t xml:space="preserve">  </w:t>
      </w:r>
      <w:r>
        <w:rPr>
          <w:sz w:val="24"/>
        </w:rPr>
        <w:t>为规范山东龙大美食股份有限公司</w:t>
      </w:r>
      <w:r>
        <w:rPr>
          <w:rFonts w:hint="eastAsia"/>
          <w:sz w:val="24"/>
        </w:rPr>
        <w:t>（</w:t>
      </w:r>
      <w:r>
        <w:rPr>
          <w:sz w:val="24"/>
        </w:rPr>
        <w:t>以下简称</w:t>
      </w:r>
      <w:r>
        <w:rPr>
          <w:sz w:val="24"/>
        </w:rPr>
        <w:t>“</w:t>
      </w:r>
      <w:r>
        <w:rPr>
          <w:sz w:val="24"/>
        </w:rPr>
        <w:t>公司</w:t>
      </w:r>
      <w:r>
        <w:rPr>
          <w:sz w:val="24"/>
        </w:rPr>
        <w:t>”</w:t>
      </w:r>
      <w:r>
        <w:rPr>
          <w:rFonts w:hint="eastAsia"/>
          <w:sz w:val="24"/>
        </w:rPr>
        <w:t>）</w:t>
      </w:r>
      <w:r>
        <w:rPr>
          <w:sz w:val="24"/>
        </w:rPr>
        <w:t>的内幕信息管理</w:t>
      </w:r>
      <w:r>
        <w:rPr>
          <w:rFonts w:hint="eastAsia"/>
          <w:sz w:val="24"/>
        </w:rPr>
        <w:t>，</w:t>
      </w:r>
      <w:r>
        <w:rPr>
          <w:sz w:val="24"/>
        </w:rPr>
        <w:t>加强内幕信息保密工作</w:t>
      </w:r>
      <w:r>
        <w:rPr>
          <w:rFonts w:hint="eastAsia"/>
          <w:sz w:val="24"/>
        </w:rPr>
        <w:t>，</w:t>
      </w:r>
      <w:r>
        <w:rPr>
          <w:sz w:val="24"/>
        </w:rPr>
        <w:t>维护信息披露的公平原则</w:t>
      </w:r>
      <w:r>
        <w:rPr>
          <w:rFonts w:hint="eastAsia"/>
          <w:sz w:val="24"/>
        </w:rPr>
        <w:t>，</w:t>
      </w:r>
      <w:r>
        <w:rPr>
          <w:sz w:val="24"/>
        </w:rPr>
        <w:t>根据《中华人民共和国公司法》《中华人民共和国证券法》</w:t>
      </w:r>
      <w:r>
        <w:rPr>
          <w:rFonts w:hint="eastAsia"/>
          <w:sz w:val="24"/>
        </w:rPr>
        <w:t>（以下简称“《证券法》”）、</w:t>
      </w:r>
      <w:r>
        <w:rPr>
          <w:sz w:val="24"/>
        </w:rPr>
        <w:t>《上市公司信息披露管理办法》</w:t>
      </w:r>
      <w:r>
        <w:rPr>
          <w:rFonts w:hint="eastAsia"/>
          <w:sz w:val="24"/>
        </w:rPr>
        <w:t>（以下简称“《管理办法》”）、《上市公司监管指引第</w:t>
      </w:r>
      <w:r>
        <w:rPr>
          <w:rFonts w:hint="eastAsia"/>
          <w:sz w:val="24"/>
        </w:rPr>
        <w:t>5</w:t>
      </w:r>
      <w:r>
        <w:rPr>
          <w:rFonts w:hint="eastAsia"/>
          <w:sz w:val="24"/>
        </w:rPr>
        <w:t>号——上市公司内幕信息知情人登记管理制度》</w:t>
      </w:r>
      <w:r>
        <w:rPr>
          <w:sz w:val="24"/>
        </w:rPr>
        <w:t>《</w:t>
      </w:r>
      <w:r>
        <w:rPr>
          <w:rFonts w:hint="eastAsia"/>
          <w:sz w:val="24"/>
        </w:rPr>
        <w:t>深圳证券交易所上市公司自律监管指引第</w:t>
      </w:r>
      <w:r>
        <w:rPr>
          <w:rFonts w:hint="eastAsia"/>
          <w:sz w:val="24"/>
        </w:rPr>
        <w:t>5</w:t>
      </w:r>
      <w:r>
        <w:rPr>
          <w:rFonts w:hint="eastAsia"/>
          <w:sz w:val="24"/>
        </w:rPr>
        <w:t>号——信息披露事务管理》《深圳证券交易所上市公司自律监管指引第</w:t>
      </w:r>
      <w:r>
        <w:rPr>
          <w:rFonts w:hint="eastAsia"/>
          <w:sz w:val="24"/>
        </w:rPr>
        <w:t>1</w:t>
      </w:r>
      <w:r>
        <w:rPr>
          <w:rFonts w:hint="eastAsia"/>
          <w:sz w:val="24"/>
        </w:rPr>
        <w:t>号——主板上市公司规范运作》《</w:t>
      </w:r>
      <w:r>
        <w:rPr>
          <w:sz w:val="24"/>
        </w:rPr>
        <w:t>深圳证券交易所股票上市规则》</w:t>
      </w:r>
      <w:r>
        <w:rPr>
          <w:rFonts w:hint="eastAsia"/>
          <w:sz w:val="24"/>
        </w:rPr>
        <w:t>（</w:t>
      </w:r>
      <w:r>
        <w:rPr>
          <w:sz w:val="24"/>
        </w:rPr>
        <w:t>以下简称</w:t>
      </w:r>
      <w:r>
        <w:rPr>
          <w:sz w:val="24"/>
        </w:rPr>
        <w:t>“</w:t>
      </w:r>
      <w:r>
        <w:rPr>
          <w:sz w:val="24"/>
        </w:rPr>
        <w:t>《</w:t>
      </w:r>
      <w:r>
        <w:rPr>
          <w:rFonts w:hint="eastAsia"/>
          <w:sz w:val="24"/>
        </w:rPr>
        <w:t>上市规则</w:t>
      </w:r>
      <w:r>
        <w:rPr>
          <w:sz w:val="24"/>
        </w:rPr>
        <w:t>》</w:t>
      </w:r>
      <w:r>
        <w:rPr>
          <w:sz w:val="24"/>
        </w:rPr>
        <w:t>”</w:t>
      </w:r>
      <w:r>
        <w:rPr>
          <w:rFonts w:hint="eastAsia"/>
          <w:sz w:val="24"/>
        </w:rPr>
        <w:t>）</w:t>
      </w:r>
      <w:r>
        <w:rPr>
          <w:sz w:val="24"/>
        </w:rPr>
        <w:t>等有关法律、</w:t>
      </w:r>
      <w:r>
        <w:rPr>
          <w:rFonts w:hint="eastAsia"/>
          <w:sz w:val="24"/>
        </w:rPr>
        <w:t>行政</w:t>
      </w:r>
      <w:r>
        <w:rPr>
          <w:sz w:val="24"/>
        </w:rPr>
        <w:t>法规、规范性文件及《山东龙大美食股份有限公司章程》</w:t>
      </w:r>
      <w:r>
        <w:rPr>
          <w:rFonts w:hint="eastAsia"/>
          <w:sz w:val="24"/>
        </w:rPr>
        <w:t>（</w:t>
      </w:r>
      <w:r>
        <w:rPr>
          <w:sz w:val="24"/>
        </w:rPr>
        <w:t>以下简称</w:t>
      </w:r>
      <w:r>
        <w:rPr>
          <w:sz w:val="24"/>
        </w:rPr>
        <w:t>“</w:t>
      </w:r>
      <w:r>
        <w:rPr>
          <w:sz w:val="24"/>
        </w:rPr>
        <w:t>《公司章程》</w:t>
      </w:r>
      <w:r>
        <w:rPr>
          <w:sz w:val="24"/>
        </w:rPr>
        <w:t>”</w:t>
      </w:r>
      <w:r>
        <w:rPr>
          <w:rFonts w:hint="eastAsia"/>
          <w:sz w:val="24"/>
        </w:rPr>
        <w:t>），</w:t>
      </w:r>
      <w:r>
        <w:rPr>
          <w:sz w:val="24"/>
        </w:rPr>
        <w:t>制定本制度。</w:t>
      </w:r>
    </w:p>
    <w:p w14:paraId="7625AC0A" w14:textId="77777777" w:rsidR="00EB6E50" w:rsidRDefault="00000000">
      <w:pPr>
        <w:spacing w:line="360" w:lineRule="auto"/>
        <w:ind w:firstLineChars="200" w:firstLine="480"/>
        <w:rPr>
          <w:sz w:val="24"/>
        </w:rPr>
      </w:pPr>
      <w:r>
        <w:rPr>
          <w:sz w:val="24"/>
        </w:rPr>
        <w:t>第二条</w:t>
      </w:r>
      <w:r>
        <w:rPr>
          <w:rFonts w:hint="eastAsia"/>
          <w:sz w:val="24"/>
        </w:rPr>
        <w:t xml:space="preserve">  </w:t>
      </w:r>
      <w:r>
        <w:rPr>
          <w:sz w:val="24"/>
        </w:rPr>
        <w:t>公司董事会是内幕信息的管理机构</w:t>
      </w:r>
      <w:r>
        <w:rPr>
          <w:rFonts w:hint="eastAsia"/>
          <w:sz w:val="24"/>
        </w:rPr>
        <w:t>，</w:t>
      </w:r>
      <w:r>
        <w:rPr>
          <w:sz w:val="24"/>
        </w:rPr>
        <w:t>应</w:t>
      </w:r>
      <w:r>
        <w:rPr>
          <w:rFonts w:hint="eastAsia"/>
          <w:sz w:val="24"/>
        </w:rPr>
        <w:t>按照《上市公司监管指引第</w:t>
      </w:r>
      <w:r>
        <w:rPr>
          <w:rFonts w:hint="eastAsia"/>
          <w:sz w:val="24"/>
        </w:rPr>
        <w:t>5</w:t>
      </w:r>
      <w:r>
        <w:rPr>
          <w:rFonts w:hint="eastAsia"/>
          <w:sz w:val="24"/>
        </w:rPr>
        <w:t>号——上市公司内幕信息知情人登记管理制度》、证券交易所相关规则要求及公司相关制度及时登记和报送内幕信息知情人档案，</w:t>
      </w:r>
      <w:r>
        <w:rPr>
          <w:sz w:val="24"/>
        </w:rPr>
        <w:t>保证内幕信息知情人</w:t>
      </w:r>
      <w:r>
        <w:rPr>
          <w:rFonts w:hint="eastAsia"/>
          <w:sz w:val="24"/>
        </w:rPr>
        <w:t>有关档案</w:t>
      </w:r>
      <w:r>
        <w:rPr>
          <w:sz w:val="24"/>
        </w:rPr>
        <w:t>的真实、准确和完整。</w:t>
      </w:r>
    </w:p>
    <w:p w14:paraId="1E45FD43" w14:textId="77777777" w:rsidR="00EB6E50" w:rsidRDefault="00000000">
      <w:pPr>
        <w:spacing w:line="360" w:lineRule="auto"/>
        <w:ind w:firstLineChars="200" w:firstLine="480"/>
        <w:rPr>
          <w:sz w:val="24"/>
        </w:rPr>
      </w:pPr>
      <w:r>
        <w:rPr>
          <w:sz w:val="24"/>
        </w:rPr>
        <w:t>第三条</w:t>
      </w:r>
      <w:r>
        <w:rPr>
          <w:rFonts w:hint="eastAsia"/>
          <w:sz w:val="24"/>
        </w:rPr>
        <w:t xml:space="preserve">  </w:t>
      </w:r>
      <w:r>
        <w:rPr>
          <w:sz w:val="24"/>
        </w:rPr>
        <w:t>董事长为公司内幕信息管理工作第一责任人。董事会秘书负责协调和组织公司内幕信息保密工作</w:t>
      </w:r>
      <w:r>
        <w:rPr>
          <w:rFonts w:hint="eastAsia"/>
          <w:sz w:val="24"/>
        </w:rPr>
        <w:t>，并</w:t>
      </w:r>
      <w:r>
        <w:rPr>
          <w:sz w:val="24"/>
        </w:rPr>
        <w:t>负责办理公司内幕信息知情人的登记入档</w:t>
      </w:r>
      <w:r>
        <w:rPr>
          <w:rFonts w:hint="eastAsia"/>
          <w:sz w:val="24"/>
        </w:rPr>
        <w:t>和报送</w:t>
      </w:r>
      <w:r>
        <w:rPr>
          <w:sz w:val="24"/>
        </w:rPr>
        <w:t>事宜。</w:t>
      </w:r>
      <w:r>
        <w:rPr>
          <w:rFonts w:hint="eastAsia"/>
          <w:sz w:val="24"/>
        </w:rPr>
        <w:t>董事长与董事会秘书应当对内幕信息知情人档案的真实、准确和完整签署书面确认意见。</w:t>
      </w:r>
    </w:p>
    <w:p w14:paraId="7E11B01A" w14:textId="77777777" w:rsidR="00EB6E50" w:rsidRDefault="00000000">
      <w:pPr>
        <w:spacing w:line="360" w:lineRule="auto"/>
        <w:ind w:firstLineChars="200" w:firstLine="480"/>
        <w:rPr>
          <w:sz w:val="24"/>
        </w:rPr>
      </w:pPr>
      <w:r>
        <w:rPr>
          <w:sz w:val="24"/>
        </w:rPr>
        <w:t>第四条</w:t>
      </w:r>
      <w:r>
        <w:rPr>
          <w:rFonts w:hint="eastAsia"/>
          <w:sz w:val="24"/>
        </w:rPr>
        <w:t xml:space="preserve">  </w:t>
      </w:r>
      <w:r>
        <w:rPr>
          <w:sz w:val="24"/>
        </w:rPr>
        <w:t>董事会秘书和证券部负责证券监管机构、证券交易所、证券公司等机构及新闻媒体、股东接待、咨询</w:t>
      </w:r>
      <w:r>
        <w:rPr>
          <w:rFonts w:hint="eastAsia"/>
          <w:sz w:val="24"/>
        </w:rPr>
        <w:t>（</w:t>
      </w:r>
      <w:r>
        <w:rPr>
          <w:sz w:val="24"/>
        </w:rPr>
        <w:t>质询</w:t>
      </w:r>
      <w:r>
        <w:rPr>
          <w:rFonts w:hint="eastAsia"/>
          <w:sz w:val="24"/>
        </w:rPr>
        <w:t>）</w:t>
      </w:r>
      <w:r>
        <w:rPr>
          <w:sz w:val="24"/>
        </w:rPr>
        <w:t>、服务工作。</w:t>
      </w:r>
    </w:p>
    <w:p w14:paraId="079DE191" w14:textId="77777777" w:rsidR="00EB6E50" w:rsidRDefault="00000000">
      <w:pPr>
        <w:spacing w:line="360" w:lineRule="auto"/>
        <w:ind w:firstLineChars="200" w:firstLine="480"/>
        <w:rPr>
          <w:sz w:val="24"/>
        </w:rPr>
      </w:pPr>
      <w:r>
        <w:rPr>
          <w:sz w:val="24"/>
        </w:rPr>
        <w:t>第五条</w:t>
      </w:r>
      <w:r>
        <w:rPr>
          <w:rFonts w:hint="eastAsia"/>
          <w:sz w:val="24"/>
        </w:rPr>
        <w:t xml:space="preserve">  </w:t>
      </w:r>
      <w:r>
        <w:rPr>
          <w:sz w:val="24"/>
        </w:rPr>
        <w:t>证券部具体负责公司内幕信息的监管及信息披露工作</w:t>
      </w:r>
      <w:r>
        <w:rPr>
          <w:rFonts w:hint="eastAsia"/>
          <w:sz w:val="24"/>
        </w:rPr>
        <w:t>，</w:t>
      </w:r>
      <w:r>
        <w:rPr>
          <w:sz w:val="24"/>
        </w:rPr>
        <w:t>是公司唯一的信息披露机构。未经董事会批准同意</w:t>
      </w:r>
      <w:r>
        <w:rPr>
          <w:rFonts w:hint="eastAsia"/>
          <w:sz w:val="24"/>
        </w:rPr>
        <w:t>，</w:t>
      </w:r>
      <w:r>
        <w:rPr>
          <w:sz w:val="24"/>
        </w:rPr>
        <w:t>公司任何部门和个人不得向外界泄露、报道、传送有关涉及公司内幕信息及信息披露内容。对外报道、传送的文件、软</w:t>
      </w:r>
      <w:r>
        <w:rPr>
          <w:rFonts w:hint="eastAsia"/>
          <w:sz w:val="24"/>
        </w:rPr>
        <w:lastRenderedPageBreak/>
        <w:t>（</w:t>
      </w:r>
      <w:r>
        <w:rPr>
          <w:sz w:val="24"/>
        </w:rPr>
        <w:t>磁</w:t>
      </w:r>
      <w:r>
        <w:rPr>
          <w:rFonts w:hint="eastAsia"/>
          <w:sz w:val="24"/>
        </w:rPr>
        <w:t>）</w:t>
      </w:r>
      <w:r>
        <w:rPr>
          <w:sz w:val="24"/>
        </w:rPr>
        <w:t>盘、录音</w:t>
      </w:r>
      <w:r>
        <w:rPr>
          <w:rFonts w:hint="eastAsia"/>
          <w:sz w:val="24"/>
        </w:rPr>
        <w:t>（</w:t>
      </w:r>
      <w:r>
        <w:rPr>
          <w:sz w:val="24"/>
        </w:rPr>
        <w:t>像</w:t>
      </w:r>
      <w:r>
        <w:rPr>
          <w:rFonts w:hint="eastAsia"/>
          <w:sz w:val="24"/>
        </w:rPr>
        <w:t>）</w:t>
      </w:r>
      <w:r>
        <w:rPr>
          <w:sz w:val="24"/>
        </w:rPr>
        <w:t>带、光盘等涉及内幕信息及信息披露的内容的资料，须经董事会秘书审核同意，方可对外报道、传送。</w:t>
      </w:r>
    </w:p>
    <w:p w14:paraId="4EE31E90" w14:textId="77777777" w:rsidR="00EB6E50" w:rsidRDefault="00000000">
      <w:pPr>
        <w:spacing w:line="360" w:lineRule="auto"/>
        <w:ind w:firstLineChars="200" w:firstLine="480"/>
        <w:rPr>
          <w:sz w:val="24"/>
        </w:rPr>
      </w:pPr>
      <w:r>
        <w:rPr>
          <w:sz w:val="24"/>
        </w:rPr>
        <w:t>第六条</w:t>
      </w:r>
      <w:r>
        <w:rPr>
          <w:rFonts w:hint="eastAsia"/>
          <w:sz w:val="24"/>
        </w:rPr>
        <w:t xml:space="preserve">  </w:t>
      </w:r>
      <w:r>
        <w:rPr>
          <w:sz w:val="24"/>
        </w:rPr>
        <w:t>公司董事、高级管理人员及公司下属各部门、分公司、控股子公司及公司能够对其实施重大影响的参股公司都应按本制度做好内幕信息的管理工作。其中，公司下属各部门、分公司、控股子公司</w:t>
      </w:r>
      <w:r>
        <w:rPr>
          <w:rFonts w:hint="eastAsia"/>
          <w:sz w:val="24"/>
        </w:rPr>
        <w:t>及公司能够对其实施重大影响的参股公司</w:t>
      </w:r>
      <w:r>
        <w:rPr>
          <w:sz w:val="24"/>
        </w:rPr>
        <w:t>的负责人为内幕信息管理的第一负责人，发生本部门（公司）重大事项时，</w:t>
      </w:r>
      <w:proofErr w:type="gramStart"/>
      <w:r>
        <w:rPr>
          <w:sz w:val="24"/>
        </w:rPr>
        <w:t>应第一时间</w:t>
      </w:r>
      <w:proofErr w:type="gramEnd"/>
      <w:r>
        <w:rPr>
          <w:sz w:val="24"/>
        </w:rPr>
        <w:t>通知公司董事</w:t>
      </w:r>
      <w:r>
        <w:rPr>
          <w:rFonts w:hint="eastAsia"/>
          <w:sz w:val="24"/>
        </w:rPr>
        <w:t>会</w:t>
      </w:r>
      <w:r>
        <w:rPr>
          <w:sz w:val="24"/>
        </w:rPr>
        <w:t>秘书，并按照本</w:t>
      </w:r>
      <w:r>
        <w:rPr>
          <w:rFonts w:hint="eastAsia"/>
          <w:sz w:val="24"/>
        </w:rPr>
        <w:t>制度</w:t>
      </w:r>
      <w:r>
        <w:rPr>
          <w:sz w:val="24"/>
        </w:rPr>
        <w:t>填写内幕信息知情人档案。</w:t>
      </w:r>
    </w:p>
    <w:p w14:paraId="7A185E90" w14:textId="77777777" w:rsidR="00EB6E50" w:rsidRDefault="00000000">
      <w:pPr>
        <w:spacing w:line="360" w:lineRule="auto"/>
        <w:ind w:firstLineChars="200" w:firstLine="480"/>
        <w:rPr>
          <w:sz w:val="24"/>
        </w:rPr>
      </w:pPr>
      <w:r>
        <w:rPr>
          <w:sz w:val="24"/>
        </w:rPr>
        <w:t>第七条</w:t>
      </w:r>
      <w:r>
        <w:rPr>
          <w:rFonts w:hint="eastAsia"/>
          <w:sz w:val="24"/>
        </w:rPr>
        <w:t xml:space="preserve">  </w:t>
      </w:r>
      <w:r>
        <w:rPr>
          <w:sz w:val="24"/>
        </w:rPr>
        <w:t>公司董事、高级管理人员及</w:t>
      </w:r>
      <w:r>
        <w:rPr>
          <w:rFonts w:hint="eastAsia"/>
          <w:sz w:val="24"/>
        </w:rPr>
        <w:t>其他</w:t>
      </w:r>
      <w:r>
        <w:rPr>
          <w:sz w:val="24"/>
        </w:rPr>
        <w:t>内幕信息知情人</w:t>
      </w:r>
      <w:r>
        <w:rPr>
          <w:rFonts w:hint="eastAsia"/>
          <w:sz w:val="24"/>
        </w:rPr>
        <w:t>负有保密义务，在内幕信息依法披露前，不得透露、泄露公司内幕信息，不得利用内幕信息买卖或者建议他人买卖公司股票及其衍生品种，不得在投资价值分析报告、研究报告等文件中使用内幕信息。</w:t>
      </w:r>
    </w:p>
    <w:p w14:paraId="13F0BBDE" w14:textId="77777777" w:rsidR="00EB6E50" w:rsidRDefault="00EB6E50">
      <w:pPr>
        <w:spacing w:line="360" w:lineRule="auto"/>
        <w:ind w:firstLineChars="200" w:firstLine="480"/>
        <w:rPr>
          <w:sz w:val="24"/>
        </w:rPr>
      </w:pPr>
    </w:p>
    <w:p w14:paraId="1563E960" w14:textId="77777777" w:rsidR="00EB6E50" w:rsidRDefault="00000000">
      <w:pPr>
        <w:spacing w:line="360" w:lineRule="auto"/>
        <w:jc w:val="center"/>
        <w:rPr>
          <w:sz w:val="24"/>
        </w:rPr>
      </w:pPr>
      <w:r>
        <w:rPr>
          <w:b/>
          <w:bCs/>
          <w:sz w:val="24"/>
        </w:rPr>
        <w:t>第二章</w:t>
      </w:r>
      <w:r>
        <w:rPr>
          <w:b/>
          <w:bCs/>
          <w:sz w:val="24"/>
        </w:rPr>
        <w:t xml:space="preserve"> </w:t>
      </w:r>
      <w:r>
        <w:rPr>
          <w:b/>
          <w:bCs/>
          <w:sz w:val="24"/>
        </w:rPr>
        <w:t>内幕信息及范围</w:t>
      </w:r>
    </w:p>
    <w:p w14:paraId="34FCC46B" w14:textId="77777777" w:rsidR="00EB6E50" w:rsidRDefault="00EB6E50">
      <w:pPr>
        <w:spacing w:line="360" w:lineRule="auto"/>
        <w:rPr>
          <w:sz w:val="24"/>
        </w:rPr>
      </w:pPr>
    </w:p>
    <w:p w14:paraId="60080DB8" w14:textId="77777777" w:rsidR="00EB6E50" w:rsidRDefault="00000000">
      <w:pPr>
        <w:spacing w:line="360" w:lineRule="auto"/>
        <w:ind w:firstLineChars="200" w:firstLine="480"/>
        <w:rPr>
          <w:sz w:val="24"/>
        </w:rPr>
      </w:pPr>
      <w:r>
        <w:rPr>
          <w:sz w:val="24"/>
        </w:rPr>
        <w:t>第</w:t>
      </w:r>
      <w:r>
        <w:rPr>
          <w:rFonts w:hint="eastAsia"/>
          <w:sz w:val="24"/>
        </w:rPr>
        <w:t>八</w:t>
      </w:r>
      <w:r>
        <w:rPr>
          <w:sz w:val="24"/>
        </w:rPr>
        <w:t>条</w:t>
      </w:r>
      <w:r>
        <w:rPr>
          <w:rFonts w:hint="eastAsia"/>
          <w:sz w:val="24"/>
        </w:rPr>
        <w:t xml:space="preserve">  </w:t>
      </w:r>
      <w:r>
        <w:rPr>
          <w:sz w:val="24"/>
        </w:rPr>
        <w:t>本制度所指内幕信息是</w:t>
      </w:r>
      <w:r>
        <w:rPr>
          <w:rFonts w:hint="eastAsia"/>
          <w:sz w:val="24"/>
        </w:rPr>
        <w:t>根据《证券法》和《管理办法》规定，</w:t>
      </w:r>
      <w:r>
        <w:rPr>
          <w:sz w:val="24"/>
        </w:rPr>
        <w:t>涉及公司的经营、财务或者对公司证券及其衍生品种交易价格有重大影响的尚未公开的信息。尚未公开是指公司尚未在中国证券监督管理委员会</w:t>
      </w:r>
      <w:r>
        <w:rPr>
          <w:rFonts w:hint="eastAsia"/>
          <w:sz w:val="24"/>
        </w:rPr>
        <w:t>（</w:t>
      </w:r>
      <w:r>
        <w:rPr>
          <w:sz w:val="24"/>
        </w:rPr>
        <w:t>以下简称</w:t>
      </w:r>
      <w:r>
        <w:rPr>
          <w:sz w:val="24"/>
        </w:rPr>
        <w:t>“</w:t>
      </w:r>
      <w:r>
        <w:rPr>
          <w:sz w:val="24"/>
        </w:rPr>
        <w:t>证监会</w:t>
      </w:r>
      <w:r>
        <w:rPr>
          <w:sz w:val="24"/>
        </w:rPr>
        <w:t>”</w:t>
      </w:r>
      <w:r>
        <w:rPr>
          <w:rFonts w:hint="eastAsia"/>
          <w:sz w:val="24"/>
        </w:rPr>
        <w:t>）</w:t>
      </w:r>
      <w:r>
        <w:rPr>
          <w:sz w:val="24"/>
        </w:rPr>
        <w:t>指定的上市公司信息披露媒体或网站上正式公开的事项。</w:t>
      </w:r>
    </w:p>
    <w:p w14:paraId="3003254F" w14:textId="77777777" w:rsidR="00EB6E50" w:rsidRDefault="00000000">
      <w:pPr>
        <w:spacing w:line="360" w:lineRule="auto"/>
        <w:ind w:firstLineChars="200" w:firstLine="480"/>
        <w:rPr>
          <w:sz w:val="24"/>
        </w:rPr>
      </w:pPr>
      <w:r>
        <w:rPr>
          <w:sz w:val="24"/>
        </w:rPr>
        <w:t>第九条</w:t>
      </w:r>
      <w:r>
        <w:rPr>
          <w:rFonts w:hint="eastAsia"/>
          <w:sz w:val="24"/>
        </w:rPr>
        <w:t xml:space="preserve">  </w:t>
      </w:r>
      <w:r>
        <w:rPr>
          <w:sz w:val="24"/>
        </w:rPr>
        <w:t>本制度所指内幕信息的范围包括但不限于</w:t>
      </w:r>
      <w:r>
        <w:rPr>
          <w:rFonts w:hint="eastAsia"/>
          <w:sz w:val="24"/>
        </w:rPr>
        <w:t>：</w:t>
      </w:r>
    </w:p>
    <w:p w14:paraId="03BB1CE6" w14:textId="77777777" w:rsidR="00EB6E50" w:rsidRDefault="00000000">
      <w:pPr>
        <w:spacing w:line="360" w:lineRule="auto"/>
        <w:ind w:firstLineChars="200" w:firstLine="480"/>
        <w:rPr>
          <w:sz w:val="24"/>
        </w:rPr>
      </w:pPr>
      <w:r>
        <w:rPr>
          <w:rFonts w:hint="eastAsia"/>
          <w:sz w:val="24"/>
        </w:rPr>
        <w:t>（一）公司的经营方针和经营范围的重大变化；</w:t>
      </w:r>
    </w:p>
    <w:p w14:paraId="3C5044D3" w14:textId="77777777" w:rsidR="00EB6E50" w:rsidRDefault="00000000">
      <w:pPr>
        <w:spacing w:line="360" w:lineRule="auto"/>
        <w:ind w:firstLineChars="200" w:firstLine="480"/>
        <w:rPr>
          <w:sz w:val="24"/>
        </w:rPr>
      </w:pPr>
      <w:r>
        <w:rPr>
          <w:rFonts w:hint="eastAsia"/>
          <w:sz w:val="24"/>
        </w:rPr>
        <w:t>（二）公司的重大投资行为，公司在一年内购买、出售重大资产超过公司资产总额百分之三十，或者公司营业用主要资产的抵押、质押、出售或者报废一次超过该资产的百分之三十；</w:t>
      </w:r>
    </w:p>
    <w:p w14:paraId="6E6D1F00" w14:textId="77777777" w:rsidR="00EB6E50" w:rsidRDefault="00000000">
      <w:pPr>
        <w:spacing w:line="360" w:lineRule="auto"/>
        <w:ind w:firstLineChars="200" w:firstLine="480"/>
        <w:rPr>
          <w:sz w:val="24"/>
        </w:rPr>
      </w:pPr>
      <w:r>
        <w:rPr>
          <w:rFonts w:hint="eastAsia"/>
          <w:sz w:val="24"/>
        </w:rPr>
        <w:t>（三）公司订立重要合同，可能对公司的资产、负债、权益和经营成果产生重要影响；</w:t>
      </w:r>
    </w:p>
    <w:p w14:paraId="6B4B46B9" w14:textId="77777777" w:rsidR="00EB6E50" w:rsidRDefault="00000000">
      <w:pPr>
        <w:spacing w:line="360" w:lineRule="auto"/>
        <w:ind w:firstLineChars="200" w:firstLine="480"/>
        <w:rPr>
          <w:sz w:val="24"/>
        </w:rPr>
      </w:pPr>
      <w:r>
        <w:rPr>
          <w:rFonts w:hint="eastAsia"/>
          <w:sz w:val="24"/>
        </w:rPr>
        <w:t>（四）公司发生重大债务和未能清偿到期重大债务的违约情况；</w:t>
      </w:r>
    </w:p>
    <w:p w14:paraId="41E50DA2" w14:textId="77777777" w:rsidR="00EB6E50" w:rsidRDefault="00000000">
      <w:pPr>
        <w:spacing w:line="360" w:lineRule="auto"/>
        <w:ind w:firstLineChars="200" w:firstLine="480"/>
        <w:rPr>
          <w:sz w:val="24"/>
        </w:rPr>
      </w:pPr>
      <w:r>
        <w:rPr>
          <w:rFonts w:hint="eastAsia"/>
          <w:sz w:val="24"/>
        </w:rPr>
        <w:t>（五）公司发生重大亏损或者重大损失；</w:t>
      </w:r>
    </w:p>
    <w:p w14:paraId="0B48E562" w14:textId="77777777" w:rsidR="00EB6E50" w:rsidRDefault="00000000">
      <w:pPr>
        <w:spacing w:line="360" w:lineRule="auto"/>
        <w:ind w:firstLineChars="200" w:firstLine="480"/>
        <w:rPr>
          <w:sz w:val="24"/>
        </w:rPr>
      </w:pPr>
      <w:r>
        <w:rPr>
          <w:rFonts w:hint="eastAsia"/>
          <w:sz w:val="24"/>
        </w:rPr>
        <w:t>（六）公司生产经营的外部条件发生的重大变化；</w:t>
      </w:r>
    </w:p>
    <w:p w14:paraId="069498CD" w14:textId="77777777" w:rsidR="00EB6E50" w:rsidRDefault="00000000">
      <w:pPr>
        <w:spacing w:line="360" w:lineRule="auto"/>
        <w:ind w:firstLineChars="200" w:firstLine="480"/>
        <w:rPr>
          <w:sz w:val="24"/>
        </w:rPr>
      </w:pPr>
      <w:r>
        <w:rPr>
          <w:rFonts w:hint="eastAsia"/>
          <w:sz w:val="24"/>
        </w:rPr>
        <w:t>（七）公司的董事或者经理发生变动；董事长或者经理无法履行职责；</w:t>
      </w:r>
    </w:p>
    <w:p w14:paraId="0DB6ACCB" w14:textId="77777777" w:rsidR="00EB6E50" w:rsidRDefault="00000000">
      <w:pPr>
        <w:spacing w:line="360" w:lineRule="auto"/>
        <w:ind w:firstLineChars="200" w:firstLine="480"/>
        <w:rPr>
          <w:sz w:val="24"/>
        </w:rPr>
      </w:pPr>
      <w:r>
        <w:rPr>
          <w:rFonts w:hint="eastAsia"/>
          <w:sz w:val="24"/>
        </w:rPr>
        <w:lastRenderedPageBreak/>
        <w:t>（八）持有公司百分之五以上股份的股东或者实际控制人持有股份或者控制公司的情况发生较大变化，公司的实际控制人及其控制的其他企业从事与公司相同或者</w:t>
      </w:r>
      <w:proofErr w:type="gramStart"/>
      <w:r>
        <w:rPr>
          <w:rFonts w:hint="eastAsia"/>
          <w:sz w:val="24"/>
        </w:rPr>
        <w:t>相似业务</w:t>
      </w:r>
      <w:proofErr w:type="gramEnd"/>
      <w:r>
        <w:rPr>
          <w:rFonts w:hint="eastAsia"/>
          <w:sz w:val="24"/>
        </w:rPr>
        <w:t>的情况发生较大变化；</w:t>
      </w:r>
    </w:p>
    <w:p w14:paraId="340FA3B1" w14:textId="77777777" w:rsidR="00EB6E50" w:rsidRDefault="00000000">
      <w:pPr>
        <w:spacing w:line="360" w:lineRule="auto"/>
        <w:ind w:firstLineChars="200" w:firstLine="480"/>
        <w:rPr>
          <w:sz w:val="24"/>
        </w:rPr>
      </w:pPr>
      <w:r>
        <w:rPr>
          <w:rFonts w:hint="eastAsia"/>
          <w:sz w:val="24"/>
        </w:rPr>
        <w:t>（九）公司分配股利、增资的计划，公司股权结构的重要变化，公司减资、合并、分立、解散及申请破产的决定，或者依法进入破产程序、被责令关闭；</w:t>
      </w:r>
    </w:p>
    <w:p w14:paraId="57077CC4" w14:textId="77777777" w:rsidR="00EB6E50" w:rsidRDefault="00000000">
      <w:pPr>
        <w:spacing w:line="360" w:lineRule="auto"/>
        <w:ind w:firstLineChars="200" w:firstLine="480"/>
        <w:rPr>
          <w:sz w:val="24"/>
        </w:rPr>
      </w:pPr>
      <w:r>
        <w:rPr>
          <w:rFonts w:hint="eastAsia"/>
          <w:sz w:val="24"/>
        </w:rPr>
        <w:t>（十）涉及公司的重大诉讼、仲裁，股东会、董事会决议被依法撤销或者宣告无效；</w:t>
      </w:r>
    </w:p>
    <w:p w14:paraId="554A3F46" w14:textId="77777777" w:rsidR="00EB6E50" w:rsidRDefault="00000000">
      <w:pPr>
        <w:spacing w:line="360" w:lineRule="auto"/>
        <w:ind w:firstLineChars="200" w:firstLine="480"/>
        <w:rPr>
          <w:sz w:val="24"/>
        </w:rPr>
      </w:pPr>
      <w:r>
        <w:rPr>
          <w:rFonts w:hint="eastAsia"/>
          <w:sz w:val="24"/>
        </w:rPr>
        <w:t>（十一）公司涉嫌犯罪被依法立案调查，公司的控股股东、实际控制人、董事、高级管理人员涉嫌犯罪被依法采取强制措施；</w:t>
      </w:r>
    </w:p>
    <w:p w14:paraId="1C6A32A1" w14:textId="77777777" w:rsidR="00EB6E50" w:rsidRDefault="00000000">
      <w:pPr>
        <w:spacing w:line="360" w:lineRule="auto"/>
        <w:ind w:firstLineChars="200" w:firstLine="480"/>
        <w:rPr>
          <w:sz w:val="24"/>
        </w:rPr>
      </w:pPr>
      <w:r>
        <w:rPr>
          <w:rFonts w:hint="eastAsia"/>
          <w:sz w:val="24"/>
        </w:rPr>
        <w:t>（十二）公司发生大额赔偿责任、计提大额资产减值准备或出现股东权益为负值；</w:t>
      </w:r>
    </w:p>
    <w:p w14:paraId="312507EE" w14:textId="77777777" w:rsidR="00EB6E50" w:rsidRDefault="00000000">
      <w:pPr>
        <w:spacing w:line="360" w:lineRule="auto"/>
        <w:ind w:firstLineChars="200" w:firstLine="480"/>
        <w:rPr>
          <w:sz w:val="24"/>
        </w:rPr>
      </w:pPr>
      <w:r>
        <w:rPr>
          <w:rFonts w:hint="eastAsia"/>
          <w:sz w:val="24"/>
        </w:rPr>
        <w:t>（十三）公司主要债务人出现资不抵债或者进入破产程序，公司对相应债权未提取足额坏账准备；</w:t>
      </w:r>
    </w:p>
    <w:p w14:paraId="74AE0D33" w14:textId="77777777" w:rsidR="00EB6E50" w:rsidRDefault="00000000">
      <w:pPr>
        <w:spacing w:line="360" w:lineRule="auto"/>
        <w:ind w:firstLineChars="200" w:firstLine="480"/>
        <w:rPr>
          <w:sz w:val="24"/>
        </w:rPr>
      </w:pPr>
      <w:r>
        <w:rPr>
          <w:rFonts w:hint="eastAsia"/>
          <w:sz w:val="24"/>
        </w:rPr>
        <w:t>（十四）新公布的法律、行政法规、规章、行业政策可能对公司产生重大影响；</w:t>
      </w:r>
    </w:p>
    <w:p w14:paraId="543D5244" w14:textId="77777777" w:rsidR="00EB6E50" w:rsidRDefault="00000000">
      <w:pPr>
        <w:spacing w:line="360" w:lineRule="auto"/>
        <w:ind w:firstLineChars="200" w:firstLine="480"/>
        <w:rPr>
          <w:sz w:val="24"/>
        </w:rPr>
      </w:pPr>
      <w:r>
        <w:rPr>
          <w:rFonts w:hint="eastAsia"/>
          <w:sz w:val="24"/>
        </w:rPr>
        <w:t>（十五）公司开展股权激励、回购股份、重大资产重组、资产分拆上市或者挂牌；</w:t>
      </w:r>
    </w:p>
    <w:p w14:paraId="4F89D48B" w14:textId="77777777" w:rsidR="00EB6E50" w:rsidRDefault="00000000">
      <w:pPr>
        <w:spacing w:line="360" w:lineRule="auto"/>
        <w:ind w:firstLineChars="200" w:firstLine="480"/>
        <w:rPr>
          <w:sz w:val="24"/>
        </w:rPr>
      </w:pPr>
      <w:r>
        <w:rPr>
          <w:rFonts w:hint="eastAsia"/>
          <w:sz w:val="24"/>
        </w:rPr>
        <w:t>（十六）法院裁决禁止控股股东转让其所持股份；任一股东所持公司百分之五以上股份被质押、冻结、司法拍卖、托管、设定信托或者被依法限制表决权等，或者出现被强制过户风险；</w:t>
      </w:r>
    </w:p>
    <w:p w14:paraId="75ABAA2A" w14:textId="77777777" w:rsidR="00EB6E50" w:rsidRDefault="00000000">
      <w:pPr>
        <w:spacing w:line="360" w:lineRule="auto"/>
        <w:ind w:firstLineChars="200" w:firstLine="480"/>
        <w:rPr>
          <w:sz w:val="24"/>
        </w:rPr>
      </w:pPr>
      <w:r>
        <w:rPr>
          <w:rFonts w:hint="eastAsia"/>
          <w:sz w:val="24"/>
        </w:rPr>
        <w:t>（十七）主要资产被查封、扣押或者冻结；主要银行账户被冻结；</w:t>
      </w:r>
    </w:p>
    <w:p w14:paraId="55AC0D02" w14:textId="77777777" w:rsidR="00EB6E50" w:rsidRDefault="00000000">
      <w:pPr>
        <w:spacing w:line="360" w:lineRule="auto"/>
        <w:ind w:firstLineChars="200" w:firstLine="480"/>
        <w:rPr>
          <w:sz w:val="24"/>
        </w:rPr>
      </w:pPr>
      <w:r>
        <w:rPr>
          <w:rFonts w:hint="eastAsia"/>
          <w:sz w:val="24"/>
        </w:rPr>
        <w:t>（十八）主要或者全部业务陷入停顿；</w:t>
      </w:r>
    </w:p>
    <w:p w14:paraId="447BFA64" w14:textId="77777777" w:rsidR="00EB6E50" w:rsidRDefault="00000000">
      <w:pPr>
        <w:spacing w:line="360" w:lineRule="auto"/>
        <w:ind w:firstLineChars="200" w:firstLine="480"/>
        <w:rPr>
          <w:sz w:val="24"/>
        </w:rPr>
      </w:pPr>
      <w:r>
        <w:rPr>
          <w:rFonts w:hint="eastAsia"/>
          <w:sz w:val="24"/>
        </w:rPr>
        <w:t>（十九）获得对当期损益产生重大影响的额外收益，可能对公司的资产、负债、权益或者经营成果产生重要影响；</w:t>
      </w:r>
    </w:p>
    <w:p w14:paraId="6341A10C" w14:textId="77777777" w:rsidR="00EB6E50" w:rsidRDefault="00000000">
      <w:pPr>
        <w:spacing w:line="360" w:lineRule="auto"/>
        <w:ind w:firstLineChars="200" w:firstLine="480"/>
        <w:rPr>
          <w:sz w:val="24"/>
        </w:rPr>
      </w:pPr>
      <w:r>
        <w:rPr>
          <w:rFonts w:hint="eastAsia"/>
          <w:sz w:val="24"/>
        </w:rPr>
        <w:t>（二十）因前期已披露的信息存在差错、未按规定披露或者虚假记载，被有关机关责令改正或者经董事会决定进行更正；</w:t>
      </w:r>
    </w:p>
    <w:p w14:paraId="67CC3794" w14:textId="77777777" w:rsidR="00EB6E50" w:rsidRDefault="00000000">
      <w:pPr>
        <w:spacing w:line="360" w:lineRule="auto"/>
        <w:ind w:firstLineChars="200" w:firstLine="480"/>
        <w:rPr>
          <w:sz w:val="24"/>
        </w:rPr>
      </w:pPr>
      <w:r>
        <w:rPr>
          <w:rFonts w:hint="eastAsia"/>
          <w:sz w:val="24"/>
        </w:rPr>
        <w:t>（二十一）聘任或者解聘为公司审计的会计师事务所；</w:t>
      </w:r>
    </w:p>
    <w:p w14:paraId="207D0A06" w14:textId="77777777" w:rsidR="00EB6E50" w:rsidRDefault="00000000">
      <w:pPr>
        <w:spacing w:line="360" w:lineRule="auto"/>
        <w:ind w:firstLineChars="200" w:firstLine="480"/>
        <w:rPr>
          <w:sz w:val="24"/>
        </w:rPr>
      </w:pPr>
      <w:r>
        <w:rPr>
          <w:rFonts w:hint="eastAsia"/>
          <w:sz w:val="24"/>
        </w:rPr>
        <w:t>（二十二）会计政策、会计估计重大自主变更；</w:t>
      </w:r>
    </w:p>
    <w:p w14:paraId="77F6592D" w14:textId="77777777" w:rsidR="00EB6E50" w:rsidRDefault="00000000">
      <w:pPr>
        <w:spacing w:line="360" w:lineRule="auto"/>
        <w:ind w:firstLineChars="200" w:firstLine="480"/>
        <w:rPr>
          <w:sz w:val="24"/>
        </w:rPr>
      </w:pPr>
      <w:r>
        <w:rPr>
          <w:rFonts w:hint="eastAsia"/>
          <w:sz w:val="24"/>
        </w:rPr>
        <w:t>（二十三）因前期已披露的信息存在差错、未按规定披露或者虚假记载，被</w:t>
      </w:r>
      <w:r>
        <w:rPr>
          <w:rFonts w:hint="eastAsia"/>
          <w:sz w:val="24"/>
        </w:rPr>
        <w:lastRenderedPageBreak/>
        <w:t>有关机关责令改正或者经董事会决定进行更正；</w:t>
      </w:r>
    </w:p>
    <w:p w14:paraId="40C7FAC0" w14:textId="77777777" w:rsidR="00EB6E50" w:rsidRDefault="00000000">
      <w:pPr>
        <w:spacing w:line="360" w:lineRule="auto"/>
        <w:ind w:firstLineChars="200" w:firstLine="480"/>
        <w:rPr>
          <w:sz w:val="24"/>
        </w:rPr>
      </w:pPr>
      <w:r>
        <w:rPr>
          <w:rFonts w:hint="eastAsia"/>
          <w:sz w:val="24"/>
        </w:rPr>
        <w:t>（二十四）公司或者其控股股东、实际控制人、董事、高级管理人员受到刑事处罚，涉嫌违法违规被中国证监会立案调查或者受到中国证监会行政处罚，或者受到其他有权机关重大行政处罚；</w:t>
      </w:r>
    </w:p>
    <w:p w14:paraId="52EB64B3" w14:textId="77777777" w:rsidR="00EB6E50" w:rsidRDefault="00000000">
      <w:pPr>
        <w:spacing w:line="360" w:lineRule="auto"/>
        <w:ind w:firstLineChars="200" w:firstLine="480"/>
        <w:rPr>
          <w:sz w:val="24"/>
        </w:rPr>
      </w:pPr>
      <w:r>
        <w:rPr>
          <w:rFonts w:hint="eastAsia"/>
          <w:sz w:val="24"/>
        </w:rPr>
        <w:t>（二十五）公司的控股股东、实际控制人、董事、高级管理人员涉嫌严重违纪违法或者职务犯罪被纪检监察机关采取留置措施且影响其履行职责；</w:t>
      </w:r>
    </w:p>
    <w:p w14:paraId="2B8315C6" w14:textId="77777777" w:rsidR="00EB6E50" w:rsidRDefault="00000000">
      <w:pPr>
        <w:spacing w:line="360" w:lineRule="auto"/>
        <w:ind w:firstLineChars="200" w:firstLine="480"/>
        <w:rPr>
          <w:sz w:val="24"/>
        </w:rPr>
      </w:pPr>
      <w:r>
        <w:rPr>
          <w:rFonts w:hint="eastAsia"/>
          <w:sz w:val="24"/>
        </w:rPr>
        <w:t>（二十六）除董事长或者经理外的公司其他董事、高级管理人员因身体、工作安排等原因无法正常履行职责达到或者预计达到三个月以上，或者因涉嫌违法违规被有权机关采取强制措施且影响其履行职责；</w:t>
      </w:r>
    </w:p>
    <w:p w14:paraId="5EE7123D" w14:textId="77777777" w:rsidR="00EB6E50" w:rsidRDefault="00000000">
      <w:pPr>
        <w:spacing w:line="360" w:lineRule="auto"/>
        <w:ind w:firstLineChars="200" w:firstLine="480"/>
        <w:rPr>
          <w:sz w:val="24"/>
        </w:rPr>
      </w:pPr>
      <w:r>
        <w:rPr>
          <w:rFonts w:hint="eastAsia"/>
          <w:sz w:val="24"/>
        </w:rPr>
        <w:t>（二十七）中国证监会规定的其他事项。</w:t>
      </w:r>
    </w:p>
    <w:p w14:paraId="61B388AC" w14:textId="77777777" w:rsidR="00EB6E50" w:rsidRDefault="00EB6E50">
      <w:pPr>
        <w:spacing w:line="360" w:lineRule="auto"/>
        <w:ind w:firstLineChars="200" w:firstLine="480"/>
        <w:rPr>
          <w:sz w:val="24"/>
        </w:rPr>
      </w:pPr>
    </w:p>
    <w:p w14:paraId="3F8F1882" w14:textId="77777777" w:rsidR="00EB6E50" w:rsidRDefault="00000000">
      <w:pPr>
        <w:spacing w:line="360" w:lineRule="auto"/>
        <w:jc w:val="center"/>
        <w:rPr>
          <w:b/>
          <w:bCs/>
          <w:sz w:val="24"/>
        </w:rPr>
      </w:pPr>
      <w:r>
        <w:rPr>
          <w:b/>
          <w:bCs/>
          <w:sz w:val="24"/>
        </w:rPr>
        <w:t>第三章</w:t>
      </w:r>
      <w:r>
        <w:rPr>
          <w:b/>
          <w:bCs/>
          <w:sz w:val="24"/>
        </w:rPr>
        <w:t xml:space="preserve"> </w:t>
      </w:r>
      <w:r>
        <w:rPr>
          <w:b/>
          <w:bCs/>
          <w:sz w:val="24"/>
        </w:rPr>
        <w:t>内幕信息知情人及范围</w:t>
      </w:r>
    </w:p>
    <w:p w14:paraId="6FAC0DE3" w14:textId="77777777" w:rsidR="00EB6E50" w:rsidRDefault="00EB6E50">
      <w:pPr>
        <w:spacing w:line="360" w:lineRule="auto"/>
        <w:jc w:val="center"/>
        <w:rPr>
          <w:sz w:val="24"/>
        </w:rPr>
      </w:pPr>
    </w:p>
    <w:p w14:paraId="369DB56D" w14:textId="77777777" w:rsidR="00EB6E50" w:rsidRDefault="00000000">
      <w:pPr>
        <w:spacing w:line="360" w:lineRule="auto"/>
        <w:ind w:firstLineChars="200" w:firstLine="480"/>
        <w:rPr>
          <w:sz w:val="24"/>
        </w:rPr>
      </w:pPr>
      <w:r>
        <w:rPr>
          <w:sz w:val="24"/>
        </w:rPr>
        <w:t>第十条</w:t>
      </w:r>
      <w:r>
        <w:rPr>
          <w:rFonts w:hint="eastAsia"/>
          <w:sz w:val="24"/>
        </w:rPr>
        <w:t xml:space="preserve">  </w:t>
      </w:r>
      <w:r>
        <w:rPr>
          <w:sz w:val="24"/>
        </w:rPr>
        <w:t>本制度所指的内幕信息知情人是指公司内幕信息公开前</w:t>
      </w:r>
      <w:r>
        <w:rPr>
          <w:rFonts w:hint="eastAsia"/>
          <w:sz w:val="24"/>
        </w:rPr>
        <w:t>可以接触、</w:t>
      </w:r>
      <w:r>
        <w:rPr>
          <w:sz w:val="24"/>
        </w:rPr>
        <w:t>获取内幕信息的</w:t>
      </w:r>
      <w:r>
        <w:rPr>
          <w:rFonts w:hint="eastAsia"/>
          <w:sz w:val="24"/>
        </w:rPr>
        <w:t>公司内部和外部相关人员</w:t>
      </w:r>
      <w:r>
        <w:rPr>
          <w:sz w:val="24"/>
        </w:rPr>
        <w:t>，包括但不限于</w:t>
      </w:r>
      <w:r>
        <w:rPr>
          <w:rFonts w:hint="eastAsia"/>
          <w:sz w:val="24"/>
        </w:rPr>
        <w:t>：</w:t>
      </w:r>
    </w:p>
    <w:p w14:paraId="5B45E918" w14:textId="77777777" w:rsidR="00EB6E50" w:rsidRDefault="00000000">
      <w:pPr>
        <w:spacing w:line="360" w:lineRule="auto"/>
        <w:ind w:firstLineChars="200" w:firstLine="480"/>
        <w:rPr>
          <w:sz w:val="24"/>
        </w:rPr>
      </w:pPr>
      <w:r>
        <w:rPr>
          <w:rFonts w:hint="eastAsia"/>
          <w:sz w:val="24"/>
        </w:rPr>
        <w:t>（一）公司及其董事、高级管理人员；公司控股或者实际控制的企业及其董事、监事、高级管理人员；公司内部参与重大事项筹划、论证、决策等环节的人员；由于所任公司职务而知悉内幕信息的财务人员、内部审计人员、信息披露事务工作人员等；</w:t>
      </w:r>
    </w:p>
    <w:p w14:paraId="240C1709" w14:textId="77777777" w:rsidR="00EB6E50" w:rsidRDefault="00000000">
      <w:pPr>
        <w:spacing w:line="360" w:lineRule="auto"/>
        <w:ind w:firstLineChars="200" w:firstLine="480"/>
        <w:rPr>
          <w:sz w:val="24"/>
        </w:rPr>
      </w:pPr>
      <w:r>
        <w:rPr>
          <w:rFonts w:hint="eastAsia"/>
          <w:sz w:val="24"/>
        </w:rPr>
        <w:t>（二）持有公司百分之五以上股份的股东及其董事、监事、高级管理人员；公司控股股东、第一大股东、实际控制人及其董事、监事、高级管理人员；</w:t>
      </w:r>
    </w:p>
    <w:p w14:paraId="7EDC7B86" w14:textId="77777777" w:rsidR="00EB6E50" w:rsidRDefault="00000000">
      <w:pPr>
        <w:spacing w:line="360" w:lineRule="auto"/>
        <w:ind w:firstLineChars="200" w:firstLine="480"/>
        <w:rPr>
          <w:sz w:val="24"/>
        </w:rPr>
      </w:pPr>
      <w:r>
        <w:rPr>
          <w:rFonts w:hint="eastAsia"/>
          <w:sz w:val="24"/>
        </w:rPr>
        <w:t>（三）</w:t>
      </w:r>
      <w:r>
        <w:rPr>
          <w:sz w:val="24"/>
        </w:rPr>
        <w:t>由于所任公司职务或者因与公司业务往来可以获取公司有关内幕信息的人员；</w:t>
      </w:r>
    </w:p>
    <w:p w14:paraId="6B7BB9EA" w14:textId="77777777" w:rsidR="00EB6E50" w:rsidRDefault="00000000">
      <w:pPr>
        <w:spacing w:line="360" w:lineRule="auto"/>
        <w:ind w:firstLineChars="200" w:firstLine="480"/>
        <w:rPr>
          <w:sz w:val="24"/>
        </w:rPr>
      </w:pPr>
      <w:r>
        <w:rPr>
          <w:rFonts w:hint="eastAsia"/>
          <w:sz w:val="24"/>
        </w:rPr>
        <w:t>（四）相关事项的提案股东及其董事、监事、高级管理人员（如有）；</w:t>
      </w:r>
    </w:p>
    <w:p w14:paraId="04983821" w14:textId="77777777" w:rsidR="00EB6E50" w:rsidRDefault="00000000">
      <w:pPr>
        <w:spacing w:line="360" w:lineRule="auto"/>
        <w:ind w:firstLineChars="200" w:firstLine="480"/>
        <w:rPr>
          <w:sz w:val="24"/>
        </w:rPr>
      </w:pPr>
      <w:r>
        <w:rPr>
          <w:rFonts w:hint="eastAsia"/>
          <w:sz w:val="24"/>
        </w:rPr>
        <w:t>（五）公司收购人或者重大资产交易相关方及其控股股东、实际控制人、董事、监事、高级管理人员（如有）；</w:t>
      </w:r>
    </w:p>
    <w:p w14:paraId="5EADEFAD" w14:textId="77777777" w:rsidR="00EB6E50" w:rsidRDefault="00000000">
      <w:pPr>
        <w:spacing w:line="360" w:lineRule="auto"/>
        <w:ind w:firstLineChars="200" w:firstLine="480"/>
        <w:rPr>
          <w:sz w:val="24"/>
        </w:rPr>
      </w:pPr>
      <w:r>
        <w:rPr>
          <w:rFonts w:hint="eastAsia"/>
          <w:sz w:val="24"/>
        </w:rPr>
        <w:t>（六）因职务、工作可以获取内幕信息的证券交易场所、证券公司、证券登记结算机构、证券服务机构有关人员；</w:t>
      </w:r>
    </w:p>
    <w:p w14:paraId="51D0A7B3" w14:textId="77777777" w:rsidR="00EB6E50" w:rsidRDefault="00000000">
      <w:pPr>
        <w:spacing w:line="360" w:lineRule="auto"/>
        <w:ind w:firstLineChars="200" w:firstLine="480"/>
        <w:rPr>
          <w:sz w:val="24"/>
        </w:rPr>
      </w:pPr>
      <w:r>
        <w:rPr>
          <w:rFonts w:hint="eastAsia"/>
          <w:sz w:val="24"/>
        </w:rPr>
        <w:t>（七）因职责、工作可以获取内幕信息的证券监督管理机构工作人员；</w:t>
      </w:r>
    </w:p>
    <w:p w14:paraId="4CBE4E6D" w14:textId="77777777" w:rsidR="00EB6E50" w:rsidRDefault="00000000">
      <w:pPr>
        <w:spacing w:line="360" w:lineRule="auto"/>
        <w:ind w:firstLineChars="200" w:firstLine="480"/>
        <w:rPr>
          <w:sz w:val="24"/>
        </w:rPr>
      </w:pPr>
      <w:r>
        <w:rPr>
          <w:rFonts w:hint="eastAsia"/>
          <w:sz w:val="24"/>
        </w:rPr>
        <w:lastRenderedPageBreak/>
        <w:t>（八）因法定职责对证券的发行、交易或者对上市公司及其收购、重大资产交易进行管理可以获取内幕信息的有关主管部门、监管机构的工作人员；</w:t>
      </w:r>
    </w:p>
    <w:p w14:paraId="3BD3819E" w14:textId="77777777" w:rsidR="00EB6E50" w:rsidRDefault="00000000">
      <w:pPr>
        <w:spacing w:line="360" w:lineRule="auto"/>
        <w:ind w:firstLineChars="200" w:firstLine="480"/>
        <w:rPr>
          <w:sz w:val="24"/>
        </w:rPr>
      </w:pPr>
      <w:r>
        <w:rPr>
          <w:rFonts w:hint="eastAsia"/>
          <w:sz w:val="24"/>
        </w:rPr>
        <w:t>（九）依法从公司获取有关内幕信息的其他外部单位人员；参与重大事项筹划、论证、决策、审批等环节的其他外部单位人员；</w:t>
      </w:r>
    </w:p>
    <w:p w14:paraId="3C2051F5" w14:textId="77777777" w:rsidR="00EB6E50" w:rsidRDefault="00000000">
      <w:pPr>
        <w:spacing w:line="360" w:lineRule="auto"/>
        <w:ind w:firstLineChars="200" w:firstLine="480"/>
        <w:rPr>
          <w:sz w:val="24"/>
        </w:rPr>
      </w:pPr>
      <w:r>
        <w:rPr>
          <w:rFonts w:hint="eastAsia"/>
          <w:sz w:val="24"/>
        </w:rPr>
        <w:t>（十）由于与第（一）项至第（九</w:t>
      </w:r>
      <w:r>
        <w:rPr>
          <w:sz w:val="24"/>
        </w:rPr>
        <w:t>）</w:t>
      </w:r>
      <w:r>
        <w:rPr>
          <w:rFonts w:hint="eastAsia"/>
          <w:sz w:val="24"/>
        </w:rPr>
        <w:t>项所列相关人员存在亲属关系、业务往来关系等而知悉公司有关内幕信息的其他人员；</w:t>
      </w:r>
    </w:p>
    <w:p w14:paraId="3EF4E963" w14:textId="77777777" w:rsidR="00EB6E50" w:rsidRDefault="00000000">
      <w:pPr>
        <w:spacing w:line="360" w:lineRule="auto"/>
        <w:ind w:firstLineChars="200" w:firstLine="480"/>
        <w:rPr>
          <w:sz w:val="24"/>
        </w:rPr>
      </w:pPr>
      <w:r>
        <w:rPr>
          <w:rFonts w:hint="eastAsia"/>
          <w:sz w:val="24"/>
        </w:rPr>
        <w:t>（十一）证监会或深圳证券交易所（以下简称“深交所”）规定的可以获取内幕信息的其他人员。</w:t>
      </w:r>
    </w:p>
    <w:p w14:paraId="54AA5C72" w14:textId="77777777" w:rsidR="00EB6E50" w:rsidRDefault="00000000">
      <w:pPr>
        <w:spacing w:line="360" w:lineRule="auto"/>
        <w:ind w:firstLineChars="200" w:firstLine="480"/>
        <w:rPr>
          <w:sz w:val="24"/>
        </w:rPr>
      </w:pPr>
      <w:r>
        <w:rPr>
          <w:sz w:val="24"/>
        </w:rPr>
        <w:t>第十一条</w:t>
      </w:r>
      <w:r>
        <w:rPr>
          <w:rFonts w:hint="eastAsia"/>
          <w:sz w:val="24"/>
        </w:rPr>
        <w:t xml:space="preserve">  </w:t>
      </w:r>
      <w:r>
        <w:rPr>
          <w:sz w:val="24"/>
        </w:rPr>
        <w:t>内幕信息知情人在内幕信息公开前负有保密义务</w:t>
      </w:r>
      <w:r>
        <w:rPr>
          <w:rFonts w:hint="eastAsia"/>
          <w:sz w:val="24"/>
        </w:rPr>
        <w:t>。</w:t>
      </w:r>
    </w:p>
    <w:p w14:paraId="26A96752" w14:textId="77777777" w:rsidR="00EB6E50" w:rsidRDefault="00EB6E50">
      <w:pPr>
        <w:spacing w:line="360" w:lineRule="auto"/>
        <w:ind w:firstLineChars="200" w:firstLine="480"/>
        <w:rPr>
          <w:sz w:val="24"/>
        </w:rPr>
      </w:pPr>
    </w:p>
    <w:p w14:paraId="4BED6977" w14:textId="77777777" w:rsidR="00EB6E50" w:rsidRDefault="00000000">
      <w:pPr>
        <w:spacing w:line="360" w:lineRule="auto"/>
        <w:jc w:val="center"/>
        <w:rPr>
          <w:b/>
          <w:bCs/>
          <w:sz w:val="24"/>
        </w:rPr>
      </w:pPr>
      <w:r>
        <w:rPr>
          <w:b/>
          <w:bCs/>
          <w:sz w:val="24"/>
        </w:rPr>
        <w:t>第四章</w:t>
      </w:r>
      <w:r>
        <w:rPr>
          <w:b/>
          <w:bCs/>
          <w:sz w:val="24"/>
        </w:rPr>
        <w:t> </w:t>
      </w:r>
      <w:r>
        <w:rPr>
          <w:b/>
          <w:bCs/>
          <w:sz w:val="24"/>
        </w:rPr>
        <w:t>内幕信息登记备案制度</w:t>
      </w:r>
    </w:p>
    <w:p w14:paraId="6DF3C84E" w14:textId="77777777" w:rsidR="00EB6E50" w:rsidRDefault="00EB6E50">
      <w:pPr>
        <w:spacing w:line="360" w:lineRule="auto"/>
        <w:jc w:val="center"/>
        <w:rPr>
          <w:sz w:val="24"/>
        </w:rPr>
      </w:pPr>
    </w:p>
    <w:p w14:paraId="3C583C84" w14:textId="77777777" w:rsidR="00EB6E50" w:rsidRDefault="00000000">
      <w:pPr>
        <w:spacing w:line="360" w:lineRule="auto"/>
        <w:ind w:firstLineChars="200" w:firstLine="480"/>
        <w:rPr>
          <w:sz w:val="24"/>
        </w:rPr>
      </w:pPr>
      <w:r>
        <w:rPr>
          <w:rFonts w:hint="eastAsia"/>
          <w:sz w:val="24"/>
        </w:rPr>
        <w:t>第十二条</w:t>
      </w:r>
      <w:r>
        <w:rPr>
          <w:rFonts w:hint="eastAsia"/>
          <w:sz w:val="24"/>
        </w:rPr>
        <w:t xml:space="preserve"> </w:t>
      </w:r>
      <w:r>
        <w:rPr>
          <w:sz w:val="24"/>
        </w:rPr>
        <w:t>内幕信息知情人档案应当包括：</w:t>
      </w:r>
      <w:r>
        <w:rPr>
          <w:rFonts w:hint="eastAsia"/>
          <w:sz w:val="24"/>
        </w:rPr>
        <w:t>姓名或名称、国籍、证件类型、证件号码或统一社会信用代码、股东代码、联系手机、通讯地址、所属单位、与公司关系、职务、关系人、关系类型、知情日期、知情地点、知情方式、知情阶段、知情内容、登记人信息、登记时间等信息。</w:t>
      </w:r>
    </w:p>
    <w:p w14:paraId="20166840" w14:textId="77777777" w:rsidR="00EB6E50" w:rsidRDefault="00000000">
      <w:pPr>
        <w:spacing w:line="360" w:lineRule="auto"/>
        <w:ind w:firstLineChars="200" w:firstLine="480"/>
        <w:rPr>
          <w:sz w:val="24"/>
        </w:rPr>
      </w:pPr>
      <w:r>
        <w:rPr>
          <w:rFonts w:hint="eastAsia"/>
          <w:sz w:val="24"/>
        </w:rPr>
        <w:t>知情时间是指内幕信息知情人知悉或者应当知悉内幕信息的第一时间。知情方式包括但不限于会谈、电话、传真、书面报告、电子邮件等。知情阶段包括商议筹划，论证咨询，合同订立，公司内部的报告、传递、编制、决议等。</w:t>
      </w:r>
    </w:p>
    <w:p w14:paraId="16AA1FFE" w14:textId="77777777" w:rsidR="00EB6E50" w:rsidRDefault="00000000">
      <w:pPr>
        <w:spacing w:line="360" w:lineRule="auto"/>
        <w:ind w:firstLineChars="200" w:firstLine="480"/>
        <w:rPr>
          <w:sz w:val="24"/>
        </w:rPr>
      </w:pPr>
      <w:r>
        <w:rPr>
          <w:sz w:val="24"/>
        </w:rPr>
        <w:t>第十</w:t>
      </w:r>
      <w:r>
        <w:rPr>
          <w:rFonts w:hint="eastAsia"/>
          <w:sz w:val="24"/>
        </w:rPr>
        <w:t>三</w:t>
      </w:r>
      <w:r>
        <w:rPr>
          <w:sz w:val="24"/>
        </w:rPr>
        <w:t>条</w:t>
      </w:r>
      <w:r>
        <w:rPr>
          <w:rFonts w:hint="eastAsia"/>
          <w:sz w:val="24"/>
        </w:rPr>
        <w:t xml:space="preserve">  </w:t>
      </w:r>
      <w:r>
        <w:rPr>
          <w:sz w:val="24"/>
        </w:rPr>
        <w:t>公司</w:t>
      </w:r>
      <w:r>
        <w:rPr>
          <w:rFonts w:hint="eastAsia"/>
          <w:sz w:val="24"/>
        </w:rPr>
        <w:t>发生下列重大事项</w:t>
      </w:r>
      <w:r>
        <w:rPr>
          <w:sz w:val="24"/>
        </w:rPr>
        <w:t>的，</w:t>
      </w:r>
      <w:r>
        <w:rPr>
          <w:rFonts w:hint="eastAsia"/>
          <w:sz w:val="24"/>
        </w:rPr>
        <w:t>应当在内幕信息公开披露同时，将相关内幕信息知情人档案报送深交所：</w:t>
      </w:r>
    </w:p>
    <w:p w14:paraId="179A045B" w14:textId="77777777" w:rsidR="00EB6E50" w:rsidRDefault="00000000">
      <w:pPr>
        <w:spacing w:line="360" w:lineRule="auto"/>
        <w:ind w:firstLineChars="200" w:firstLine="480"/>
        <w:rPr>
          <w:sz w:val="24"/>
        </w:rPr>
      </w:pPr>
      <w:r>
        <w:rPr>
          <w:rFonts w:hint="eastAsia"/>
          <w:sz w:val="24"/>
        </w:rPr>
        <w:t>（一）要约收购；</w:t>
      </w:r>
    </w:p>
    <w:p w14:paraId="0AA5C990" w14:textId="77777777" w:rsidR="00EB6E50" w:rsidRDefault="00000000">
      <w:pPr>
        <w:spacing w:line="360" w:lineRule="auto"/>
        <w:ind w:firstLineChars="200" w:firstLine="480"/>
        <w:rPr>
          <w:sz w:val="24"/>
        </w:rPr>
      </w:pPr>
      <w:r>
        <w:rPr>
          <w:rFonts w:hint="eastAsia"/>
          <w:sz w:val="24"/>
        </w:rPr>
        <w:t>（二）重大资产重组；</w:t>
      </w:r>
    </w:p>
    <w:p w14:paraId="15325D20" w14:textId="77777777" w:rsidR="00EB6E50" w:rsidRDefault="00000000">
      <w:pPr>
        <w:spacing w:line="360" w:lineRule="auto"/>
        <w:ind w:firstLineChars="200" w:firstLine="480"/>
        <w:rPr>
          <w:sz w:val="24"/>
        </w:rPr>
      </w:pPr>
      <w:r>
        <w:rPr>
          <w:rFonts w:hint="eastAsia"/>
          <w:sz w:val="24"/>
        </w:rPr>
        <w:t>（三）证券发行；</w:t>
      </w:r>
    </w:p>
    <w:p w14:paraId="482B56DD" w14:textId="77777777" w:rsidR="00EB6E50" w:rsidRDefault="00000000">
      <w:pPr>
        <w:spacing w:line="360" w:lineRule="auto"/>
        <w:ind w:firstLineChars="200" w:firstLine="480"/>
        <w:rPr>
          <w:sz w:val="24"/>
        </w:rPr>
      </w:pPr>
      <w:r>
        <w:rPr>
          <w:rFonts w:hint="eastAsia"/>
          <w:sz w:val="24"/>
        </w:rPr>
        <w:t>（四）合并、分立、分拆上市；</w:t>
      </w:r>
    </w:p>
    <w:p w14:paraId="41B025A4" w14:textId="77777777" w:rsidR="00EB6E50" w:rsidRDefault="00000000">
      <w:pPr>
        <w:spacing w:line="360" w:lineRule="auto"/>
        <w:ind w:firstLineChars="200" w:firstLine="480"/>
        <w:rPr>
          <w:sz w:val="24"/>
        </w:rPr>
      </w:pPr>
      <w:r>
        <w:rPr>
          <w:rFonts w:hint="eastAsia"/>
          <w:sz w:val="24"/>
        </w:rPr>
        <w:t>（五）股份回购；</w:t>
      </w:r>
    </w:p>
    <w:p w14:paraId="1DA0D7C0" w14:textId="77777777" w:rsidR="00EB6E50" w:rsidRDefault="00000000">
      <w:pPr>
        <w:spacing w:line="360" w:lineRule="auto"/>
        <w:ind w:firstLineChars="200" w:firstLine="480"/>
        <w:rPr>
          <w:sz w:val="24"/>
        </w:rPr>
      </w:pPr>
      <w:r>
        <w:rPr>
          <w:rFonts w:hint="eastAsia"/>
          <w:sz w:val="24"/>
        </w:rPr>
        <w:t>（六）年度报告、半年度报告；</w:t>
      </w:r>
    </w:p>
    <w:p w14:paraId="3E81AC0E" w14:textId="77777777" w:rsidR="00EB6E50" w:rsidRDefault="00000000">
      <w:pPr>
        <w:spacing w:line="360" w:lineRule="auto"/>
        <w:ind w:firstLineChars="200" w:firstLine="480"/>
        <w:rPr>
          <w:sz w:val="24"/>
        </w:rPr>
      </w:pPr>
      <w:r>
        <w:rPr>
          <w:rFonts w:hint="eastAsia"/>
          <w:sz w:val="24"/>
        </w:rPr>
        <w:t>（七）高比例送转股份；</w:t>
      </w:r>
    </w:p>
    <w:p w14:paraId="0FB25D9F" w14:textId="77777777" w:rsidR="00EB6E50" w:rsidRDefault="00000000">
      <w:pPr>
        <w:spacing w:line="360" w:lineRule="auto"/>
        <w:ind w:firstLineChars="200" w:firstLine="480"/>
        <w:rPr>
          <w:sz w:val="24"/>
        </w:rPr>
      </w:pPr>
      <w:r>
        <w:rPr>
          <w:rFonts w:hint="eastAsia"/>
          <w:sz w:val="24"/>
        </w:rPr>
        <w:t>（八）股权激励草案、员工持股计划；</w:t>
      </w:r>
    </w:p>
    <w:p w14:paraId="48BE49A5" w14:textId="77777777" w:rsidR="00EB6E50" w:rsidRDefault="00000000">
      <w:pPr>
        <w:spacing w:line="360" w:lineRule="auto"/>
        <w:ind w:firstLineChars="200" w:firstLine="480"/>
        <w:rPr>
          <w:sz w:val="24"/>
        </w:rPr>
      </w:pPr>
      <w:r>
        <w:rPr>
          <w:rFonts w:hint="eastAsia"/>
          <w:sz w:val="24"/>
        </w:rPr>
        <w:lastRenderedPageBreak/>
        <w:t>（九）导致实际控制人或者第一大股东发生变更的权益变动；</w:t>
      </w:r>
    </w:p>
    <w:p w14:paraId="471C1136" w14:textId="77777777" w:rsidR="00EB6E50" w:rsidRDefault="00000000">
      <w:pPr>
        <w:spacing w:line="360" w:lineRule="auto"/>
        <w:ind w:firstLineChars="200" w:firstLine="480"/>
        <w:rPr>
          <w:sz w:val="24"/>
        </w:rPr>
      </w:pPr>
      <w:r>
        <w:rPr>
          <w:rFonts w:hint="eastAsia"/>
          <w:sz w:val="24"/>
        </w:rPr>
        <w:t>（十）证监会或者深交所要求的其他可能对公司股票及其衍生品种的交易价格有重大影响的事项。</w:t>
      </w:r>
    </w:p>
    <w:p w14:paraId="1ACD2F65" w14:textId="77777777" w:rsidR="00EB6E50" w:rsidRDefault="00000000">
      <w:pPr>
        <w:spacing w:line="360" w:lineRule="auto"/>
        <w:ind w:firstLineChars="200" w:firstLine="480"/>
        <w:rPr>
          <w:sz w:val="24"/>
        </w:rPr>
      </w:pPr>
      <w:r>
        <w:rPr>
          <w:rFonts w:hint="eastAsia"/>
          <w:sz w:val="24"/>
        </w:rPr>
        <w:t>公司披露重大事项后，相关事项发生重大变化的，公司应当及时向深交所补充提交内幕信息知情人档案。</w:t>
      </w:r>
    </w:p>
    <w:p w14:paraId="4C9FE2F3" w14:textId="77777777" w:rsidR="00EB6E50" w:rsidRDefault="00000000">
      <w:pPr>
        <w:spacing w:line="360" w:lineRule="auto"/>
        <w:ind w:firstLineChars="200" w:firstLine="480"/>
        <w:rPr>
          <w:sz w:val="24"/>
        </w:rPr>
      </w:pPr>
      <w:r>
        <w:rPr>
          <w:rFonts w:hint="eastAsia"/>
          <w:sz w:val="24"/>
        </w:rPr>
        <w:t>公司披露重大事项前，其股票及其衍生品种交易已经发生异常波动的，公司应当向深交所报备相关内幕信息知情人档案。</w:t>
      </w:r>
    </w:p>
    <w:p w14:paraId="2CD25307" w14:textId="77777777" w:rsidR="00EB6E50" w:rsidRDefault="00000000">
      <w:pPr>
        <w:spacing w:line="360" w:lineRule="auto"/>
        <w:ind w:firstLineChars="200" w:firstLine="480"/>
        <w:rPr>
          <w:sz w:val="24"/>
        </w:rPr>
      </w:pPr>
      <w:r>
        <w:rPr>
          <w:sz w:val="24"/>
        </w:rPr>
        <w:t>第十</w:t>
      </w:r>
      <w:r>
        <w:rPr>
          <w:rFonts w:hint="eastAsia"/>
          <w:sz w:val="24"/>
        </w:rPr>
        <w:t>四</w:t>
      </w:r>
      <w:r>
        <w:rPr>
          <w:sz w:val="24"/>
        </w:rPr>
        <w:t>条</w:t>
      </w:r>
      <w:r>
        <w:rPr>
          <w:rFonts w:hint="eastAsia"/>
          <w:sz w:val="24"/>
        </w:rPr>
        <w:t xml:space="preserve">  </w:t>
      </w:r>
      <w:r>
        <w:rPr>
          <w:rFonts w:hint="eastAsia"/>
          <w:sz w:val="24"/>
        </w:rPr>
        <w:t>公司在内幕信息依法公开披露前，应当填写内幕信息知情人档案（见附件一），并在内幕信息首次依法公开披露后五个交易日内向深交所报备。</w:t>
      </w:r>
    </w:p>
    <w:p w14:paraId="1BC809B7" w14:textId="77777777" w:rsidR="00EB6E50" w:rsidRDefault="00000000">
      <w:pPr>
        <w:spacing w:line="360" w:lineRule="auto"/>
        <w:ind w:firstLineChars="200" w:firstLine="480"/>
        <w:rPr>
          <w:sz w:val="24"/>
        </w:rPr>
      </w:pPr>
      <w:r>
        <w:rPr>
          <w:sz w:val="24"/>
        </w:rPr>
        <w:t>内幕信息知情人登记必须按照一事一记的方式于相关人员获取内幕信息时及时进行登记；公司应及时补充完善内幕信息知情人档案信息，内幕信息知情人档案自记录</w:t>
      </w:r>
      <w:r>
        <w:rPr>
          <w:rFonts w:hint="eastAsia"/>
          <w:sz w:val="24"/>
        </w:rPr>
        <w:t>（</w:t>
      </w:r>
      <w:r>
        <w:rPr>
          <w:sz w:val="24"/>
        </w:rPr>
        <w:t>含补充完整</w:t>
      </w:r>
      <w:r>
        <w:rPr>
          <w:rFonts w:hint="eastAsia"/>
          <w:sz w:val="24"/>
        </w:rPr>
        <w:t>）</w:t>
      </w:r>
      <w:r>
        <w:rPr>
          <w:sz w:val="24"/>
        </w:rPr>
        <w:t>之日起至少保存</w:t>
      </w:r>
      <w:r>
        <w:rPr>
          <w:rFonts w:hint="eastAsia"/>
          <w:sz w:val="24"/>
        </w:rPr>
        <w:t>十</w:t>
      </w:r>
      <w:r>
        <w:rPr>
          <w:sz w:val="24"/>
        </w:rPr>
        <w:t>年。</w:t>
      </w:r>
    </w:p>
    <w:p w14:paraId="6429609C" w14:textId="77777777" w:rsidR="00EB6E50" w:rsidRDefault="00000000">
      <w:pPr>
        <w:spacing w:line="360" w:lineRule="auto"/>
        <w:ind w:firstLineChars="200" w:firstLine="480"/>
        <w:rPr>
          <w:sz w:val="24"/>
        </w:rPr>
      </w:pPr>
      <w:r>
        <w:rPr>
          <w:sz w:val="24"/>
        </w:rPr>
        <w:t>第</w:t>
      </w:r>
      <w:r>
        <w:rPr>
          <w:rFonts w:hint="eastAsia"/>
          <w:sz w:val="24"/>
        </w:rPr>
        <w:t>十五</w:t>
      </w:r>
      <w:r>
        <w:rPr>
          <w:sz w:val="24"/>
        </w:rPr>
        <w:t>条</w:t>
      </w:r>
      <w:r>
        <w:rPr>
          <w:sz w:val="24"/>
        </w:rPr>
        <w:t xml:space="preserve"> </w:t>
      </w:r>
      <w:r>
        <w:rPr>
          <w:sz w:val="24"/>
        </w:rPr>
        <w:t>公司在进行收购、重大资产重组、发行证券、合并、分立、回购股份</w:t>
      </w:r>
      <w:r>
        <w:rPr>
          <w:rFonts w:hint="eastAsia"/>
          <w:sz w:val="24"/>
        </w:rPr>
        <w:t>、股权激励</w:t>
      </w:r>
      <w:r>
        <w:rPr>
          <w:sz w:val="24"/>
        </w:rPr>
        <w:t>等重大事项时，除按照本制度填写内幕信息知情人档案外，还应当制作</w:t>
      </w:r>
      <w:r>
        <w:rPr>
          <w:rFonts w:hint="eastAsia"/>
          <w:sz w:val="24"/>
        </w:rPr>
        <w:t>《</w:t>
      </w:r>
      <w:r>
        <w:rPr>
          <w:sz w:val="24"/>
        </w:rPr>
        <w:t>重大事项进程备忘录</w:t>
      </w:r>
      <w:r>
        <w:rPr>
          <w:rFonts w:hint="eastAsia"/>
          <w:sz w:val="24"/>
        </w:rPr>
        <w:t>》（</w:t>
      </w:r>
      <w:r>
        <w:rPr>
          <w:sz w:val="24"/>
        </w:rPr>
        <w:t>见附件二</w:t>
      </w:r>
      <w:r>
        <w:rPr>
          <w:rFonts w:hint="eastAsia"/>
          <w:sz w:val="24"/>
        </w:rPr>
        <w:t>）</w:t>
      </w:r>
      <w:r>
        <w:rPr>
          <w:sz w:val="24"/>
        </w:rPr>
        <w:t>，内容包括但不限于筹划决策过程中各个关键时点的时间、参与筹划决策人员名单、筹划决策方式等</w:t>
      </w:r>
      <w:r>
        <w:rPr>
          <w:rFonts w:hint="eastAsia"/>
          <w:sz w:val="24"/>
        </w:rPr>
        <w:t>内容</w:t>
      </w:r>
      <w:r>
        <w:rPr>
          <w:sz w:val="24"/>
        </w:rPr>
        <w:t>。重大事项涉及的相关人员应在《重大事项进程备忘录》上签名确认</w:t>
      </w:r>
      <w:r>
        <w:rPr>
          <w:rFonts w:hint="eastAsia"/>
          <w:sz w:val="24"/>
        </w:rPr>
        <w:t>，公司股东、实际控制人及其关联方等相关主体应当配合制作</w:t>
      </w:r>
      <w:r>
        <w:rPr>
          <w:sz w:val="24"/>
        </w:rPr>
        <w:t>《重大事项进程备忘录》</w:t>
      </w:r>
      <w:r>
        <w:rPr>
          <w:rFonts w:hint="eastAsia"/>
          <w:sz w:val="24"/>
        </w:rPr>
        <w:t>。</w:t>
      </w:r>
    </w:p>
    <w:p w14:paraId="226C242E" w14:textId="77777777" w:rsidR="00EB6E50" w:rsidRDefault="00000000">
      <w:pPr>
        <w:spacing w:line="360" w:lineRule="auto"/>
        <w:ind w:firstLineChars="200" w:firstLine="480"/>
        <w:rPr>
          <w:sz w:val="24"/>
        </w:rPr>
      </w:pPr>
      <w:r>
        <w:rPr>
          <w:sz w:val="24"/>
        </w:rPr>
        <w:t>第十</w:t>
      </w:r>
      <w:r>
        <w:rPr>
          <w:rFonts w:hint="eastAsia"/>
          <w:sz w:val="24"/>
        </w:rPr>
        <w:t>六</w:t>
      </w:r>
      <w:r>
        <w:rPr>
          <w:sz w:val="24"/>
        </w:rPr>
        <w:t>条</w:t>
      </w:r>
      <w:r>
        <w:rPr>
          <w:rFonts w:hint="eastAsia"/>
          <w:sz w:val="24"/>
        </w:rPr>
        <w:t xml:space="preserve"> </w:t>
      </w:r>
      <w:r>
        <w:rPr>
          <w:sz w:val="24"/>
        </w:rPr>
        <w:t>公司内幕信息登记备案的流程</w:t>
      </w:r>
      <w:r>
        <w:rPr>
          <w:rFonts w:hint="eastAsia"/>
          <w:sz w:val="24"/>
        </w:rPr>
        <w:t>：</w:t>
      </w:r>
    </w:p>
    <w:p w14:paraId="29B4B495" w14:textId="77777777" w:rsidR="00EB6E50" w:rsidRDefault="00000000">
      <w:pPr>
        <w:spacing w:line="360" w:lineRule="auto"/>
        <w:ind w:firstLineChars="200" w:firstLine="480"/>
        <w:rPr>
          <w:sz w:val="24"/>
        </w:rPr>
      </w:pPr>
      <w:r>
        <w:rPr>
          <w:rFonts w:hint="eastAsia"/>
          <w:sz w:val="24"/>
        </w:rPr>
        <w:t>（</w:t>
      </w:r>
      <w:r>
        <w:rPr>
          <w:sz w:val="24"/>
        </w:rPr>
        <w:t>一</w:t>
      </w:r>
      <w:r>
        <w:rPr>
          <w:rFonts w:hint="eastAsia"/>
          <w:sz w:val="24"/>
        </w:rPr>
        <w:t>）</w:t>
      </w:r>
      <w:r>
        <w:rPr>
          <w:sz w:val="24"/>
        </w:rPr>
        <w:t xml:space="preserve"> </w:t>
      </w:r>
      <w:r>
        <w:rPr>
          <w:sz w:val="24"/>
        </w:rPr>
        <w:t>当内幕信息发生时，知晓该信息的</w:t>
      </w:r>
      <w:proofErr w:type="gramStart"/>
      <w:r>
        <w:rPr>
          <w:sz w:val="24"/>
        </w:rPr>
        <w:t>知情人需第一时间</w:t>
      </w:r>
      <w:proofErr w:type="gramEnd"/>
      <w:r>
        <w:rPr>
          <w:rFonts w:hint="eastAsia"/>
          <w:sz w:val="24"/>
        </w:rPr>
        <w:t>如实</w:t>
      </w:r>
      <w:r>
        <w:rPr>
          <w:sz w:val="24"/>
        </w:rPr>
        <w:t>告知公司董事会秘书。董事会秘书应及时告知相关知情人的各项保密事项和责任</w:t>
      </w:r>
      <w:r>
        <w:rPr>
          <w:rFonts w:hint="eastAsia"/>
          <w:sz w:val="24"/>
        </w:rPr>
        <w:t>以及</w:t>
      </w:r>
      <w:r>
        <w:rPr>
          <w:sz w:val="24"/>
        </w:rPr>
        <w:t>控制内幕信息传递和知情范围。</w:t>
      </w:r>
    </w:p>
    <w:p w14:paraId="148070A1" w14:textId="77777777" w:rsidR="00EB6E50" w:rsidRDefault="00000000">
      <w:pPr>
        <w:spacing w:line="360" w:lineRule="auto"/>
        <w:ind w:firstLineChars="200" w:firstLine="480"/>
        <w:rPr>
          <w:sz w:val="24"/>
        </w:rPr>
      </w:pPr>
      <w:r>
        <w:rPr>
          <w:rFonts w:hint="eastAsia"/>
          <w:sz w:val="24"/>
        </w:rPr>
        <w:t>（</w:t>
      </w:r>
      <w:r>
        <w:rPr>
          <w:sz w:val="24"/>
        </w:rPr>
        <w:t>二</w:t>
      </w:r>
      <w:r>
        <w:rPr>
          <w:rFonts w:hint="eastAsia"/>
          <w:sz w:val="24"/>
        </w:rPr>
        <w:t>）</w:t>
      </w:r>
      <w:r>
        <w:rPr>
          <w:sz w:val="24"/>
        </w:rPr>
        <w:t xml:space="preserve"> </w:t>
      </w:r>
      <w:r>
        <w:rPr>
          <w:sz w:val="24"/>
        </w:rPr>
        <w:t>公司董事会秘书应第一时间组织相关内幕信息知情人按照本制度的要求填写内幕信息知情人档案，并及时对内幕信息加以核实，以确保内幕信息知情人档案所填写的内容真实、准确、完整。</w:t>
      </w:r>
    </w:p>
    <w:p w14:paraId="1E6D8251" w14:textId="77777777" w:rsidR="00EB6E50" w:rsidRDefault="00000000">
      <w:pPr>
        <w:spacing w:line="360" w:lineRule="auto"/>
        <w:ind w:firstLineChars="200" w:firstLine="480"/>
        <w:rPr>
          <w:sz w:val="24"/>
        </w:rPr>
      </w:pPr>
      <w:r>
        <w:rPr>
          <w:sz w:val="24"/>
        </w:rPr>
        <w:t>公司在报送内幕信息知情人档案的同时应出具书面承诺，保证所填报内幕信息知情人信息及重大事项进程备忘录内容的真实、准确、完整，并向全部内幕信息知情人通报了相关法律法规对内幕信息知情人的相关规定。董事长及董事会秘书应在书面承诺上签字确认。</w:t>
      </w:r>
    </w:p>
    <w:p w14:paraId="6A2D2F3F" w14:textId="77777777" w:rsidR="00EB6E50" w:rsidRDefault="00000000">
      <w:pPr>
        <w:spacing w:line="360" w:lineRule="auto"/>
        <w:ind w:firstLineChars="200" w:firstLine="480"/>
        <w:rPr>
          <w:sz w:val="24"/>
        </w:rPr>
      </w:pPr>
      <w:r>
        <w:rPr>
          <w:sz w:val="24"/>
        </w:rPr>
        <w:lastRenderedPageBreak/>
        <w:t>第十七条</w:t>
      </w:r>
      <w:r>
        <w:rPr>
          <w:rFonts w:hint="eastAsia"/>
          <w:sz w:val="24"/>
        </w:rPr>
        <w:t xml:space="preserve"> </w:t>
      </w:r>
      <w:r>
        <w:rPr>
          <w:sz w:val="24"/>
        </w:rPr>
        <w:t>公司各职能部门、分公司、控股子公司、公司能够对其实施重大影响的参股公司及其主要负责人应当按照本制度做好内幕信息管理工作，按照公司及各子公司重大信息内部报告制度规定的报告程序和信息披露职责履行内部报告义务，及时告知公司内幕信息知情人情况以及相关内幕信息知情人的变更情况</w:t>
      </w:r>
      <w:r>
        <w:rPr>
          <w:rFonts w:hint="eastAsia"/>
          <w:sz w:val="24"/>
        </w:rPr>
        <w:t>，</w:t>
      </w:r>
      <w:r>
        <w:rPr>
          <w:sz w:val="24"/>
        </w:rPr>
        <w:t>积极配合公司做好内幕信息知情人登记备案工作。</w:t>
      </w:r>
    </w:p>
    <w:p w14:paraId="627A6B36" w14:textId="77777777" w:rsidR="00EB6E50" w:rsidRDefault="00000000">
      <w:pPr>
        <w:spacing w:line="360" w:lineRule="auto"/>
        <w:ind w:firstLineChars="200" w:firstLine="480"/>
        <w:rPr>
          <w:sz w:val="24"/>
        </w:rPr>
      </w:pPr>
      <w:r>
        <w:rPr>
          <w:sz w:val="24"/>
        </w:rPr>
        <w:t>第十八条</w:t>
      </w:r>
      <w:r>
        <w:rPr>
          <w:sz w:val="24"/>
        </w:rPr>
        <w:t xml:space="preserve">  </w:t>
      </w:r>
      <w:r>
        <w:rPr>
          <w:sz w:val="24"/>
        </w:rPr>
        <w:t>公司的股东、实际控制人及其关联方研究、发起涉及公司的重大事项，以及发生对公司股价有重大影响的其他事项时，应当及时填写内幕信息知情人档案。</w:t>
      </w:r>
    </w:p>
    <w:p w14:paraId="0D6FE2F8" w14:textId="77777777" w:rsidR="00EB6E50" w:rsidRDefault="00000000">
      <w:pPr>
        <w:spacing w:line="360" w:lineRule="auto"/>
        <w:ind w:firstLineChars="200" w:firstLine="480"/>
        <w:rPr>
          <w:sz w:val="24"/>
        </w:rPr>
      </w:pPr>
      <w:r>
        <w:rPr>
          <w:sz w:val="24"/>
        </w:rPr>
        <w:t>证券公司、证券服务机构、律师事务所等中介机构接受公司委托从事证券服务业务，该受托事项对公司股价有重大影响的，应当及时填写内幕信息知情人档案。</w:t>
      </w:r>
    </w:p>
    <w:p w14:paraId="1862EA3C" w14:textId="77777777" w:rsidR="00EB6E50" w:rsidRDefault="00000000">
      <w:pPr>
        <w:spacing w:line="360" w:lineRule="auto"/>
        <w:ind w:firstLineChars="200" w:firstLine="480"/>
        <w:rPr>
          <w:sz w:val="24"/>
        </w:rPr>
      </w:pPr>
      <w:r>
        <w:rPr>
          <w:sz w:val="24"/>
        </w:rPr>
        <w:t>收购人、重大资产重组交易对方以及涉及公司并对公司股价有重大影响事项的其他发起方，应当及时填写内幕信息知情人档案。</w:t>
      </w:r>
    </w:p>
    <w:p w14:paraId="25C0C4BC" w14:textId="77777777" w:rsidR="00EB6E50" w:rsidRDefault="00000000">
      <w:pPr>
        <w:spacing w:line="360" w:lineRule="auto"/>
        <w:ind w:firstLineChars="200" w:firstLine="480"/>
        <w:rPr>
          <w:sz w:val="24"/>
        </w:rPr>
      </w:pPr>
      <w:r>
        <w:rPr>
          <w:sz w:val="24"/>
        </w:rPr>
        <w:t>上述主体应当根据事项进程将内幕信息知情人档案分阶段送达公司，但完整的内幕信息知情人档案的送达时间不得晚于公司内幕信息公开披露的时间。内幕信息知情人档案应当按照本制度中第十二条和第十三条的要求进行填写</w:t>
      </w:r>
      <w:r>
        <w:rPr>
          <w:rFonts w:hint="eastAsia"/>
          <w:sz w:val="24"/>
        </w:rPr>
        <w:t>并经内幕信息知情人确认</w:t>
      </w:r>
      <w:r>
        <w:rPr>
          <w:sz w:val="24"/>
        </w:rPr>
        <w:t>。</w:t>
      </w:r>
    </w:p>
    <w:p w14:paraId="6F4817F7" w14:textId="77777777" w:rsidR="00EB6E50" w:rsidRDefault="00000000">
      <w:pPr>
        <w:spacing w:line="360" w:lineRule="auto"/>
        <w:ind w:firstLineChars="200" w:firstLine="480"/>
        <w:rPr>
          <w:sz w:val="24"/>
        </w:rPr>
      </w:pPr>
      <w:r>
        <w:rPr>
          <w:rFonts w:hint="eastAsia"/>
          <w:sz w:val="24"/>
        </w:rPr>
        <w:t>公司董事会应当做好其所知悉的内幕信息流转环节的内幕信息知情人的登记，并做好本条第一款至第三款涉及各方内幕信息知情人档案的汇总。</w:t>
      </w:r>
    </w:p>
    <w:p w14:paraId="3BCC5D5C" w14:textId="77777777" w:rsidR="00EB6E50" w:rsidRDefault="00000000">
      <w:pPr>
        <w:spacing w:line="360" w:lineRule="auto"/>
        <w:ind w:firstLineChars="200" w:firstLine="480"/>
        <w:rPr>
          <w:sz w:val="24"/>
        </w:rPr>
      </w:pPr>
      <w:r>
        <w:rPr>
          <w:sz w:val="24"/>
        </w:rPr>
        <w:t>第十九条</w:t>
      </w:r>
      <w:r>
        <w:rPr>
          <w:sz w:val="24"/>
        </w:rPr>
        <w:t xml:space="preserve"> </w:t>
      </w:r>
      <w:r>
        <w:rPr>
          <w:sz w:val="24"/>
        </w:rPr>
        <w:t>公司在披露前按照相关法律法规政策要求需经常性向相关行政管理部门报送信息的，在报送部门、内容等未发生重大变化的情况下，可将其视为同一内幕信息事项，在同一张表格中登记行政管理部门的名称，并持续登记报送信息的时间。除上述情况外，内幕信息流转涉及到行政管理部门时，公司应当按照一事一记的方式在内幕信息知情人档案中登记行政管理部门的名称、接触内幕信息的原因以及知悉内幕信息的时间。</w:t>
      </w:r>
    </w:p>
    <w:p w14:paraId="2A266B5D" w14:textId="77777777" w:rsidR="00EB6E50" w:rsidRDefault="00000000">
      <w:pPr>
        <w:spacing w:line="360" w:lineRule="auto"/>
        <w:ind w:firstLineChars="200" w:firstLine="480"/>
        <w:rPr>
          <w:sz w:val="24"/>
        </w:rPr>
      </w:pPr>
      <w:r>
        <w:rPr>
          <w:rFonts w:hint="eastAsia"/>
          <w:sz w:val="24"/>
        </w:rPr>
        <w:t>第二十条</w:t>
      </w:r>
      <w:r>
        <w:rPr>
          <w:rFonts w:hint="eastAsia"/>
          <w:sz w:val="24"/>
        </w:rPr>
        <w:t xml:space="preserve"> </w:t>
      </w:r>
      <w:r>
        <w:rPr>
          <w:rFonts w:hint="eastAsia"/>
          <w:color w:val="000000"/>
          <w:sz w:val="24"/>
          <w:shd w:val="clear" w:color="auto" w:fill="FFFFFF"/>
        </w:rPr>
        <w:t>公司筹划重大资产重组（包括发行股份购买资产），应当</w:t>
      </w:r>
      <w:proofErr w:type="gramStart"/>
      <w:r>
        <w:rPr>
          <w:rFonts w:hint="eastAsia"/>
          <w:color w:val="000000"/>
          <w:sz w:val="24"/>
          <w:shd w:val="clear" w:color="auto" w:fill="FFFFFF"/>
        </w:rPr>
        <w:t>于首次</w:t>
      </w:r>
      <w:proofErr w:type="gramEnd"/>
      <w:r>
        <w:rPr>
          <w:rFonts w:hint="eastAsia"/>
          <w:color w:val="000000"/>
          <w:sz w:val="24"/>
          <w:shd w:val="clear" w:color="auto" w:fill="FFFFFF"/>
        </w:rPr>
        <w:t>披露重组事项时向深交所报送</w:t>
      </w:r>
      <w:r>
        <w:rPr>
          <w:rStyle w:val="hitclass"/>
          <w:rFonts w:hint="eastAsia"/>
          <w:color w:val="000000"/>
          <w:sz w:val="24"/>
          <w:shd w:val="clear" w:color="auto" w:fill="FFFFFF"/>
        </w:rPr>
        <w:t>内幕信息</w:t>
      </w:r>
      <w:r>
        <w:rPr>
          <w:rFonts w:hint="eastAsia"/>
          <w:color w:val="000000"/>
          <w:sz w:val="24"/>
          <w:shd w:val="clear" w:color="auto" w:fill="FFFFFF"/>
        </w:rPr>
        <w:t>知情人档案。首次披露重组事项是指首次披露筹划重组、披露重组预案或者披露重组报告书</w:t>
      </w:r>
      <w:proofErr w:type="gramStart"/>
      <w:r>
        <w:rPr>
          <w:rFonts w:hint="eastAsia"/>
          <w:color w:val="000000"/>
          <w:sz w:val="24"/>
          <w:shd w:val="clear" w:color="auto" w:fill="FFFFFF"/>
        </w:rPr>
        <w:t>的孰早时点</w:t>
      </w:r>
      <w:proofErr w:type="gramEnd"/>
      <w:r>
        <w:rPr>
          <w:rFonts w:hint="eastAsia"/>
          <w:color w:val="000000"/>
          <w:sz w:val="24"/>
          <w:shd w:val="clear" w:color="auto" w:fill="FFFFFF"/>
        </w:rPr>
        <w:t>。</w:t>
      </w:r>
      <w:r>
        <w:rPr>
          <w:rFonts w:hint="eastAsia"/>
          <w:color w:val="000000"/>
          <w:sz w:val="24"/>
        </w:rPr>
        <w:br/>
      </w:r>
      <w:r>
        <w:rPr>
          <w:rFonts w:hint="eastAsia"/>
          <w:color w:val="000000"/>
          <w:sz w:val="24"/>
          <w:shd w:val="clear" w:color="auto" w:fill="FFFFFF"/>
        </w:rPr>
        <w:t xml:space="preserve">　　公司首次披露重组事项至披露重组报告书期间重组方案重大调整、终止重组</w:t>
      </w:r>
      <w:r>
        <w:rPr>
          <w:rFonts w:hint="eastAsia"/>
          <w:color w:val="000000"/>
          <w:sz w:val="24"/>
          <w:shd w:val="clear" w:color="auto" w:fill="FFFFFF"/>
        </w:rPr>
        <w:lastRenderedPageBreak/>
        <w:t>的，或者首次披露重组事项未披露标的资产主要财务指标、预估值、拟定价等重要要素的，应当于披露重组方案重大变化或者披露重要要素时补充提交</w:t>
      </w:r>
      <w:r>
        <w:rPr>
          <w:rStyle w:val="hitclass"/>
          <w:rFonts w:hint="eastAsia"/>
          <w:color w:val="000000"/>
          <w:sz w:val="24"/>
          <w:shd w:val="clear" w:color="auto" w:fill="FFFFFF"/>
        </w:rPr>
        <w:t>内幕信息</w:t>
      </w:r>
      <w:r>
        <w:rPr>
          <w:rFonts w:hint="eastAsia"/>
          <w:color w:val="000000"/>
          <w:sz w:val="24"/>
          <w:shd w:val="clear" w:color="auto" w:fill="FFFFFF"/>
        </w:rPr>
        <w:t>知情人档案。</w:t>
      </w:r>
    </w:p>
    <w:p w14:paraId="1EF19991" w14:textId="77777777" w:rsidR="00EB6E50" w:rsidRDefault="00EB6E50">
      <w:pPr>
        <w:spacing w:line="360" w:lineRule="auto"/>
        <w:ind w:firstLineChars="200" w:firstLine="480"/>
        <w:jc w:val="center"/>
        <w:rPr>
          <w:sz w:val="24"/>
        </w:rPr>
      </w:pPr>
    </w:p>
    <w:p w14:paraId="359D0DCB" w14:textId="77777777" w:rsidR="00EB6E50" w:rsidRDefault="00000000">
      <w:pPr>
        <w:spacing w:line="360" w:lineRule="auto"/>
        <w:ind w:firstLineChars="200" w:firstLine="482"/>
        <w:jc w:val="center"/>
        <w:rPr>
          <w:b/>
          <w:bCs/>
          <w:sz w:val="24"/>
        </w:rPr>
      </w:pPr>
      <w:r>
        <w:rPr>
          <w:b/>
          <w:bCs/>
          <w:sz w:val="24"/>
        </w:rPr>
        <w:t>第五章</w:t>
      </w:r>
      <w:r>
        <w:rPr>
          <w:b/>
          <w:bCs/>
          <w:sz w:val="24"/>
        </w:rPr>
        <w:t xml:space="preserve"> </w:t>
      </w:r>
      <w:r>
        <w:rPr>
          <w:b/>
          <w:bCs/>
          <w:sz w:val="24"/>
        </w:rPr>
        <w:t>内幕信息的保密管理</w:t>
      </w:r>
    </w:p>
    <w:p w14:paraId="6526EE79" w14:textId="77777777" w:rsidR="00EB6E50" w:rsidRDefault="00EB6E50">
      <w:pPr>
        <w:spacing w:line="360" w:lineRule="auto"/>
        <w:jc w:val="center"/>
        <w:rPr>
          <w:sz w:val="24"/>
        </w:rPr>
      </w:pPr>
    </w:p>
    <w:p w14:paraId="21978DF9" w14:textId="77777777" w:rsidR="00EB6E50" w:rsidRDefault="00000000">
      <w:pPr>
        <w:spacing w:line="360" w:lineRule="auto"/>
        <w:ind w:firstLineChars="200" w:firstLine="480"/>
        <w:rPr>
          <w:sz w:val="24"/>
        </w:rPr>
      </w:pPr>
      <w:r>
        <w:rPr>
          <w:sz w:val="24"/>
        </w:rPr>
        <w:t>第二十</w:t>
      </w:r>
      <w:r>
        <w:rPr>
          <w:rFonts w:hint="eastAsia"/>
          <w:sz w:val="24"/>
        </w:rPr>
        <w:t>一</w:t>
      </w:r>
      <w:r>
        <w:rPr>
          <w:sz w:val="24"/>
        </w:rPr>
        <w:t>条</w:t>
      </w:r>
      <w:r>
        <w:rPr>
          <w:rFonts w:hint="eastAsia"/>
          <w:sz w:val="24"/>
        </w:rPr>
        <w:t xml:space="preserve">  </w:t>
      </w:r>
      <w:r>
        <w:rPr>
          <w:sz w:val="24"/>
        </w:rPr>
        <w:t>公司内幕信息知情人对其知晓的内幕信息负有保密的责任，在内幕信息依法披露之前，不得擅自以任何形式对外泄露、报道、传送，不得在公司局域网或网站以任何形式进行传播，不得利用内幕信息</w:t>
      </w:r>
      <w:r>
        <w:rPr>
          <w:rFonts w:hint="eastAsia"/>
          <w:sz w:val="24"/>
        </w:rPr>
        <w:t>买卖公司股票及其衍生品，或者建议他人买卖公司的股票及其衍生品，不得利用内幕信息为本人、亲属或他人谋利</w:t>
      </w:r>
      <w:r>
        <w:rPr>
          <w:sz w:val="24"/>
        </w:rPr>
        <w:t>。</w:t>
      </w:r>
    </w:p>
    <w:p w14:paraId="4E2E4027" w14:textId="77777777" w:rsidR="00EB6E50" w:rsidRDefault="00000000">
      <w:pPr>
        <w:spacing w:line="360" w:lineRule="auto"/>
        <w:ind w:firstLineChars="200" w:firstLine="480"/>
        <w:rPr>
          <w:sz w:val="24"/>
        </w:rPr>
      </w:pPr>
      <w:r>
        <w:rPr>
          <w:sz w:val="24"/>
        </w:rPr>
        <w:t>第二十</w:t>
      </w:r>
      <w:r>
        <w:rPr>
          <w:rFonts w:hint="eastAsia"/>
          <w:sz w:val="24"/>
        </w:rPr>
        <w:t>二</w:t>
      </w:r>
      <w:r>
        <w:rPr>
          <w:sz w:val="24"/>
        </w:rPr>
        <w:t>条</w:t>
      </w:r>
      <w:r>
        <w:rPr>
          <w:rFonts w:hint="eastAsia"/>
          <w:sz w:val="24"/>
        </w:rPr>
        <w:t xml:space="preserve">  </w:t>
      </w:r>
      <w:r>
        <w:rPr>
          <w:sz w:val="24"/>
        </w:rPr>
        <w:t>公司董事、高级管理人员及相关内幕信息知情人应采取必要的措施，在内幕信息公开披露前将该信息的知情者控制在最小范围内</w:t>
      </w:r>
      <w:r>
        <w:rPr>
          <w:rFonts w:hint="eastAsia"/>
          <w:sz w:val="24"/>
        </w:rPr>
        <w:t>，</w:t>
      </w:r>
      <w:r>
        <w:rPr>
          <w:sz w:val="24"/>
        </w:rPr>
        <w:t>不得在公司内部非业务相关部门或</w:t>
      </w:r>
      <w:proofErr w:type="gramStart"/>
      <w:r>
        <w:rPr>
          <w:sz w:val="24"/>
        </w:rPr>
        <w:t>个</w:t>
      </w:r>
      <w:proofErr w:type="gramEnd"/>
      <w:r>
        <w:rPr>
          <w:sz w:val="24"/>
        </w:rPr>
        <w:t>人间以任何形式传播</w:t>
      </w:r>
      <w:r>
        <w:rPr>
          <w:rFonts w:hint="eastAsia"/>
          <w:sz w:val="24"/>
        </w:rPr>
        <w:t>，</w:t>
      </w:r>
      <w:r>
        <w:rPr>
          <w:sz w:val="24"/>
        </w:rPr>
        <w:t>重大信息文件应指定专人报送和保管。</w:t>
      </w:r>
    </w:p>
    <w:p w14:paraId="5F6008EF" w14:textId="77777777" w:rsidR="00EB6E50" w:rsidRDefault="00000000">
      <w:pPr>
        <w:spacing w:line="360" w:lineRule="auto"/>
        <w:ind w:firstLineChars="200" w:firstLine="480"/>
        <w:rPr>
          <w:sz w:val="24"/>
        </w:rPr>
      </w:pPr>
      <w:r>
        <w:rPr>
          <w:rFonts w:hint="eastAsia"/>
          <w:sz w:val="24"/>
        </w:rPr>
        <w:t>第二十三条</w:t>
      </w:r>
      <w:r>
        <w:rPr>
          <w:rFonts w:hint="eastAsia"/>
          <w:sz w:val="24"/>
        </w:rPr>
        <w:t xml:space="preserve"> </w:t>
      </w:r>
      <w:r>
        <w:rPr>
          <w:rFonts w:hint="eastAsia"/>
          <w:sz w:val="24"/>
        </w:rPr>
        <w:t>内幕信息依法披露前，公司股东、实际控制人及董事、高级管理人员不得违规利用其职权、支配地位要求公司向其提供内幕信息。</w:t>
      </w:r>
    </w:p>
    <w:p w14:paraId="0243A0D4" w14:textId="77777777" w:rsidR="00EB6E50" w:rsidRDefault="00000000">
      <w:pPr>
        <w:spacing w:line="360" w:lineRule="auto"/>
        <w:ind w:firstLineChars="200" w:firstLine="480"/>
        <w:rPr>
          <w:sz w:val="24"/>
        </w:rPr>
      </w:pPr>
      <w:r>
        <w:rPr>
          <w:sz w:val="24"/>
        </w:rPr>
        <w:t>第二十</w:t>
      </w:r>
      <w:r>
        <w:rPr>
          <w:rFonts w:hint="eastAsia"/>
          <w:sz w:val="24"/>
        </w:rPr>
        <w:t>四</w:t>
      </w:r>
      <w:r>
        <w:rPr>
          <w:sz w:val="24"/>
        </w:rPr>
        <w:t>条</w:t>
      </w:r>
      <w:r>
        <w:rPr>
          <w:sz w:val="24"/>
        </w:rPr>
        <w:t xml:space="preserve"> </w:t>
      </w:r>
      <w:r>
        <w:rPr>
          <w:sz w:val="24"/>
        </w:rPr>
        <w:t>公司向外部使用人提供未公开财务信息的，应在提供之前经董事会秘书备案，并确认已经与其</w:t>
      </w:r>
      <w:r>
        <w:rPr>
          <w:rFonts w:hint="eastAsia"/>
          <w:sz w:val="24"/>
        </w:rPr>
        <w:t>签署《内幕信息知情人</w:t>
      </w:r>
      <w:r>
        <w:rPr>
          <w:sz w:val="24"/>
        </w:rPr>
        <w:t>保密协议</w:t>
      </w:r>
      <w:r>
        <w:rPr>
          <w:rFonts w:hint="eastAsia"/>
          <w:sz w:val="24"/>
        </w:rPr>
        <w:t>》（见附件三），</w:t>
      </w:r>
      <w:r>
        <w:rPr>
          <w:sz w:val="24"/>
        </w:rPr>
        <w:t>公司应提示或标明该信息属于内幕信息，外部使用人须依法使用，不得利用内幕信息买卖公司证券，或者建议他人买卖公司证券，或者泄露该信息。</w:t>
      </w:r>
    </w:p>
    <w:p w14:paraId="777D9CFC" w14:textId="77777777" w:rsidR="00EB6E50" w:rsidRDefault="00EB6E50">
      <w:pPr>
        <w:spacing w:line="360" w:lineRule="auto"/>
        <w:ind w:firstLineChars="200" w:firstLine="480"/>
        <w:rPr>
          <w:sz w:val="24"/>
        </w:rPr>
      </w:pPr>
    </w:p>
    <w:p w14:paraId="28FC63B1" w14:textId="77777777" w:rsidR="00EB6E50" w:rsidRDefault="00000000">
      <w:pPr>
        <w:spacing w:line="360" w:lineRule="auto"/>
        <w:jc w:val="center"/>
        <w:rPr>
          <w:b/>
          <w:bCs/>
          <w:sz w:val="24"/>
        </w:rPr>
      </w:pPr>
      <w:r>
        <w:rPr>
          <w:b/>
          <w:bCs/>
          <w:sz w:val="24"/>
        </w:rPr>
        <w:t>第六章</w:t>
      </w:r>
      <w:r>
        <w:rPr>
          <w:b/>
          <w:bCs/>
          <w:sz w:val="24"/>
        </w:rPr>
        <w:t xml:space="preserve"> </w:t>
      </w:r>
      <w:r>
        <w:rPr>
          <w:b/>
          <w:bCs/>
          <w:sz w:val="24"/>
        </w:rPr>
        <w:t>责任追究</w:t>
      </w:r>
    </w:p>
    <w:p w14:paraId="75893651" w14:textId="77777777" w:rsidR="00EB6E50" w:rsidRDefault="00EB6E50">
      <w:pPr>
        <w:spacing w:line="360" w:lineRule="auto"/>
        <w:jc w:val="center"/>
        <w:rPr>
          <w:sz w:val="24"/>
        </w:rPr>
      </w:pPr>
    </w:p>
    <w:p w14:paraId="2BF5CA65" w14:textId="77777777" w:rsidR="00EB6E50" w:rsidRDefault="00000000">
      <w:pPr>
        <w:spacing w:line="360" w:lineRule="auto"/>
        <w:ind w:firstLineChars="200" w:firstLine="480"/>
        <w:rPr>
          <w:sz w:val="24"/>
        </w:rPr>
      </w:pPr>
      <w:r>
        <w:rPr>
          <w:sz w:val="24"/>
        </w:rPr>
        <w:t>第二十</w:t>
      </w:r>
      <w:r>
        <w:rPr>
          <w:rFonts w:hint="eastAsia"/>
          <w:sz w:val="24"/>
        </w:rPr>
        <w:t>五</w:t>
      </w:r>
      <w:r>
        <w:rPr>
          <w:sz w:val="24"/>
        </w:rPr>
        <w:t>条</w:t>
      </w:r>
      <w:r>
        <w:rPr>
          <w:rFonts w:hint="eastAsia"/>
          <w:sz w:val="24"/>
        </w:rPr>
        <w:t xml:space="preserve">  </w:t>
      </w:r>
      <w:r>
        <w:rPr>
          <w:sz w:val="24"/>
        </w:rPr>
        <w:t>内幕信息知情人</w:t>
      </w:r>
      <w:r>
        <w:rPr>
          <w:rFonts w:hint="eastAsia"/>
          <w:sz w:val="24"/>
        </w:rPr>
        <w:t>违反本制度，</w:t>
      </w:r>
      <w:r>
        <w:rPr>
          <w:sz w:val="24"/>
        </w:rPr>
        <w:t>将知晓的内幕信息对外泄露</w:t>
      </w:r>
      <w:r>
        <w:rPr>
          <w:rFonts w:hint="eastAsia"/>
          <w:sz w:val="24"/>
        </w:rPr>
        <w:t>，</w:t>
      </w:r>
      <w:r>
        <w:rPr>
          <w:sz w:val="24"/>
        </w:rPr>
        <w:t>或利用内幕信息进行内幕交易、散布虚假信息、操纵证券市场或者进行欺诈等活动给公司造成严重影响或损失的，公司将依据有关规定处罚相关责任人或要求其承担赔偿责任</w:t>
      </w:r>
      <w:r>
        <w:rPr>
          <w:rFonts w:hint="eastAsia"/>
          <w:sz w:val="24"/>
        </w:rPr>
        <w:t>，</w:t>
      </w:r>
      <w:r>
        <w:rPr>
          <w:sz w:val="24"/>
        </w:rPr>
        <w:t>构成犯罪的，将移交司法机关，依法追究刑事责任。</w:t>
      </w:r>
    </w:p>
    <w:p w14:paraId="0F626008" w14:textId="77777777" w:rsidR="00EB6E50" w:rsidRDefault="00000000">
      <w:pPr>
        <w:spacing w:line="360" w:lineRule="auto"/>
        <w:ind w:firstLineChars="200" w:firstLine="480"/>
        <w:rPr>
          <w:sz w:val="24"/>
        </w:rPr>
      </w:pPr>
      <w:r>
        <w:rPr>
          <w:sz w:val="24"/>
        </w:rPr>
        <w:t>第二十</w:t>
      </w:r>
      <w:r>
        <w:rPr>
          <w:rFonts w:hint="eastAsia"/>
          <w:sz w:val="24"/>
        </w:rPr>
        <w:t>六</w:t>
      </w:r>
      <w:r>
        <w:rPr>
          <w:sz w:val="24"/>
        </w:rPr>
        <w:t>条</w:t>
      </w:r>
      <w:r>
        <w:rPr>
          <w:rFonts w:hint="eastAsia"/>
          <w:sz w:val="24"/>
        </w:rPr>
        <w:t xml:space="preserve">  </w:t>
      </w:r>
      <w:r>
        <w:rPr>
          <w:sz w:val="24"/>
        </w:rPr>
        <w:t>持有公司</w:t>
      </w:r>
      <w:r>
        <w:rPr>
          <w:rFonts w:hint="eastAsia"/>
          <w:sz w:val="24"/>
        </w:rPr>
        <w:t>百分之五</w:t>
      </w:r>
      <w:r>
        <w:rPr>
          <w:sz w:val="24"/>
        </w:rPr>
        <w:t>以上股份的股东、公司实际控制人，违反本</w:t>
      </w:r>
      <w:r>
        <w:rPr>
          <w:rFonts w:hint="eastAsia"/>
          <w:sz w:val="24"/>
        </w:rPr>
        <w:lastRenderedPageBreak/>
        <w:t>制度</w:t>
      </w:r>
      <w:r>
        <w:rPr>
          <w:sz w:val="24"/>
        </w:rPr>
        <w:t>擅自泄露信息，给公司造成损失的，公司</w:t>
      </w:r>
      <w:r>
        <w:rPr>
          <w:rFonts w:hint="eastAsia"/>
          <w:sz w:val="24"/>
        </w:rPr>
        <w:t>有权追究相应的责任</w:t>
      </w:r>
      <w:r>
        <w:rPr>
          <w:sz w:val="24"/>
        </w:rPr>
        <w:t>。</w:t>
      </w:r>
    </w:p>
    <w:p w14:paraId="4C0AD67E" w14:textId="77777777" w:rsidR="00EB6E50" w:rsidRDefault="00000000">
      <w:pPr>
        <w:spacing w:line="360" w:lineRule="auto"/>
        <w:ind w:firstLineChars="200" w:firstLine="480"/>
        <w:rPr>
          <w:sz w:val="24"/>
        </w:rPr>
      </w:pPr>
      <w:r>
        <w:rPr>
          <w:sz w:val="24"/>
        </w:rPr>
        <w:t>第二十</w:t>
      </w:r>
      <w:r>
        <w:rPr>
          <w:rFonts w:hint="eastAsia"/>
          <w:sz w:val="24"/>
        </w:rPr>
        <w:t>七</w:t>
      </w:r>
      <w:r>
        <w:rPr>
          <w:sz w:val="24"/>
        </w:rPr>
        <w:t>条</w:t>
      </w:r>
      <w:r>
        <w:rPr>
          <w:rFonts w:hint="eastAsia"/>
          <w:sz w:val="24"/>
        </w:rPr>
        <w:t xml:space="preserve"> </w:t>
      </w:r>
      <w:r>
        <w:rPr>
          <w:sz w:val="24"/>
        </w:rPr>
        <w:t>为公司重大项目制作、出具证券发行保荐书、审计报告、资产评估报告、法律意见书、财务顾问报告、资信评级报告等专项文件的保荐人、证券服务机构及其有关人员，参与公司重大项目的咨询、策划、论证等各环节的相关单位及有关人员，违反本</w:t>
      </w:r>
      <w:r>
        <w:rPr>
          <w:rFonts w:hint="eastAsia"/>
          <w:sz w:val="24"/>
        </w:rPr>
        <w:t>制度</w:t>
      </w:r>
      <w:r>
        <w:rPr>
          <w:sz w:val="24"/>
        </w:rPr>
        <w:t>擅自泄露信息，公司视情节轻重，可以解除服务合同，报送有关行业协会或管理部门处理，给公司造成损失的，公司具有追究其责任的权利。</w:t>
      </w:r>
    </w:p>
    <w:p w14:paraId="56D37378" w14:textId="77777777" w:rsidR="00EB6E50" w:rsidRDefault="00000000">
      <w:pPr>
        <w:spacing w:line="360" w:lineRule="auto"/>
        <w:ind w:firstLineChars="200" w:firstLine="480"/>
        <w:rPr>
          <w:sz w:val="24"/>
        </w:rPr>
      </w:pPr>
      <w:r>
        <w:rPr>
          <w:sz w:val="24"/>
        </w:rPr>
        <w:t>第二十</w:t>
      </w:r>
      <w:r>
        <w:rPr>
          <w:rFonts w:hint="eastAsia"/>
          <w:sz w:val="24"/>
        </w:rPr>
        <w:t>八</w:t>
      </w:r>
      <w:r>
        <w:rPr>
          <w:sz w:val="24"/>
        </w:rPr>
        <w:t>条</w:t>
      </w:r>
      <w:r>
        <w:rPr>
          <w:rFonts w:hint="eastAsia"/>
          <w:sz w:val="24"/>
        </w:rPr>
        <w:t xml:space="preserve">  </w:t>
      </w:r>
      <w:r>
        <w:rPr>
          <w:rFonts w:hint="eastAsia"/>
          <w:sz w:val="24"/>
        </w:rPr>
        <w:t>公司应当按照证监会、深交所的规定和要求，在年度报告、半年度报告和相关重大事项公告后五个交易日内对内幕信息知情人买卖本公司证券及其衍生品种的情况进行自查，发现内幕信息知情人进行内幕交易、泄露内幕信息或者建议他人利用内幕信息进行交易的，</w:t>
      </w:r>
      <w:r>
        <w:rPr>
          <w:sz w:val="24"/>
        </w:rPr>
        <w:t>公司将</w:t>
      </w:r>
      <w:r>
        <w:rPr>
          <w:rFonts w:hint="eastAsia"/>
          <w:sz w:val="24"/>
        </w:rPr>
        <w:t>进行核实并依据本制度对相关人员进行责任追究，并在二个交易日内将有关情况及处理结果报送深交所并对外披露。</w:t>
      </w:r>
    </w:p>
    <w:p w14:paraId="09019851" w14:textId="77777777" w:rsidR="00EB6E50" w:rsidRDefault="00EB6E50">
      <w:pPr>
        <w:spacing w:line="360" w:lineRule="auto"/>
        <w:ind w:firstLineChars="200" w:firstLine="480"/>
        <w:rPr>
          <w:sz w:val="24"/>
        </w:rPr>
      </w:pPr>
    </w:p>
    <w:p w14:paraId="1D3D071D" w14:textId="77777777" w:rsidR="00EB6E50" w:rsidRDefault="00000000">
      <w:pPr>
        <w:spacing w:line="360" w:lineRule="auto"/>
        <w:jc w:val="center"/>
        <w:rPr>
          <w:b/>
          <w:bCs/>
          <w:sz w:val="24"/>
        </w:rPr>
      </w:pPr>
      <w:r>
        <w:rPr>
          <w:b/>
          <w:bCs/>
          <w:sz w:val="24"/>
        </w:rPr>
        <w:t>第七章</w:t>
      </w:r>
      <w:r>
        <w:rPr>
          <w:b/>
          <w:bCs/>
          <w:sz w:val="24"/>
        </w:rPr>
        <w:t xml:space="preserve"> </w:t>
      </w:r>
      <w:r>
        <w:rPr>
          <w:b/>
          <w:bCs/>
          <w:sz w:val="24"/>
        </w:rPr>
        <w:t>附则</w:t>
      </w:r>
    </w:p>
    <w:p w14:paraId="4946930A" w14:textId="77777777" w:rsidR="00EB6E50" w:rsidRDefault="00EB6E50">
      <w:pPr>
        <w:spacing w:line="360" w:lineRule="auto"/>
        <w:jc w:val="center"/>
        <w:rPr>
          <w:sz w:val="24"/>
        </w:rPr>
      </w:pPr>
    </w:p>
    <w:p w14:paraId="3383C69E" w14:textId="77777777" w:rsidR="00EB6E50" w:rsidRDefault="00000000">
      <w:pPr>
        <w:spacing w:line="360" w:lineRule="auto"/>
        <w:ind w:firstLineChars="200" w:firstLine="480"/>
        <w:rPr>
          <w:sz w:val="24"/>
        </w:rPr>
      </w:pPr>
      <w:r>
        <w:rPr>
          <w:sz w:val="24"/>
        </w:rPr>
        <w:t>第二十</w:t>
      </w:r>
      <w:r>
        <w:rPr>
          <w:rFonts w:hint="eastAsia"/>
          <w:sz w:val="24"/>
        </w:rPr>
        <w:t>九</w:t>
      </w:r>
      <w:r>
        <w:rPr>
          <w:sz w:val="24"/>
        </w:rPr>
        <w:t>条</w:t>
      </w:r>
      <w:r>
        <w:rPr>
          <w:rFonts w:hint="eastAsia"/>
          <w:sz w:val="24"/>
        </w:rPr>
        <w:t xml:space="preserve">  </w:t>
      </w:r>
      <w:r>
        <w:rPr>
          <w:sz w:val="24"/>
        </w:rPr>
        <w:t>本制度未尽事宜，按国家有关法律、</w:t>
      </w:r>
      <w:r>
        <w:rPr>
          <w:rFonts w:hint="eastAsia"/>
          <w:sz w:val="24"/>
        </w:rPr>
        <w:t>行政</w:t>
      </w:r>
      <w:r>
        <w:rPr>
          <w:sz w:val="24"/>
        </w:rPr>
        <w:t>法规</w:t>
      </w:r>
      <w:r>
        <w:rPr>
          <w:rFonts w:hint="eastAsia"/>
          <w:sz w:val="24"/>
        </w:rPr>
        <w:t>、证监会及深交所规范性文件</w:t>
      </w:r>
      <w:r>
        <w:rPr>
          <w:sz w:val="24"/>
        </w:rPr>
        <w:t>和</w:t>
      </w:r>
      <w:r>
        <w:rPr>
          <w:rFonts w:hint="eastAsia"/>
          <w:sz w:val="24"/>
        </w:rPr>
        <w:t>《</w:t>
      </w:r>
      <w:r>
        <w:rPr>
          <w:sz w:val="24"/>
        </w:rPr>
        <w:t>公司章程</w:t>
      </w:r>
      <w:r>
        <w:rPr>
          <w:rFonts w:hint="eastAsia"/>
          <w:sz w:val="24"/>
        </w:rPr>
        <w:t>》</w:t>
      </w:r>
      <w:r>
        <w:rPr>
          <w:sz w:val="24"/>
        </w:rPr>
        <w:t>的规定执行；如与国家日后颁布的法律、</w:t>
      </w:r>
      <w:r>
        <w:rPr>
          <w:rFonts w:hint="eastAsia"/>
          <w:sz w:val="24"/>
        </w:rPr>
        <w:t>行政</w:t>
      </w:r>
      <w:r>
        <w:rPr>
          <w:sz w:val="24"/>
        </w:rPr>
        <w:t>法规</w:t>
      </w:r>
      <w:r>
        <w:rPr>
          <w:rFonts w:hint="eastAsia"/>
          <w:sz w:val="24"/>
        </w:rPr>
        <w:t>、证监会及深交所规范性文件</w:t>
      </w:r>
      <w:r>
        <w:rPr>
          <w:sz w:val="24"/>
        </w:rPr>
        <w:t>或经合法程序修改后的</w:t>
      </w:r>
      <w:r>
        <w:rPr>
          <w:rFonts w:hint="eastAsia"/>
          <w:sz w:val="24"/>
        </w:rPr>
        <w:t>《</w:t>
      </w:r>
      <w:r>
        <w:rPr>
          <w:sz w:val="24"/>
        </w:rPr>
        <w:t>公司章程</w:t>
      </w:r>
      <w:r>
        <w:rPr>
          <w:rFonts w:hint="eastAsia"/>
          <w:sz w:val="24"/>
        </w:rPr>
        <w:t>》</w:t>
      </w:r>
      <w:r>
        <w:rPr>
          <w:sz w:val="24"/>
        </w:rPr>
        <w:t>相抵触时，按国家有关法律、</w:t>
      </w:r>
      <w:r>
        <w:rPr>
          <w:rFonts w:hint="eastAsia"/>
          <w:sz w:val="24"/>
        </w:rPr>
        <w:t>行政</w:t>
      </w:r>
      <w:r>
        <w:rPr>
          <w:sz w:val="24"/>
        </w:rPr>
        <w:t>法规</w:t>
      </w:r>
      <w:r>
        <w:rPr>
          <w:rFonts w:hint="eastAsia"/>
          <w:sz w:val="24"/>
        </w:rPr>
        <w:t>、证监会及深交所规范性文件</w:t>
      </w:r>
      <w:r>
        <w:rPr>
          <w:sz w:val="24"/>
        </w:rPr>
        <w:t>和</w:t>
      </w:r>
      <w:r>
        <w:rPr>
          <w:rFonts w:hint="eastAsia"/>
          <w:sz w:val="24"/>
        </w:rPr>
        <w:t>《</w:t>
      </w:r>
      <w:r>
        <w:rPr>
          <w:sz w:val="24"/>
        </w:rPr>
        <w:t>公司章程</w:t>
      </w:r>
      <w:r>
        <w:rPr>
          <w:rFonts w:hint="eastAsia"/>
          <w:sz w:val="24"/>
        </w:rPr>
        <w:t>》</w:t>
      </w:r>
      <w:r>
        <w:rPr>
          <w:sz w:val="24"/>
        </w:rPr>
        <w:t>的规定执行，并及时修订本制度，报董事会审议通过。</w:t>
      </w:r>
    </w:p>
    <w:p w14:paraId="61676906" w14:textId="77777777" w:rsidR="00EB6E50" w:rsidRDefault="00000000">
      <w:pPr>
        <w:spacing w:line="360" w:lineRule="auto"/>
        <w:ind w:firstLineChars="200" w:firstLine="480"/>
        <w:rPr>
          <w:sz w:val="24"/>
        </w:rPr>
      </w:pPr>
      <w:r>
        <w:rPr>
          <w:sz w:val="24"/>
        </w:rPr>
        <w:t>第</w:t>
      </w:r>
      <w:r>
        <w:rPr>
          <w:rFonts w:hint="eastAsia"/>
          <w:sz w:val="24"/>
        </w:rPr>
        <w:t>三十</w:t>
      </w:r>
      <w:r>
        <w:rPr>
          <w:sz w:val="24"/>
        </w:rPr>
        <w:t>条</w:t>
      </w:r>
      <w:r>
        <w:rPr>
          <w:rFonts w:hint="eastAsia"/>
          <w:sz w:val="24"/>
        </w:rPr>
        <w:t xml:space="preserve"> </w:t>
      </w:r>
      <w:r>
        <w:rPr>
          <w:sz w:val="24"/>
        </w:rPr>
        <w:t xml:space="preserve"> </w:t>
      </w:r>
      <w:r>
        <w:rPr>
          <w:rFonts w:hint="eastAsia"/>
          <w:sz w:val="24"/>
        </w:rPr>
        <w:t>本制度</w:t>
      </w:r>
      <w:r>
        <w:rPr>
          <w:sz w:val="24"/>
        </w:rPr>
        <w:t>自</w:t>
      </w:r>
      <w:r>
        <w:rPr>
          <w:rFonts w:hint="eastAsia"/>
          <w:sz w:val="24"/>
        </w:rPr>
        <w:t>公司</w:t>
      </w:r>
      <w:r>
        <w:rPr>
          <w:sz w:val="24"/>
        </w:rPr>
        <w:t>董事会审议通过之日起</w:t>
      </w:r>
      <w:r>
        <w:rPr>
          <w:rFonts w:hint="eastAsia"/>
          <w:sz w:val="24"/>
        </w:rPr>
        <w:t>生效</w:t>
      </w:r>
      <w:r>
        <w:rPr>
          <w:sz w:val="24"/>
        </w:rPr>
        <w:t>。</w:t>
      </w:r>
    </w:p>
    <w:p w14:paraId="5734EBE9" w14:textId="77777777" w:rsidR="00EB6E50" w:rsidRDefault="00EB6E50">
      <w:pPr>
        <w:spacing w:line="360" w:lineRule="auto"/>
        <w:ind w:firstLine="180"/>
        <w:rPr>
          <w:sz w:val="24"/>
        </w:rPr>
      </w:pPr>
    </w:p>
    <w:p w14:paraId="244B3698" w14:textId="77777777" w:rsidR="00EB6E50" w:rsidRDefault="00EB6E50">
      <w:pPr>
        <w:spacing w:line="360" w:lineRule="auto"/>
        <w:ind w:firstLine="180"/>
        <w:rPr>
          <w:sz w:val="24"/>
        </w:rPr>
      </w:pPr>
    </w:p>
    <w:p w14:paraId="747A1CBD" w14:textId="77777777" w:rsidR="00EB6E50" w:rsidRDefault="00000000">
      <w:pPr>
        <w:spacing w:line="360" w:lineRule="auto"/>
        <w:ind w:firstLine="180"/>
        <w:rPr>
          <w:sz w:val="24"/>
        </w:rPr>
      </w:pPr>
      <w:r>
        <w:rPr>
          <w:rFonts w:hint="eastAsia"/>
          <w:sz w:val="24"/>
        </w:rPr>
        <w:t xml:space="preserve">  </w:t>
      </w:r>
      <w:r>
        <w:rPr>
          <w:sz w:val="24"/>
        </w:rPr>
        <w:t xml:space="preserve">                                       </w:t>
      </w:r>
      <w:r>
        <w:rPr>
          <w:sz w:val="24"/>
        </w:rPr>
        <w:t>山东龙大美食股份有限公司</w:t>
      </w:r>
    </w:p>
    <w:p w14:paraId="0BAD6F5B" w14:textId="77777777" w:rsidR="00EB6E50" w:rsidRDefault="00000000">
      <w:pPr>
        <w:spacing w:line="360" w:lineRule="auto"/>
        <w:ind w:firstLine="180"/>
        <w:rPr>
          <w:sz w:val="24"/>
        </w:rPr>
      </w:pPr>
      <w:r>
        <w:rPr>
          <w:rFonts w:hint="eastAsia"/>
          <w:sz w:val="24"/>
        </w:rPr>
        <w:t xml:space="preserve">                                           </w:t>
      </w:r>
      <w:r>
        <w:rPr>
          <w:sz w:val="24"/>
        </w:rPr>
        <w:t xml:space="preserve"> </w:t>
      </w:r>
      <w:r>
        <w:rPr>
          <w:rFonts w:hint="eastAsia"/>
          <w:sz w:val="24"/>
        </w:rPr>
        <w:t xml:space="preserve">  </w:t>
      </w:r>
      <w:r>
        <w:rPr>
          <w:sz w:val="24"/>
        </w:rPr>
        <w:t xml:space="preserve"> 202</w:t>
      </w:r>
      <w:r>
        <w:rPr>
          <w:rFonts w:hint="eastAsia"/>
          <w:sz w:val="24"/>
        </w:rPr>
        <w:t>5</w:t>
      </w:r>
      <w:r>
        <w:rPr>
          <w:rFonts w:hint="eastAsia"/>
          <w:sz w:val="24"/>
        </w:rPr>
        <w:t>年</w:t>
      </w:r>
      <w:r>
        <w:rPr>
          <w:sz w:val="24"/>
        </w:rPr>
        <w:t>10</w:t>
      </w:r>
      <w:r>
        <w:rPr>
          <w:rFonts w:hint="eastAsia"/>
          <w:sz w:val="24"/>
        </w:rPr>
        <w:t>月</w:t>
      </w:r>
      <w:r>
        <w:rPr>
          <w:rFonts w:cs="SimSun-Identity-H" w:hint="eastAsia"/>
          <w:kern w:val="0"/>
          <w:sz w:val="24"/>
        </w:rPr>
        <w:t xml:space="preserve"> </w:t>
      </w:r>
    </w:p>
    <w:p w14:paraId="1795B0BB" w14:textId="77777777" w:rsidR="00EB6E50" w:rsidRDefault="00EB6E50">
      <w:pPr>
        <w:spacing w:line="600" w:lineRule="auto"/>
        <w:ind w:firstLineChars="200" w:firstLine="480"/>
        <w:jc w:val="left"/>
        <w:rPr>
          <w:rFonts w:cs="SimSun-Identity-H"/>
          <w:kern w:val="0"/>
          <w:sz w:val="24"/>
        </w:rPr>
        <w:sectPr w:rsidR="00EB6E50">
          <w:headerReference w:type="default" r:id="rId6"/>
          <w:pgSz w:w="11906" w:h="16838"/>
          <w:pgMar w:top="1440" w:right="1800" w:bottom="1440" w:left="1800" w:header="851" w:footer="992" w:gutter="0"/>
          <w:cols w:space="720"/>
          <w:docGrid w:type="lines" w:linePitch="312"/>
        </w:sectPr>
      </w:pPr>
    </w:p>
    <w:p w14:paraId="64A9B206" w14:textId="77777777" w:rsidR="00EB6E50" w:rsidRDefault="00000000">
      <w:pPr>
        <w:adjustRightInd w:val="0"/>
        <w:snapToGrid w:val="0"/>
        <w:spacing w:line="360" w:lineRule="auto"/>
        <w:ind w:firstLineChars="200" w:firstLine="480"/>
        <w:rPr>
          <w:sz w:val="24"/>
        </w:rPr>
      </w:pPr>
      <w:r>
        <w:rPr>
          <w:sz w:val="24"/>
        </w:rPr>
        <w:lastRenderedPageBreak/>
        <w:t>附件</w:t>
      </w:r>
      <w:r>
        <w:rPr>
          <w:rFonts w:hint="eastAsia"/>
          <w:sz w:val="24"/>
        </w:rPr>
        <w:t>一</w:t>
      </w:r>
      <w:r>
        <w:rPr>
          <w:sz w:val="24"/>
        </w:rPr>
        <w:t xml:space="preserve">    </w:t>
      </w:r>
    </w:p>
    <w:p w14:paraId="5D1F83F1" w14:textId="77777777" w:rsidR="00EB6E50" w:rsidRDefault="00000000">
      <w:pPr>
        <w:adjustRightInd w:val="0"/>
        <w:snapToGrid w:val="0"/>
        <w:spacing w:line="360" w:lineRule="auto"/>
        <w:ind w:firstLineChars="200" w:firstLine="640"/>
        <w:jc w:val="center"/>
        <w:rPr>
          <w:sz w:val="32"/>
        </w:rPr>
      </w:pPr>
      <w:r>
        <w:rPr>
          <w:rFonts w:hint="eastAsia"/>
          <w:sz w:val="32"/>
        </w:rPr>
        <w:t>山东龙大美食股份有限公司</w:t>
      </w:r>
    </w:p>
    <w:p w14:paraId="1D15A6BE" w14:textId="77777777" w:rsidR="00EB6E50" w:rsidRDefault="00000000">
      <w:pPr>
        <w:adjustRightInd w:val="0"/>
        <w:snapToGrid w:val="0"/>
        <w:spacing w:line="360" w:lineRule="auto"/>
        <w:ind w:firstLineChars="200" w:firstLine="640"/>
        <w:jc w:val="center"/>
        <w:rPr>
          <w:sz w:val="32"/>
        </w:rPr>
      </w:pPr>
      <w:r>
        <w:rPr>
          <w:sz w:val="32"/>
        </w:rPr>
        <w:t>内幕信息知情人</w:t>
      </w:r>
      <w:r>
        <w:rPr>
          <w:rFonts w:hint="eastAsia"/>
          <w:sz w:val="32"/>
        </w:rPr>
        <w:t>档案</w:t>
      </w:r>
    </w:p>
    <w:p w14:paraId="62AA99F8" w14:textId="77777777" w:rsidR="00EB6E50" w:rsidRDefault="00000000">
      <w:pPr>
        <w:adjustRightInd w:val="0"/>
        <w:snapToGrid w:val="0"/>
        <w:spacing w:line="360" w:lineRule="auto"/>
        <w:rPr>
          <w:sz w:val="24"/>
        </w:rPr>
      </w:pPr>
      <w:r>
        <w:rPr>
          <w:rFonts w:hint="eastAsia"/>
          <w:sz w:val="24"/>
        </w:rPr>
        <w:t>证券代码：</w:t>
      </w:r>
      <w:r>
        <w:rPr>
          <w:rFonts w:hint="eastAsia"/>
          <w:sz w:val="24"/>
        </w:rPr>
        <w:t xml:space="preserve">                         </w:t>
      </w:r>
      <w:r>
        <w:rPr>
          <w:rFonts w:hint="eastAsia"/>
          <w:sz w:val="24"/>
        </w:rPr>
        <w:t>证券简称：</w:t>
      </w:r>
      <w:r>
        <w:rPr>
          <w:rFonts w:hint="eastAsia"/>
          <w:sz w:val="24"/>
        </w:rPr>
        <w:t xml:space="preserve">                             </w:t>
      </w:r>
      <w:r>
        <w:rPr>
          <w:sz w:val="24"/>
        </w:rPr>
        <w:t xml:space="preserve">  </w:t>
      </w:r>
      <w:r>
        <w:rPr>
          <w:sz w:val="24"/>
        </w:rPr>
        <w:t>内幕信息事项：</w:t>
      </w:r>
      <w:r>
        <w:rPr>
          <w:sz w:val="24"/>
        </w:rPr>
        <w:t xml:space="preserve"> </w:t>
      </w:r>
    </w:p>
    <w:tbl>
      <w:tblPr>
        <w:tblW w:w="14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869"/>
        <w:gridCol w:w="667"/>
        <w:gridCol w:w="685"/>
        <w:gridCol w:w="684"/>
        <w:gridCol w:w="685"/>
        <w:gridCol w:w="1073"/>
        <w:gridCol w:w="685"/>
        <w:gridCol w:w="685"/>
        <w:gridCol w:w="684"/>
        <w:gridCol w:w="1073"/>
        <w:gridCol w:w="1073"/>
        <w:gridCol w:w="1073"/>
        <w:gridCol w:w="685"/>
        <w:gridCol w:w="685"/>
        <w:gridCol w:w="685"/>
        <w:gridCol w:w="684"/>
        <w:gridCol w:w="1073"/>
      </w:tblGrid>
      <w:tr w:rsidR="00EB6E50" w14:paraId="5B8F0C35" w14:textId="77777777">
        <w:trPr>
          <w:trHeight w:val="861"/>
          <w:jc w:val="center"/>
        </w:trPr>
        <w:tc>
          <w:tcPr>
            <w:tcW w:w="602" w:type="dxa"/>
            <w:vAlign w:val="center"/>
          </w:tcPr>
          <w:p w14:paraId="45E19BDB" w14:textId="77777777" w:rsidR="00EB6E50" w:rsidRDefault="00000000">
            <w:pPr>
              <w:adjustRightInd w:val="0"/>
              <w:snapToGrid w:val="0"/>
              <w:spacing w:beforeLines="50" w:before="156" w:afterLines="50" w:after="156"/>
              <w:jc w:val="center"/>
              <w:rPr>
                <w:szCs w:val="21"/>
              </w:rPr>
            </w:pPr>
            <w:r>
              <w:rPr>
                <w:rFonts w:hint="eastAsia"/>
                <w:szCs w:val="21"/>
              </w:rPr>
              <w:t>序号</w:t>
            </w:r>
          </w:p>
        </w:tc>
        <w:tc>
          <w:tcPr>
            <w:tcW w:w="869" w:type="dxa"/>
            <w:vAlign w:val="center"/>
          </w:tcPr>
          <w:p w14:paraId="7B24F573" w14:textId="77777777" w:rsidR="00EB6E50" w:rsidRDefault="00000000">
            <w:pPr>
              <w:adjustRightInd w:val="0"/>
              <w:snapToGrid w:val="0"/>
              <w:spacing w:beforeLines="50" w:before="156" w:afterLines="50" w:after="156"/>
              <w:jc w:val="center"/>
              <w:rPr>
                <w:szCs w:val="21"/>
              </w:rPr>
            </w:pPr>
            <w:r>
              <w:rPr>
                <w:rFonts w:hint="eastAsia"/>
                <w:szCs w:val="21"/>
              </w:rPr>
              <w:t>姓名</w:t>
            </w:r>
            <w:r>
              <w:rPr>
                <w:rFonts w:hint="eastAsia"/>
                <w:szCs w:val="21"/>
              </w:rPr>
              <w:t>/</w:t>
            </w:r>
            <w:r>
              <w:rPr>
                <w:rFonts w:hint="eastAsia"/>
                <w:szCs w:val="21"/>
              </w:rPr>
              <w:t>名称</w:t>
            </w:r>
          </w:p>
        </w:tc>
        <w:tc>
          <w:tcPr>
            <w:tcW w:w="667" w:type="dxa"/>
            <w:vAlign w:val="center"/>
          </w:tcPr>
          <w:p w14:paraId="53E93543" w14:textId="77777777" w:rsidR="00EB6E50" w:rsidRDefault="00000000">
            <w:pPr>
              <w:adjustRightInd w:val="0"/>
              <w:snapToGrid w:val="0"/>
              <w:spacing w:beforeLines="50" w:before="156" w:afterLines="50" w:after="156"/>
              <w:jc w:val="center"/>
              <w:rPr>
                <w:szCs w:val="21"/>
              </w:rPr>
            </w:pPr>
            <w:r>
              <w:rPr>
                <w:rFonts w:hint="eastAsia"/>
                <w:szCs w:val="21"/>
              </w:rPr>
              <w:t>国籍</w:t>
            </w:r>
          </w:p>
        </w:tc>
        <w:tc>
          <w:tcPr>
            <w:tcW w:w="685" w:type="dxa"/>
            <w:vAlign w:val="center"/>
          </w:tcPr>
          <w:p w14:paraId="34AD282D" w14:textId="77777777" w:rsidR="00EB6E50" w:rsidRDefault="00000000">
            <w:pPr>
              <w:adjustRightInd w:val="0"/>
              <w:snapToGrid w:val="0"/>
              <w:spacing w:beforeLines="50" w:before="156" w:afterLines="50" w:after="156"/>
              <w:jc w:val="center"/>
              <w:rPr>
                <w:szCs w:val="21"/>
              </w:rPr>
            </w:pPr>
            <w:r>
              <w:rPr>
                <w:rFonts w:hint="eastAsia"/>
                <w:szCs w:val="21"/>
              </w:rPr>
              <w:t>证件类型</w:t>
            </w:r>
          </w:p>
        </w:tc>
        <w:tc>
          <w:tcPr>
            <w:tcW w:w="684" w:type="dxa"/>
            <w:vAlign w:val="center"/>
          </w:tcPr>
          <w:p w14:paraId="71EB2235" w14:textId="77777777" w:rsidR="00EB6E50" w:rsidRDefault="00000000">
            <w:pPr>
              <w:adjustRightInd w:val="0"/>
              <w:snapToGrid w:val="0"/>
              <w:spacing w:beforeLines="50" w:before="156" w:afterLines="50" w:after="156"/>
              <w:jc w:val="center"/>
              <w:rPr>
                <w:szCs w:val="21"/>
              </w:rPr>
            </w:pPr>
            <w:r>
              <w:rPr>
                <w:rFonts w:hint="eastAsia"/>
                <w:szCs w:val="21"/>
              </w:rPr>
              <w:t>证件号码</w:t>
            </w:r>
          </w:p>
        </w:tc>
        <w:tc>
          <w:tcPr>
            <w:tcW w:w="685" w:type="dxa"/>
            <w:vAlign w:val="center"/>
          </w:tcPr>
          <w:p w14:paraId="648C3F9E" w14:textId="77777777" w:rsidR="00EB6E50" w:rsidRDefault="00000000">
            <w:pPr>
              <w:adjustRightInd w:val="0"/>
              <w:snapToGrid w:val="0"/>
              <w:spacing w:beforeLines="50" w:before="156" w:afterLines="50" w:after="156"/>
              <w:jc w:val="center"/>
              <w:rPr>
                <w:szCs w:val="21"/>
              </w:rPr>
            </w:pPr>
            <w:r>
              <w:rPr>
                <w:rFonts w:hint="eastAsia"/>
                <w:szCs w:val="21"/>
              </w:rPr>
              <w:t>知情</w:t>
            </w:r>
            <w:r>
              <w:rPr>
                <w:szCs w:val="21"/>
              </w:rPr>
              <w:t>日期</w:t>
            </w:r>
          </w:p>
        </w:tc>
        <w:tc>
          <w:tcPr>
            <w:tcW w:w="1073" w:type="dxa"/>
            <w:vAlign w:val="center"/>
          </w:tcPr>
          <w:p w14:paraId="73716DAE" w14:textId="77777777" w:rsidR="00EB6E50" w:rsidRDefault="00000000">
            <w:pPr>
              <w:adjustRightInd w:val="0"/>
              <w:snapToGrid w:val="0"/>
              <w:spacing w:beforeLines="50" w:before="156" w:afterLines="50" w:after="156"/>
              <w:jc w:val="center"/>
              <w:rPr>
                <w:szCs w:val="21"/>
              </w:rPr>
            </w:pPr>
            <w:r>
              <w:rPr>
                <w:rFonts w:hint="eastAsia"/>
                <w:szCs w:val="21"/>
              </w:rPr>
              <w:t>与上市</w:t>
            </w:r>
            <w:r>
              <w:rPr>
                <w:szCs w:val="21"/>
              </w:rPr>
              <w:t>公司关系</w:t>
            </w:r>
          </w:p>
        </w:tc>
        <w:tc>
          <w:tcPr>
            <w:tcW w:w="685" w:type="dxa"/>
            <w:vAlign w:val="center"/>
          </w:tcPr>
          <w:p w14:paraId="6189B1E2" w14:textId="77777777" w:rsidR="00EB6E50" w:rsidRDefault="00000000">
            <w:pPr>
              <w:adjustRightInd w:val="0"/>
              <w:snapToGrid w:val="0"/>
              <w:spacing w:beforeLines="50" w:before="156" w:afterLines="50" w:after="156"/>
              <w:jc w:val="center"/>
              <w:rPr>
                <w:szCs w:val="21"/>
              </w:rPr>
            </w:pPr>
            <w:r>
              <w:rPr>
                <w:rFonts w:hint="eastAsia"/>
                <w:szCs w:val="21"/>
              </w:rPr>
              <w:t>所属</w:t>
            </w:r>
            <w:r>
              <w:rPr>
                <w:szCs w:val="21"/>
              </w:rPr>
              <w:t>单位</w:t>
            </w:r>
          </w:p>
        </w:tc>
        <w:tc>
          <w:tcPr>
            <w:tcW w:w="685" w:type="dxa"/>
            <w:vAlign w:val="center"/>
          </w:tcPr>
          <w:p w14:paraId="7A7A06BC" w14:textId="77777777" w:rsidR="00EB6E50" w:rsidRDefault="00000000">
            <w:pPr>
              <w:adjustRightInd w:val="0"/>
              <w:snapToGrid w:val="0"/>
              <w:spacing w:beforeLines="50" w:before="156" w:afterLines="50" w:after="156"/>
              <w:jc w:val="center"/>
              <w:rPr>
                <w:szCs w:val="21"/>
              </w:rPr>
            </w:pPr>
            <w:r>
              <w:rPr>
                <w:rFonts w:hint="eastAsia"/>
                <w:szCs w:val="21"/>
              </w:rPr>
              <w:t>职务</w:t>
            </w:r>
          </w:p>
        </w:tc>
        <w:tc>
          <w:tcPr>
            <w:tcW w:w="684" w:type="dxa"/>
            <w:vAlign w:val="center"/>
          </w:tcPr>
          <w:p w14:paraId="3661601F" w14:textId="77777777" w:rsidR="00EB6E50" w:rsidRDefault="00000000">
            <w:pPr>
              <w:adjustRightInd w:val="0"/>
              <w:snapToGrid w:val="0"/>
              <w:spacing w:beforeLines="50" w:before="156" w:afterLines="50" w:after="156"/>
              <w:jc w:val="center"/>
              <w:rPr>
                <w:szCs w:val="21"/>
              </w:rPr>
            </w:pPr>
            <w:r>
              <w:rPr>
                <w:rFonts w:hint="eastAsia"/>
                <w:szCs w:val="21"/>
              </w:rPr>
              <w:t>关系</w:t>
            </w:r>
            <w:r>
              <w:rPr>
                <w:szCs w:val="21"/>
              </w:rPr>
              <w:t>类型</w:t>
            </w:r>
          </w:p>
        </w:tc>
        <w:tc>
          <w:tcPr>
            <w:tcW w:w="1073" w:type="dxa"/>
            <w:vAlign w:val="center"/>
          </w:tcPr>
          <w:p w14:paraId="50B1489F" w14:textId="77777777" w:rsidR="00EB6E50" w:rsidRDefault="00000000">
            <w:pPr>
              <w:adjustRightInd w:val="0"/>
              <w:snapToGrid w:val="0"/>
              <w:spacing w:beforeLines="50" w:before="156" w:afterLines="50" w:after="156"/>
              <w:jc w:val="center"/>
              <w:rPr>
                <w:szCs w:val="21"/>
              </w:rPr>
            </w:pPr>
            <w:r>
              <w:rPr>
                <w:rFonts w:hint="eastAsia"/>
                <w:szCs w:val="21"/>
              </w:rPr>
              <w:t>知悉内幕信息地点</w:t>
            </w:r>
          </w:p>
        </w:tc>
        <w:tc>
          <w:tcPr>
            <w:tcW w:w="1073" w:type="dxa"/>
            <w:vAlign w:val="center"/>
          </w:tcPr>
          <w:p w14:paraId="3C3BE0EA" w14:textId="77777777" w:rsidR="00EB6E50" w:rsidRDefault="00000000">
            <w:pPr>
              <w:adjustRightInd w:val="0"/>
              <w:snapToGrid w:val="0"/>
              <w:jc w:val="center"/>
              <w:rPr>
                <w:szCs w:val="21"/>
              </w:rPr>
            </w:pPr>
            <w:r>
              <w:rPr>
                <w:rFonts w:hint="eastAsia"/>
                <w:szCs w:val="21"/>
              </w:rPr>
              <w:t>知悉内幕信息方式</w:t>
            </w:r>
          </w:p>
        </w:tc>
        <w:tc>
          <w:tcPr>
            <w:tcW w:w="1073" w:type="dxa"/>
            <w:vAlign w:val="center"/>
          </w:tcPr>
          <w:p w14:paraId="60305316" w14:textId="77777777" w:rsidR="00EB6E50" w:rsidRDefault="00000000">
            <w:pPr>
              <w:adjustRightInd w:val="0"/>
              <w:snapToGrid w:val="0"/>
              <w:rPr>
                <w:szCs w:val="21"/>
              </w:rPr>
            </w:pPr>
            <w:r>
              <w:rPr>
                <w:rFonts w:hint="eastAsia"/>
                <w:szCs w:val="21"/>
              </w:rPr>
              <w:t>知悉内幕信息阶段</w:t>
            </w:r>
          </w:p>
        </w:tc>
        <w:tc>
          <w:tcPr>
            <w:tcW w:w="685" w:type="dxa"/>
            <w:vAlign w:val="center"/>
          </w:tcPr>
          <w:p w14:paraId="38F06A47" w14:textId="77777777" w:rsidR="00EB6E50" w:rsidRDefault="00000000">
            <w:pPr>
              <w:adjustRightInd w:val="0"/>
              <w:snapToGrid w:val="0"/>
              <w:jc w:val="center"/>
              <w:rPr>
                <w:szCs w:val="21"/>
              </w:rPr>
            </w:pPr>
            <w:r>
              <w:rPr>
                <w:rFonts w:hint="eastAsia"/>
                <w:szCs w:val="21"/>
              </w:rPr>
              <w:t>登记</w:t>
            </w:r>
            <w:r>
              <w:rPr>
                <w:rFonts w:cs="Damascus" w:hint="eastAsia"/>
                <w:szCs w:val="21"/>
              </w:rPr>
              <w:t>时间</w:t>
            </w:r>
          </w:p>
        </w:tc>
        <w:tc>
          <w:tcPr>
            <w:tcW w:w="685" w:type="dxa"/>
            <w:vAlign w:val="center"/>
          </w:tcPr>
          <w:p w14:paraId="7A2A0639" w14:textId="77777777" w:rsidR="00EB6E50" w:rsidRDefault="00000000">
            <w:pPr>
              <w:adjustRightInd w:val="0"/>
              <w:snapToGrid w:val="0"/>
              <w:spacing w:beforeLines="50" w:before="156" w:afterLines="50" w:after="156"/>
              <w:jc w:val="center"/>
              <w:rPr>
                <w:szCs w:val="21"/>
              </w:rPr>
            </w:pPr>
            <w:r>
              <w:rPr>
                <w:rFonts w:hint="eastAsia"/>
                <w:szCs w:val="21"/>
              </w:rPr>
              <w:t>登记人</w:t>
            </w:r>
          </w:p>
        </w:tc>
        <w:tc>
          <w:tcPr>
            <w:tcW w:w="685" w:type="dxa"/>
          </w:tcPr>
          <w:p w14:paraId="393DB025" w14:textId="77777777" w:rsidR="00EB6E50" w:rsidRDefault="00000000">
            <w:pPr>
              <w:adjustRightInd w:val="0"/>
              <w:snapToGrid w:val="0"/>
              <w:spacing w:beforeLines="50" w:before="156" w:afterLines="50" w:after="156"/>
              <w:jc w:val="center"/>
              <w:rPr>
                <w:szCs w:val="21"/>
              </w:rPr>
            </w:pPr>
            <w:r>
              <w:rPr>
                <w:rFonts w:hint="eastAsia"/>
                <w:szCs w:val="21"/>
              </w:rPr>
              <w:t>联系</w:t>
            </w:r>
            <w:r>
              <w:rPr>
                <w:szCs w:val="21"/>
              </w:rPr>
              <w:t>手机</w:t>
            </w:r>
          </w:p>
        </w:tc>
        <w:tc>
          <w:tcPr>
            <w:tcW w:w="684" w:type="dxa"/>
          </w:tcPr>
          <w:p w14:paraId="0E9B439A" w14:textId="77777777" w:rsidR="00EB6E50" w:rsidRDefault="00000000">
            <w:pPr>
              <w:adjustRightInd w:val="0"/>
              <w:snapToGrid w:val="0"/>
              <w:spacing w:beforeLines="50" w:before="156" w:afterLines="50" w:after="156"/>
              <w:jc w:val="center"/>
              <w:rPr>
                <w:szCs w:val="21"/>
              </w:rPr>
            </w:pPr>
            <w:r>
              <w:rPr>
                <w:rFonts w:hint="eastAsia"/>
                <w:szCs w:val="21"/>
              </w:rPr>
              <w:t>通讯地址</w:t>
            </w:r>
          </w:p>
        </w:tc>
        <w:tc>
          <w:tcPr>
            <w:tcW w:w="1073" w:type="dxa"/>
            <w:vAlign w:val="center"/>
          </w:tcPr>
          <w:p w14:paraId="757D1B59" w14:textId="77777777" w:rsidR="00EB6E50" w:rsidRDefault="00000000">
            <w:pPr>
              <w:adjustRightInd w:val="0"/>
              <w:snapToGrid w:val="0"/>
              <w:spacing w:beforeLines="50" w:before="156" w:afterLines="50" w:after="156"/>
              <w:jc w:val="center"/>
              <w:rPr>
                <w:szCs w:val="21"/>
              </w:rPr>
            </w:pPr>
            <w:r>
              <w:rPr>
                <w:rFonts w:hint="eastAsia"/>
                <w:szCs w:val="21"/>
              </w:rPr>
              <w:t>所属</w:t>
            </w:r>
            <w:r>
              <w:rPr>
                <w:szCs w:val="21"/>
              </w:rPr>
              <w:t>单位类别</w:t>
            </w:r>
          </w:p>
        </w:tc>
      </w:tr>
      <w:tr w:rsidR="00EB6E50" w14:paraId="24DDE8B6" w14:textId="77777777">
        <w:trPr>
          <w:trHeight w:val="529"/>
          <w:jc w:val="center"/>
        </w:trPr>
        <w:tc>
          <w:tcPr>
            <w:tcW w:w="602" w:type="dxa"/>
          </w:tcPr>
          <w:p w14:paraId="19D4363B" w14:textId="77777777" w:rsidR="00EB6E50" w:rsidRDefault="00EB6E50">
            <w:pPr>
              <w:adjustRightInd w:val="0"/>
              <w:snapToGrid w:val="0"/>
              <w:spacing w:beforeLines="50" w:before="156" w:afterLines="50" w:after="156" w:line="360" w:lineRule="auto"/>
              <w:ind w:firstLineChars="200" w:firstLine="420"/>
              <w:jc w:val="center"/>
              <w:rPr>
                <w:szCs w:val="21"/>
              </w:rPr>
            </w:pPr>
          </w:p>
        </w:tc>
        <w:tc>
          <w:tcPr>
            <w:tcW w:w="869" w:type="dxa"/>
          </w:tcPr>
          <w:p w14:paraId="7D313B43" w14:textId="77777777" w:rsidR="00EB6E50" w:rsidRDefault="00EB6E50">
            <w:pPr>
              <w:adjustRightInd w:val="0"/>
              <w:snapToGrid w:val="0"/>
              <w:spacing w:beforeLines="50" w:before="156" w:afterLines="50" w:after="156" w:line="360" w:lineRule="auto"/>
              <w:ind w:firstLineChars="200" w:firstLine="420"/>
              <w:rPr>
                <w:szCs w:val="21"/>
              </w:rPr>
            </w:pPr>
          </w:p>
        </w:tc>
        <w:tc>
          <w:tcPr>
            <w:tcW w:w="667" w:type="dxa"/>
          </w:tcPr>
          <w:p w14:paraId="64BB84A1"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08DC081B"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7C2FB1B2"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4CC0FB37"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22724912"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569F416"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CC59A7B"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63C413C8"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7437DB36"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1DE1949D"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720F1762" w14:textId="77777777" w:rsidR="00EB6E50" w:rsidRDefault="00EB6E50">
            <w:pPr>
              <w:adjustRightInd w:val="0"/>
              <w:snapToGrid w:val="0"/>
              <w:spacing w:beforeLines="50" w:before="156" w:afterLines="50" w:after="156" w:line="360" w:lineRule="auto"/>
              <w:rPr>
                <w:szCs w:val="21"/>
              </w:rPr>
            </w:pPr>
          </w:p>
        </w:tc>
        <w:tc>
          <w:tcPr>
            <w:tcW w:w="685" w:type="dxa"/>
          </w:tcPr>
          <w:p w14:paraId="48010E53"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6B8F6C94"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78454F37" w14:textId="77777777" w:rsidR="00EB6E50" w:rsidRDefault="00EB6E50">
            <w:pPr>
              <w:adjustRightInd w:val="0"/>
              <w:snapToGrid w:val="0"/>
              <w:spacing w:beforeLines="50" w:before="156" w:afterLines="50" w:after="156" w:line="360" w:lineRule="auto"/>
              <w:rPr>
                <w:szCs w:val="21"/>
              </w:rPr>
            </w:pPr>
          </w:p>
        </w:tc>
        <w:tc>
          <w:tcPr>
            <w:tcW w:w="684" w:type="dxa"/>
          </w:tcPr>
          <w:p w14:paraId="15FCEF16" w14:textId="77777777" w:rsidR="00EB6E50" w:rsidRDefault="00EB6E50">
            <w:pPr>
              <w:adjustRightInd w:val="0"/>
              <w:snapToGrid w:val="0"/>
              <w:spacing w:beforeLines="50" w:before="156" w:afterLines="50" w:after="156" w:line="360" w:lineRule="auto"/>
              <w:rPr>
                <w:szCs w:val="21"/>
              </w:rPr>
            </w:pPr>
          </w:p>
        </w:tc>
        <w:tc>
          <w:tcPr>
            <w:tcW w:w="1073" w:type="dxa"/>
          </w:tcPr>
          <w:p w14:paraId="236CED72" w14:textId="77777777" w:rsidR="00EB6E50" w:rsidRDefault="00EB6E50">
            <w:pPr>
              <w:adjustRightInd w:val="0"/>
              <w:snapToGrid w:val="0"/>
              <w:spacing w:beforeLines="50" w:before="156" w:afterLines="50" w:after="156" w:line="360" w:lineRule="auto"/>
              <w:rPr>
                <w:szCs w:val="21"/>
              </w:rPr>
            </w:pPr>
          </w:p>
        </w:tc>
      </w:tr>
      <w:tr w:rsidR="00EB6E50" w14:paraId="08E7AF49" w14:textId="77777777">
        <w:trPr>
          <w:trHeight w:val="625"/>
          <w:jc w:val="center"/>
        </w:trPr>
        <w:tc>
          <w:tcPr>
            <w:tcW w:w="602" w:type="dxa"/>
          </w:tcPr>
          <w:p w14:paraId="70354DBB" w14:textId="77777777" w:rsidR="00EB6E50" w:rsidRDefault="00EB6E50">
            <w:pPr>
              <w:adjustRightInd w:val="0"/>
              <w:snapToGrid w:val="0"/>
              <w:spacing w:beforeLines="50" w:before="156" w:afterLines="50" w:after="156" w:line="360" w:lineRule="auto"/>
              <w:ind w:firstLineChars="200" w:firstLine="420"/>
              <w:jc w:val="center"/>
              <w:rPr>
                <w:szCs w:val="21"/>
              </w:rPr>
            </w:pPr>
          </w:p>
        </w:tc>
        <w:tc>
          <w:tcPr>
            <w:tcW w:w="869" w:type="dxa"/>
          </w:tcPr>
          <w:p w14:paraId="47F3E0F1" w14:textId="77777777" w:rsidR="00EB6E50" w:rsidRDefault="00EB6E50">
            <w:pPr>
              <w:adjustRightInd w:val="0"/>
              <w:snapToGrid w:val="0"/>
              <w:spacing w:beforeLines="50" w:before="156" w:afterLines="50" w:after="156" w:line="360" w:lineRule="auto"/>
              <w:ind w:firstLineChars="200" w:firstLine="420"/>
              <w:rPr>
                <w:szCs w:val="21"/>
              </w:rPr>
            </w:pPr>
          </w:p>
        </w:tc>
        <w:tc>
          <w:tcPr>
            <w:tcW w:w="667" w:type="dxa"/>
          </w:tcPr>
          <w:p w14:paraId="72094781"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6909046A"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19FB4DB9"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58E1654F"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59F85CE4"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281084D3"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CC45F02"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347D86BA"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4EA64D7C"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5CF76590"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1A002526"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29DE27F"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4E06E4BF"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79825F94"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1999BC0F"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39D058B3" w14:textId="77777777" w:rsidR="00EB6E50" w:rsidRDefault="00EB6E50">
            <w:pPr>
              <w:adjustRightInd w:val="0"/>
              <w:snapToGrid w:val="0"/>
              <w:spacing w:beforeLines="50" w:before="156" w:afterLines="50" w:after="156" w:line="360" w:lineRule="auto"/>
              <w:ind w:firstLineChars="200" w:firstLine="420"/>
              <w:rPr>
                <w:szCs w:val="21"/>
              </w:rPr>
            </w:pPr>
          </w:p>
        </w:tc>
      </w:tr>
      <w:tr w:rsidR="00EB6E50" w14:paraId="1C01419D" w14:textId="77777777">
        <w:trPr>
          <w:trHeight w:val="640"/>
          <w:jc w:val="center"/>
        </w:trPr>
        <w:tc>
          <w:tcPr>
            <w:tcW w:w="602" w:type="dxa"/>
          </w:tcPr>
          <w:p w14:paraId="3B3C3858" w14:textId="77777777" w:rsidR="00EB6E50" w:rsidRDefault="00EB6E50">
            <w:pPr>
              <w:adjustRightInd w:val="0"/>
              <w:snapToGrid w:val="0"/>
              <w:spacing w:beforeLines="50" w:before="156" w:afterLines="50" w:after="156" w:line="360" w:lineRule="auto"/>
              <w:ind w:firstLineChars="200" w:firstLine="420"/>
              <w:jc w:val="center"/>
              <w:rPr>
                <w:szCs w:val="21"/>
              </w:rPr>
            </w:pPr>
          </w:p>
        </w:tc>
        <w:tc>
          <w:tcPr>
            <w:tcW w:w="869" w:type="dxa"/>
          </w:tcPr>
          <w:p w14:paraId="104A63FC" w14:textId="77777777" w:rsidR="00EB6E50" w:rsidRDefault="00EB6E50">
            <w:pPr>
              <w:adjustRightInd w:val="0"/>
              <w:snapToGrid w:val="0"/>
              <w:spacing w:beforeLines="50" w:before="156" w:afterLines="50" w:after="156" w:line="360" w:lineRule="auto"/>
              <w:ind w:firstLineChars="200" w:firstLine="420"/>
              <w:rPr>
                <w:szCs w:val="21"/>
              </w:rPr>
            </w:pPr>
          </w:p>
        </w:tc>
        <w:tc>
          <w:tcPr>
            <w:tcW w:w="667" w:type="dxa"/>
          </w:tcPr>
          <w:p w14:paraId="10EA7020"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0CDC2A3C"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754CF285"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2400D766"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4F5419ED"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687389F0"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337FAB28"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43D5F7BF"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028E288A"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22B5FAEB"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3A67D979"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3D0EC81B"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7B1F82C8"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02E91DBC"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44265823"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0E102251" w14:textId="77777777" w:rsidR="00EB6E50" w:rsidRDefault="00EB6E50">
            <w:pPr>
              <w:adjustRightInd w:val="0"/>
              <w:snapToGrid w:val="0"/>
              <w:spacing w:beforeLines="50" w:before="156" w:afterLines="50" w:after="156" w:line="360" w:lineRule="auto"/>
              <w:ind w:firstLineChars="200" w:firstLine="420"/>
              <w:rPr>
                <w:szCs w:val="21"/>
              </w:rPr>
            </w:pPr>
          </w:p>
        </w:tc>
      </w:tr>
      <w:tr w:rsidR="00EB6E50" w14:paraId="1F1AE866" w14:textId="77777777">
        <w:trPr>
          <w:trHeight w:val="625"/>
          <w:jc w:val="center"/>
        </w:trPr>
        <w:tc>
          <w:tcPr>
            <w:tcW w:w="602" w:type="dxa"/>
          </w:tcPr>
          <w:p w14:paraId="773EE2BF" w14:textId="77777777" w:rsidR="00EB6E50" w:rsidRDefault="00EB6E50">
            <w:pPr>
              <w:adjustRightInd w:val="0"/>
              <w:snapToGrid w:val="0"/>
              <w:spacing w:beforeLines="50" w:before="156" w:afterLines="50" w:after="156" w:line="360" w:lineRule="auto"/>
              <w:ind w:firstLineChars="200" w:firstLine="420"/>
              <w:jc w:val="center"/>
              <w:rPr>
                <w:szCs w:val="21"/>
              </w:rPr>
            </w:pPr>
          </w:p>
        </w:tc>
        <w:tc>
          <w:tcPr>
            <w:tcW w:w="869" w:type="dxa"/>
          </w:tcPr>
          <w:p w14:paraId="428DBADD" w14:textId="77777777" w:rsidR="00EB6E50" w:rsidRDefault="00EB6E50">
            <w:pPr>
              <w:adjustRightInd w:val="0"/>
              <w:snapToGrid w:val="0"/>
              <w:spacing w:beforeLines="50" w:before="156" w:afterLines="50" w:after="156" w:line="360" w:lineRule="auto"/>
              <w:ind w:firstLineChars="200" w:firstLine="420"/>
              <w:rPr>
                <w:szCs w:val="21"/>
              </w:rPr>
            </w:pPr>
          </w:p>
        </w:tc>
        <w:tc>
          <w:tcPr>
            <w:tcW w:w="667" w:type="dxa"/>
          </w:tcPr>
          <w:p w14:paraId="52468554"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7675C792"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1F762700"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2C2E153"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594AFB14"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2C8F0482"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05ACCBB1"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510EFE52"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473F7265"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68146807"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71E7BE7D"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6283BB77"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72BBC062"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27D06EFB"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023E64EF"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2EB2DED2" w14:textId="77777777" w:rsidR="00EB6E50" w:rsidRDefault="00EB6E50">
            <w:pPr>
              <w:adjustRightInd w:val="0"/>
              <w:snapToGrid w:val="0"/>
              <w:spacing w:beforeLines="50" w:before="156" w:afterLines="50" w:after="156" w:line="360" w:lineRule="auto"/>
              <w:ind w:firstLineChars="200" w:firstLine="420"/>
              <w:rPr>
                <w:szCs w:val="21"/>
              </w:rPr>
            </w:pPr>
          </w:p>
        </w:tc>
      </w:tr>
      <w:tr w:rsidR="00EB6E50" w14:paraId="46BA8412" w14:textId="77777777">
        <w:trPr>
          <w:trHeight w:val="640"/>
          <w:jc w:val="center"/>
        </w:trPr>
        <w:tc>
          <w:tcPr>
            <w:tcW w:w="602" w:type="dxa"/>
          </w:tcPr>
          <w:p w14:paraId="66524DD2" w14:textId="77777777" w:rsidR="00EB6E50" w:rsidRDefault="00EB6E50">
            <w:pPr>
              <w:adjustRightInd w:val="0"/>
              <w:snapToGrid w:val="0"/>
              <w:spacing w:beforeLines="50" w:before="156" w:afterLines="50" w:after="156" w:line="360" w:lineRule="auto"/>
              <w:ind w:firstLineChars="200" w:firstLine="420"/>
              <w:jc w:val="center"/>
              <w:rPr>
                <w:szCs w:val="21"/>
              </w:rPr>
            </w:pPr>
          </w:p>
        </w:tc>
        <w:tc>
          <w:tcPr>
            <w:tcW w:w="869" w:type="dxa"/>
          </w:tcPr>
          <w:p w14:paraId="7E80570A" w14:textId="77777777" w:rsidR="00EB6E50" w:rsidRDefault="00EB6E50">
            <w:pPr>
              <w:adjustRightInd w:val="0"/>
              <w:snapToGrid w:val="0"/>
              <w:spacing w:beforeLines="50" w:before="156" w:afterLines="50" w:after="156" w:line="360" w:lineRule="auto"/>
              <w:ind w:firstLineChars="200" w:firstLine="420"/>
              <w:rPr>
                <w:szCs w:val="21"/>
              </w:rPr>
            </w:pPr>
          </w:p>
        </w:tc>
        <w:tc>
          <w:tcPr>
            <w:tcW w:w="667" w:type="dxa"/>
          </w:tcPr>
          <w:p w14:paraId="1C980E1A"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061AB7A"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0DFC2B5C"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E181934"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1D8B9CE2"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00E5E66"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2482FCC"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765E562F"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1C1D484E"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2A6B9C4C"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7D57DFC7"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2F30E322"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0186635A" w14:textId="77777777" w:rsidR="00EB6E50" w:rsidRDefault="00EB6E50">
            <w:pPr>
              <w:adjustRightInd w:val="0"/>
              <w:snapToGrid w:val="0"/>
              <w:spacing w:beforeLines="50" w:before="156" w:afterLines="50" w:after="156" w:line="360" w:lineRule="auto"/>
              <w:ind w:firstLineChars="200" w:firstLine="420"/>
              <w:rPr>
                <w:szCs w:val="21"/>
              </w:rPr>
            </w:pPr>
          </w:p>
        </w:tc>
        <w:tc>
          <w:tcPr>
            <w:tcW w:w="685" w:type="dxa"/>
          </w:tcPr>
          <w:p w14:paraId="1B9E1890" w14:textId="77777777" w:rsidR="00EB6E50" w:rsidRDefault="00EB6E50">
            <w:pPr>
              <w:adjustRightInd w:val="0"/>
              <w:snapToGrid w:val="0"/>
              <w:spacing w:beforeLines="50" w:before="156" w:afterLines="50" w:after="156" w:line="360" w:lineRule="auto"/>
              <w:ind w:firstLineChars="200" w:firstLine="420"/>
              <w:rPr>
                <w:szCs w:val="21"/>
              </w:rPr>
            </w:pPr>
          </w:p>
        </w:tc>
        <w:tc>
          <w:tcPr>
            <w:tcW w:w="684" w:type="dxa"/>
          </w:tcPr>
          <w:p w14:paraId="1B210DE1" w14:textId="77777777" w:rsidR="00EB6E50" w:rsidRDefault="00EB6E50">
            <w:pPr>
              <w:adjustRightInd w:val="0"/>
              <w:snapToGrid w:val="0"/>
              <w:spacing w:beforeLines="50" w:before="156" w:afterLines="50" w:after="156" w:line="360" w:lineRule="auto"/>
              <w:ind w:firstLineChars="200" w:firstLine="420"/>
              <w:rPr>
                <w:szCs w:val="21"/>
              </w:rPr>
            </w:pPr>
          </w:p>
        </w:tc>
        <w:tc>
          <w:tcPr>
            <w:tcW w:w="1073" w:type="dxa"/>
          </w:tcPr>
          <w:p w14:paraId="5E1E2D3E" w14:textId="77777777" w:rsidR="00EB6E50" w:rsidRDefault="00EB6E50">
            <w:pPr>
              <w:adjustRightInd w:val="0"/>
              <w:snapToGrid w:val="0"/>
              <w:spacing w:beforeLines="50" w:before="156" w:afterLines="50" w:after="156" w:line="360" w:lineRule="auto"/>
              <w:ind w:firstLineChars="200" w:firstLine="420"/>
              <w:rPr>
                <w:szCs w:val="21"/>
              </w:rPr>
            </w:pPr>
          </w:p>
        </w:tc>
      </w:tr>
    </w:tbl>
    <w:p w14:paraId="7C696EEB" w14:textId="77777777" w:rsidR="00EB6E50" w:rsidRDefault="00EB6E50">
      <w:pPr>
        <w:adjustRightInd w:val="0"/>
        <w:snapToGrid w:val="0"/>
        <w:spacing w:line="360" w:lineRule="auto"/>
        <w:rPr>
          <w:sz w:val="24"/>
        </w:rPr>
      </w:pPr>
    </w:p>
    <w:p w14:paraId="73D1190A" w14:textId="77777777" w:rsidR="00EB6E50" w:rsidRDefault="00EB6E50">
      <w:pPr>
        <w:adjustRightInd w:val="0"/>
        <w:snapToGrid w:val="0"/>
        <w:spacing w:line="360" w:lineRule="auto"/>
        <w:ind w:firstLineChars="200" w:firstLine="560"/>
        <w:rPr>
          <w:sz w:val="28"/>
        </w:rPr>
      </w:pPr>
    </w:p>
    <w:p w14:paraId="37BA9596" w14:textId="77777777" w:rsidR="00EB6E50" w:rsidRDefault="00EB6E50">
      <w:pPr>
        <w:adjustRightInd w:val="0"/>
        <w:snapToGrid w:val="0"/>
        <w:spacing w:line="360" w:lineRule="auto"/>
        <w:ind w:firstLineChars="200" w:firstLine="560"/>
        <w:rPr>
          <w:sz w:val="28"/>
        </w:rPr>
      </w:pPr>
    </w:p>
    <w:p w14:paraId="0C096633" w14:textId="77777777" w:rsidR="00EB6E50" w:rsidRDefault="00EB6E50">
      <w:pPr>
        <w:adjustRightInd w:val="0"/>
        <w:snapToGrid w:val="0"/>
        <w:spacing w:line="360" w:lineRule="auto"/>
        <w:ind w:firstLineChars="200" w:firstLine="560"/>
        <w:rPr>
          <w:sz w:val="28"/>
        </w:rPr>
      </w:pPr>
    </w:p>
    <w:p w14:paraId="5FA269AC" w14:textId="77777777" w:rsidR="00EB6E50" w:rsidRDefault="00000000">
      <w:pPr>
        <w:adjustRightInd w:val="0"/>
        <w:snapToGrid w:val="0"/>
        <w:spacing w:line="360" w:lineRule="auto"/>
        <w:ind w:firstLineChars="200" w:firstLine="560"/>
        <w:rPr>
          <w:sz w:val="28"/>
        </w:rPr>
      </w:pPr>
      <w:r>
        <w:rPr>
          <w:rFonts w:hint="eastAsia"/>
          <w:sz w:val="28"/>
        </w:rPr>
        <w:lastRenderedPageBreak/>
        <w:t>公司简称：龙大美食</w:t>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t xml:space="preserve">      </w:t>
      </w:r>
      <w:r>
        <w:rPr>
          <w:rFonts w:hint="eastAsia"/>
          <w:sz w:val="28"/>
        </w:rPr>
        <w:t>公司代码：</w:t>
      </w:r>
      <w:r>
        <w:rPr>
          <w:rFonts w:hint="eastAsia"/>
          <w:sz w:val="28"/>
        </w:rPr>
        <w:t>002726</w:t>
      </w:r>
    </w:p>
    <w:p w14:paraId="74BCDFB2" w14:textId="77777777" w:rsidR="00EB6E50" w:rsidRDefault="00000000">
      <w:pPr>
        <w:adjustRightInd w:val="0"/>
        <w:snapToGrid w:val="0"/>
        <w:spacing w:line="360" w:lineRule="auto"/>
        <w:ind w:firstLineChars="200" w:firstLine="560"/>
        <w:rPr>
          <w:sz w:val="28"/>
        </w:rPr>
      </w:pPr>
      <w:r>
        <w:rPr>
          <w:rFonts w:hint="eastAsia"/>
          <w:sz w:val="28"/>
        </w:rPr>
        <w:t>法定代表人签名：</w:t>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公司盖章：</w:t>
      </w:r>
    </w:p>
    <w:p w14:paraId="0CDEA54E" w14:textId="77777777" w:rsidR="00EB6E50" w:rsidRDefault="00000000">
      <w:pPr>
        <w:adjustRightInd w:val="0"/>
        <w:snapToGrid w:val="0"/>
        <w:spacing w:line="360" w:lineRule="auto"/>
        <w:rPr>
          <w:sz w:val="24"/>
        </w:rPr>
      </w:pPr>
      <w:r>
        <w:rPr>
          <w:sz w:val="24"/>
        </w:rPr>
        <w:t>注</w:t>
      </w:r>
      <w:r>
        <w:rPr>
          <w:rFonts w:hint="eastAsia"/>
          <w:sz w:val="24"/>
        </w:rPr>
        <w:t>：</w:t>
      </w:r>
      <w:r>
        <w:rPr>
          <w:sz w:val="23"/>
          <w:szCs w:val="23"/>
        </w:rPr>
        <w:t xml:space="preserve"> </w:t>
      </w:r>
      <w:r>
        <w:rPr>
          <w:sz w:val="24"/>
        </w:rPr>
        <w:t>1</w:t>
      </w:r>
      <w:r>
        <w:rPr>
          <w:rFonts w:hint="eastAsia"/>
          <w:sz w:val="24"/>
        </w:rPr>
        <w:t>、本表所列项目仅为必备项目，可根据内幕信息管理的需要增加内容；</w:t>
      </w:r>
      <w:r>
        <w:rPr>
          <w:sz w:val="24"/>
        </w:rPr>
        <w:t xml:space="preserve"> </w:t>
      </w:r>
    </w:p>
    <w:p w14:paraId="54785BB4" w14:textId="77777777" w:rsidR="00EB6E50" w:rsidRDefault="00000000">
      <w:pPr>
        <w:adjustRightInd w:val="0"/>
        <w:snapToGrid w:val="0"/>
        <w:spacing w:line="360" w:lineRule="auto"/>
        <w:ind w:firstLineChars="200" w:firstLine="480"/>
        <w:rPr>
          <w:sz w:val="24"/>
        </w:rPr>
      </w:pPr>
      <w:r>
        <w:rPr>
          <w:sz w:val="24"/>
        </w:rPr>
        <w:t>2</w:t>
      </w:r>
      <w:r>
        <w:rPr>
          <w:rFonts w:hint="eastAsia"/>
          <w:sz w:val="24"/>
        </w:rPr>
        <w:t>、内幕信息事项应采取一事一记的方式，即每份内幕信息知情人档案仅涉及一个内幕信息事项，不同内幕信息事项涉及的知情人档案应分别记录。</w:t>
      </w:r>
      <w:r>
        <w:rPr>
          <w:sz w:val="24"/>
        </w:rPr>
        <w:t xml:space="preserve"> </w:t>
      </w:r>
    </w:p>
    <w:p w14:paraId="2862F557" w14:textId="77777777" w:rsidR="00EB6E50" w:rsidRDefault="00000000">
      <w:pPr>
        <w:adjustRightInd w:val="0"/>
        <w:snapToGrid w:val="0"/>
        <w:spacing w:line="360" w:lineRule="auto"/>
        <w:ind w:firstLineChars="200" w:firstLine="480"/>
        <w:rPr>
          <w:sz w:val="24"/>
        </w:rPr>
      </w:pPr>
      <w:r>
        <w:rPr>
          <w:sz w:val="24"/>
        </w:rPr>
        <w:t>3</w:t>
      </w:r>
      <w:r>
        <w:rPr>
          <w:rFonts w:hint="eastAsia"/>
          <w:sz w:val="24"/>
        </w:rPr>
        <w:t>、填报获取内幕信息的方式，包括但不限于会谈、电话、传真、书面报告、电子邮件等。</w:t>
      </w:r>
      <w:r>
        <w:rPr>
          <w:sz w:val="24"/>
        </w:rPr>
        <w:t xml:space="preserve"> </w:t>
      </w:r>
    </w:p>
    <w:p w14:paraId="776AC220" w14:textId="77777777" w:rsidR="00EB6E50" w:rsidRDefault="00000000">
      <w:pPr>
        <w:adjustRightInd w:val="0"/>
        <w:snapToGrid w:val="0"/>
        <w:spacing w:line="360" w:lineRule="auto"/>
        <w:ind w:firstLineChars="200" w:firstLine="480"/>
        <w:rPr>
          <w:sz w:val="24"/>
        </w:rPr>
      </w:pPr>
      <w:r>
        <w:rPr>
          <w:sz w:val="24"/>
        </w:rPr>
        <w:t>4</w:t>
      </w:r>
      <w:r>
        <w:rPr>
          <w:rFonts w:hint="eastAsia"/>
          <w:sz w:val="24"/>
        </w:rPr>
        <w:t>、填报各内幕信息知情人所获知的内幕信息的内容，可根据需要添加附页进行详细说明。</w:t>
      </w:r>
      <w:r>
        <w:rPr>
          <w:sz w:val="24"/>
        </w:rPr>
        <w:t xml:space="preserve"> </w:t>
      </w:r>
    </w:p>
    <w:p w14:paraId="55A63651" w14:textId="77777777" w:rsidR="00EB6E50" w:rsidRDefault="00000000">
      <w:pPr>
        <w:adjustRightInd w:val="0"/>
        <w:snapToGrid w:val="0"/>
        <w:spacing w:line="360" w:lineRule="auto"/>
        <w:ind w:firstLineChars="200" w:firstLine="480"/>
        <w:rPr>
          <w:sz w:val="24"/>
        </w:rPr>
      </w:pPr>
      <w:r>
        <w:rPr>
          <w:sz w:val="24"/>
        </w:rPr>
        <w:t>5</w:t>
      </w:r>
      <w:r>
        <w:rPr>
          <w:rFonts w:hint="eastAsia"/>
          <w:sz w:val="24"/>
        </w:rPr>
        <w:t>、填报内幕信息所处阶段，包括商议筹划，论证咨询，合同订立，公司内部的报告、传递、编制、决议等。</w:t>
      </w:r>
      <w:r>
        <w:rPr>
          <w:sz w:val="24"/>
        </w:rPr>
        <w:t xml:space="preserve"> </w:t>
      </w:r>
    </w:p>
    <w:p w14:paraId="647EA275" w14:textId="77777777" w:rsidR="00EB6E50" w:rsidRDefault="00000000">
      <w:pPr>
        <w:adjustRightInd w:val="0"/>
        <w:snapToGrid w:val="0"/>
        <w:spacing w:line="360" w:lineRule="auto"/>
        <w:ind w:firstLineChars="200" w:firstLine="480"/>
        <w:rPr>
          <w:sz w:val="24"/>
        </w:rPr>
      </w:pPr>
      <w:r>
        <w:rPr>
          <w:sz w:val="24"/>
        </w:rPr>
        <w:t>6</w:t>
      </w:r>
      <w:r>
        <w:rPr>
          <w:rFonts w:hint="eastAsia"/>
          <w:sz w:val="24"/>
        </w:rPr>
        <w:t>、如为公司登记，填写公司登记人名字；如为公司汇总，保留所汇总表格中原登记人的姓名。</w:t>
      </w:r>
    </w:p>
    <w:p w14:paraId="692B44F5" w14:textId="77777777" w:rsidR="00EB6E50" w:rsidRDefault="00EB6E50">
      <w:pPr>
        <w:adjustRightInd w:val="0"/>
        <w:snapToGrid w:val="0"/>
        <w:spacing w:line="360" w:lineRule="auto"/>
        <w:ind w:firstLineChars="200" w:firstLine="480"/>
        <w:rPr>
          <w:sz w:val="24"/>
        </w:rPr>
        <w:sectPr w:rsidR="00EB6E50">
          <w:headerReference w:type="default" r:id="rId7"/>
          <w:pgSz w:w="16838" w:h="11906" w:orient="landscape"/>
          <w:pgMar w:top="1797" w:right="1440" w:bottom="1797" w:left="1440" w:header="851" w:footer="992" w:gutter="0"/>
          <w:cols w:space="720"/>
          <w:docGrid w:type="linesAndChars" w:linePitch="312"/>
        </w:sectPr>
      </w:pPr>
    </w:p>
    <w:p w14:paraId="3C015EC5" w14:textId="77777777" w:rsidR="00EB6E50" w:rsidRDefault="00000000">
      <w:pPr>
        <w:adjustRightInd w:val="0"/>
        <w:snapToGrid w:val="0"/>
        <w:spacing w:line="360" w:lineRule="auto"/>
        <w:rPr>
          <w:sz w:val="24"/>
        </w:rPr>
      </w:pPr>
      <w:r>
        <w:rPr>
          <w:rFonts w:hint="eastAsia"/>
          <w:sz w:val="24"/>
        </w:rPr>
        <w:lastRenderedPageBreak/>
        <w:t>附件二</w:t>
      </w:r>
    </w:p>
    <w:p w14:paraId="1B9D7765" w14:textId="77777777" w:rsidR="00EB6E50" w:rsidRDefault="00000000">
      <w:pPr>
        <w:adjustRightInd w:val="0"/>
        <w:snapToGrid w:val="0"/>
        <w:spacing w:line="360" w:lineRule="auto"/>
        <w:jc w:val="center"/>
        <w:rPr>
          <w:b/>
          <w:sz w:val="28"/>
          <w:szCs w:val="28"/>
        </w:rPr>
      </w:pPr>
      <w:r>
        <w:rPr>
          <w:rFonts w:hint="eastAsia"/>
          <w:b/>
          <w:sz w:val="28"/>
          <w:szCs w:val="28"/>
        </w:rPr>
        <w:t>重大事项进程备案录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993"/>
        <w:gridCol w:w="1134"/>
        <w:gridCol w:w="2126"/>
        <w:gridCol w:w="1701"/>
        <w:gridCol w:w="2020"/>
      </w:tblGrid>
      <w:tr w:rsidR="00EB6E50" w14:paraId="36181491" w14:textId="77777777">
        <w:tc>
          <w:tcPr>
            <w:tcW w:w="1242" w:type="dxa"/>
            <w:vAlign w:val="center"/>
          </w:tcPr>
          <w:p w14:paraId="02FA30A4" w14:textId="77777777" w:rsidR="00EB6E50" w:rsidRDefault="00000000">
            <w:pPr>
              <w:adjustRightInd w:val="0"/>
              <w:snapToGrid w:val="0"/>
              <w:spacing w:line="360" w:lineRule="auto"/>
              <w:jc w:val="center"/>
              <w:rPr>
                <w:szCs w:val="21"/>
              </w:rPr>
            </w:pPr>
            <w:r>
              <w:rPr>
                <w:rFonts w:hint="eastAsia"/>
                <w:szCs w:val="21"/>
              </w:rPr>
              <w:t>交易阶段</w:t>
            </w:r>
          </w:p>
        </w:tc>
        <w:tc>
          <w:tcPr>
            <w:tcW w:w="993" w:type="dxa"/>
            <w:vAlign w:val="center"/>
          </w:tcPr>
          <w:p w14:paraId="5328B9FA" w14:textId="77777777" w:rsidR="00EB6E50" w:rsidRDefault="00000000">
            <w:pPr>
              <w:adjustRightInd w:val="0"/>
              <w:snapToGrid w:val="0"/>
              <w:spacing w:line="360" w:lineRule="auto"/>
              <w:rPr>
                <w:szCs w:val="21"/>
              </w:rPr>
            </w:pPr>
            <w:r>
              <w:rPr>
                <w:rFonts w:hint="eastAsia"/>
                <w:szCs w:val="21"/>
              </w:rPr>
              <w:t>时间</w:t>
            </w:r>
          </w:p>
        </w:tc>
        <w:tc>
          <w:tcPr>
            <w:tcW w:w="1134" w:type="dxa"/>
            <w:vAlign w:val="center"/>
          </w:tcPr>
          <w:p w14:paraId="5C7380B7" w14:textId="77777777" w:rsidR="00EB6E50" w:rsidRDefault="00000000">
            <w:pPr>
              <w:adjustRightInd w:val="0"/>
              <w:snapToGrid w:val="0"/>
              <w:spacing w:line="360" w:lineRule="auto"/>
              <w:jc w:val="center"/>
              <w:rPr>
                <w:szCs w:val="21"/>
              </w:rPr>
            </w:pPr>
            <w:r>
              <w:rPr>
                <w:rFonts w:hint="eastAsia"/>
                <w:szCs w:val="21"/>
              </w:rPr>
              <w:t>地点</w:t>
            </w:r>
          </w:p>
        </w:tc>
        <w:tc>
          <w:tcPr>
            <w:tcW w:w="2126" w:type="dxa"/>
            <w:vAlign w:val="center"/>
          </w:tcPr>
          <w:p w14:paraId="561DD59B" w14:textId="77777777" w:rsidR="00EB6E50" w:rsidRDefault="00000000">
            <w:pPr>
              <w:adjustRightInd w:val="0"/>
              <w:snapToGrid w:val="0"/>
              <w:spacing w:line="360" w:lineRule="auto"/>
              <w:jc w:val="center"/>
              <w:rPr>
                <w:szCs w:val="21"/>
              </w:rPr>
            </w:pPr>
            <w:r>
              <w:rPr>
                <w:rFonts w:hint="eastAsia"/>
                <w:szCs w:val="21"/>
              </w:rPr>
              <w:t>筹划决策方式</w:t>
            </w:r>
          </w:p>
        </w:tc>
        <w:tc>
          <w:tcPr>
            <w:tcW w:w="1701" w:type="dxa"/>
            <w:vAlign w:val="center"/>
          </w:tcPr>
          <w:p w14:paraId="51986F14" w14:textId="77777777" w:rsidR="00EB6E50" w:rsidRDefault="00000000">
            <w:pPr>
              <w:adjustRightInd w:val="0"/>
              <w:snapToGrid w:val="0"/>
              <w:spacing w:line="360" w:lineRule="auto"/>
              <w:jc w:val="center"/>
              <w:rPr>
                <w:szCs w:val="21"/>
              </w:rPr>
            </w:pPr>
            <w:r>
              <w:rPr>
                <w:rFonts w:hint="eastAsia"/>
                <w:szCs w:val="21"/>
              </w:rPr>
              <w:t>参与机构和人员</w:t>
            </w:r>
          </w:p>
        </w:tc>
        <w:tc>
          <w:tcPr>
            <w:tcW w:w="2020" w:type="dxa"/>
            <w:vAlign w:val="center"/>
          </w:tcPr>
          <w:p w14:paraId="5FEA2EF3" w14:textId="77777777" w:rsidR="00EB6E50" w:rsidRDefault="00000000">
            <w:pPr>
              <w:adjustRightInd w:val="0"/>
              <w:snapToGrid w:val="0"/>
              <w:spacing w:line="360" w:lineRule="auto"/>
              <w:jc w:val="center"/>
              <w:rPr>
                <w:szCs w:val="21"/>
              </w:rPr>
            </w:pPr>
            <w:r>
              <w:rPr>
                <w:rFonts w:hint="eastAsia"/>
                <w:szCs w:val="21"/>
              </w:rPr>
              <w:t>商议和决议的内容</w:t>
            </w:r>
          </w:p>
        </w:tc>
      </w:tr>
      <w:tr w:rsidR="00EB6E50" w14:paraId="0DB465BA" w14:textId="77777777">
        <w:tc>
          <w:tcPr>
            <w:tcW w:w="1242" w:type="dxa"/>
          </w:tcPr>
          <w:p w14:paraId="54D9D4EB" w14:textId="77777777" w:rsidR="00EB6E50" w:rsidRDefault="00EB6E50">
            <w:pPr>
              <w:adjustRightInd w:val="0"/>
              <w:snapToGrid w:val="0"/>
              <w:spacing w:line="360" w:lineRule="auto"/>
              <w:rPr>
                <w:b/>
                <w:sz w:val="28"/>
                <w:szCs w:val="28"/>
              </w:rPr>
            </w:pPr>
          </w:p>
        </w:tc>
        <w:tc>
          <w:tcPr>
            <w:tcW w:w="993" w:type="dxa"/>
          </w:tcPr>
          <w:p w14:paraId="43CA17D5" w14:textId="77777777" w:rsidR="00EB6E50" w:rsidRDefault="00EB6E50">
            <w:pPr>
              <w:adjustRightInd w:val="0"/>
              <w:snapToGrid w:val="0"/>
              <w:spacing w:line="360" w:lineRule="auto"/>
              <w:rPr>
                <w:b/>
                <w:sz w:val="28"/>
                <w:szCs w:val="28"/>
              </w:rPr>
            </w:pPr>
          </w:p>
        </w:tc>
        <w:tc>
          <w:tcPr>
            <w:tcW w:w="1134" w:type="dxa"/>
          </w:tcPr>
          <w:p w14:paraId="3B0125C3" w14:textId="77777777" w:rsidR="00EB6E50" w:rsidRDefault="00EB6E50">
            <w:pPr>
              <w:adjustRightInd w:val="0"/>
              <w:snapToGrid w:val="0"/>
              <w:spacing w:line="360" w:lineRule="auto"/>
              <w:rPr>
                <w:b/>
                <w:sz w:val="28"/>
                <w:szCs w:val="28"/>
              </w:rPr>
            </w:pPr>
          </w:p>
        </w:tc>
        <w:tc>
          <w:tcPr>
            <w:tcW w:w="2126" w:type="dxa"/>
          </w:tcPr>
          <w:p w14:paraId="36128C72" w14:textId="77777777" w:rsidR="00EB6E50" w:rsidRDefault="00EB6E50">
            <w:pPr>
              <w:adjustRightInd w:val="0"/>
              <w:snapToGrid w:val="0"/>
              <w:spacing w:line="360" w:lineRule="auto"/>
              <w:rPr>
                <w:b/>
                <w:sz w:val="28"/>
                <w:szCs w:val="28"/>
              </w:rPr>
            </w:pPr>
          </w:p>
        </w:tc>
        <w:tc>
          <w:tcPr>
            <w:tcW w:w="1701" w:type="dxa"/>
          </w:tcPr>
          <w:p w14:paraId="00A2CCC1" w14:textId="77777777" w:rsidR="00EB6E50" w:rsidRDefault="00EB6E50">
            <w:pPr>
              <w:adjustRightInd w:val="0"/>
              <w:snapToGrid w:val="0"/>
              <w:spacing w:line="360" w:lineRule="auto"/>
              <w:rPr>
                <w:b/>
                <w:sz w:val="28"/>
                <w:szCs w:val="28"/>
              </w:rPr>
            </w:pPr>
          </w:p>
        </w:tc>
        <w:tc>
          <w:tcPr>
            <w:tcW w:w="2020" w:type="dxa"/>
          </w:tcPr>
          <w:p w14:paraId="0095CBB4" w14:textId="77777777" w:rsidR="00EB6E50" w:rsidRDefault="00EB6E50">
            <w:pPr>
              <w:adjustRightInd w:val="0"/>
              <w:snapToGrid w:val="0"/>
              <w:spacing w:line="360" w:lineRule="auto"/>
              <w:rPr>
                <w:b/>
                <w:sz w:val="28"/>
                <w:szCs w:val="28"/>
              </w:rPr>
            </w:pPr>
          </w:p>
        </w:tc>
      </w:tr>
      <w:tr w:rsidR="00EB6E50" w14:paraId="7E48FE6D" w14:textId="77777777">
        <w:tc>
          <w:tcPr>
            <w:tcW w:w="1242" w:type="dxa"/>
          </w:tcPr>
          <w:p w14:paraId="5CAF4B6C" w14:textId="77777777" w:rsidR="00EB6E50" w:rsidRDefault="00EB6E50">
            <w:pPr>
              <w:adjustRightInd w:val="0"/>
              <w:snapToGrid w:val="0"/>
              <w:spacing w:line="360" w:lineRule="auto"/>
              <w:rPr>
                <w:b/>
                <w:sz w:val="28"/>
                <w:szCs w:val="28"/>
              </w:rPr>
            </w:pPr>
          </w:p>
        </w:tc>
        <w:tc>
          <w:tcPr>
            <w:tcW w:w="993" w:type="dxa"/>
          </w:tcPr>
          <w:p w14:paraId="4BED5E4A" w14:textId="77777777" w:rsidR="00EB6E50" w:rsidRDefault="00EB6E50">
            <w:pPr>
              <w:adjustRightInd w:val="0"/>
              <w:snapToGrid w:val="0"/>
              <w:spacing w:line="360" w:lineRule="auto"/>
              <w:rPr>
                <w:b/>
                <w:sz w:val="28"/>
                <w:szCs w:val="28"/>
              </w:rPr>
            </w:pPr>
          </w:p>
        </w:tc>
        <w:tc>
          <w:tcPr>
            <w:tcW w:w="1134" w:type="dxa"/>
          </w:tcPr>
          <w:p w14:paraId="6C471C30" w14:textId="77777777" w:rsidR="00EB6E50" w:rsidRDefault="00EB6E50">
            <w:pPr>
              <w:adjustRightInd w:val="0"/>
              <w:snapToGrid w:val="0"/>
              <w:spacing w:line="360" w:lineRule="auto"/>
              <w:rPr>
                <w:b/>
                <w:sz w:val="28"/>
                <w:szCs w:val="28"/>
              </w:rPr>
            </w:pPr>
          </w:p>
        </w:tc>
        <w:tc>
          <w:tcPr>
            <w:tcW w:w="2126" w:type="dxa"/>
          </w:tcPr>
          <w:p w14:paraId="7F115F6F" w14:textId="77777777" w:rsidR="00EB6E50" w:rsidRDefault="00EB6E50">
            <w:pPr>
              <w:adjustRightInd w:val="0"/>
              <w:snapToGrid w:val="0"/>
              <w:spacing w:line="360" w:lineRule="auto"/>
              <w:rPr>
                <w:b/>
                <w:sz w:val="28"/>
                <w:szCs w:val="28"/>
              </w:rPr>
            </w:pPr>
          </w:p>
        </w:tc>
        <w:tc>
          <w:tcPr>
            <w:tcW w:w="1701" w:type="dxa"/>
          </w:tcPr>
          <w:p w14:paraId="58872B38" w14:textId="77777777" w:rsidR="00EB6E50" w:rsidRDefault="00EB6E50">
            <w:pPr>
              <w:adjustRightInd w:val="0"/>
              <w:snapToGrid w:val="0"/>
              <w:spacing w:line="360" w:lineRule="auto"/>
              <w:rPr>
                <w:b/>
                <w:sz w:val="28"/>
                <w:szCs w:val="28"/>
              </w:rPr>
            </w:pPr>
          </w:p>
        </w:tc>
        <w:tc>
          <w:tcPr>
            <w:tcW w:w="2020" w:type="dxa"/>
          </w:tcPr>
          <w:p w14:paraId="5491F3F6" w14:textId="77777777" w:rsidR="00EB6E50" w:rsidRDefault="00EB6E50">
            <w:pPr>
              <w:adjustRightInd w:val="0"/>
              <w:snapToGrid w:val="0"/>
              <w:spacing w:line="360" w:lineRule="auto"/>
              <w:rPr>
                <w:b/>
                <w:sz w:val="28"/>
                <w:szCs w:val="28"/>
              </w:rPr>
            </w:pPr>
          </w:p>
        </w:tc>
      </w:tr>
      <w:tr w:rsidR="00EB6E50" w14:paraId="7D7A6C3E" w14:textId="77777777">
        <w:tc>
          <w:tcPr>
            <w:tcW w:w="1242" w:type="dxa"/>
          </w:tcPr>
          <w:p w14:paraId="5155A889" w14:textId="77777777" w:rsidR="00EB6E50" w:rsidRDefault="00EB6E50">
            <w:pPr>
              <w:adjustRightInd w:val="0"/>
              <w:snapToGrid w:val="0"/>
              <w:spacing w:line="360" w:lineRule="auto"/>
              <w:rPr>
                <w:b/>
                <w:sz w:val="28"/>
                <w:szCs w:val="28"/>
              </w:rPr>
            </w:pPr>
          </w:p>
        </w:tc>
        <w:tc>
          <w:tcPr>
            <w:tcW w:w="993" w:type="dxa"/>
          </w:tcPr>
          <w:p w14:paraId="5E2F833C" w14:textId="77777777" w:rsidR="00EB6E50" w:rsidRDefault="00EB6E50">
            <w:pPr>
              <w:adjustRightInd w:val="0"/>
              <w:snapToGrid w:val="0"/>
              <w:spacing w:line="360" w:lineRule="auto"/>
              <w:rPr>
                <w:b/>
                <w:sz w:val="28"/>
                <w:szCs w:val="28"/>
              </w:rPr>
            </w:pPr>
          </w:p>
        </w:tc>
        <w:tc>
          <w:tcPr>
            <w:tcW w:w="1134" w:type="dxa"/>
          </w:tcPr>
          <w:p w14:paraId="5FCA6B1D" w14:textId="77777777" w:rsidR="00EB6E50" w:rsidRDefault="00EB6E50">
            <w:pPr>
              <w:adjustRightInd w:val="0"/>
              <w:snapToGrid w:val="0"/>
              <w:spacing w:line="360" w:lineRule="auto"/>
              <w:rPr>
                <w:b/>
                <w:sz w:val="28"/>
                <w:szCs w:val="28"/>
              </w:rPr>
            </w:pPr>
          </w:p>
        </w:tc>
        <w:tc>
          <w:tcPr>
            <w:tcW w:w="2126" w:type="dxa"/>
          </w:tcPr>
          <w:p w14:paraId="737C1AF6" w14:textId="77777777" w:rsidR="00EB6E50" w:rsidRDefault="00EB6E50">
            <w:pPr>
              <w:adjustRightInd w:val="0"/>
              <w:snapToGrid w:val="0"/>
              <w:spacing w:line="360" w:lineRule="auto"/>
              <w:rPr>
                <w:b/>
                <w:sz w:val="28"/>
                <w:szCs w:val="28"/>
              </w:rPr>
            </w:pPr>
          </w:p>
        </w:tc>
        <w:tc>
          <w:tcPr>
            <w:tcW w:w="1701" w:type="dxa"/>
          </w:tcPr>
          <w:p w14:paraId="7B2350FD" w14:textId="77777777" w:rsidR="00EB6E50" w:rsidRDefault="00EB6E50">
            <w:pPr>
              <w:adjustRightInd w:val="0"/>
              <w:snapToGrid w:val="0"/>
              <w:spacing w:line="360" w:lineRule="auto"/>
              <w:rPr>
                <w:b/>
                <w:sz w:val="28"/>
                <w:szCs w:val="28"/>
              </w:rPr>
            </w:pPr>
          </w:p>
        </w:tc>
        <w:tc>
          <w:tcPr>
            <w:tcW w:w="2020" w:type="dxa"/>
          </w:tcPr>
          <w:p w14:paraId="14E70368" w14:textId="77777777" w:rsidR="00EB6E50" w:rsidRDefault="00EB6E50">
            <w:pPr>
              <w:adjustRightInd w:val="0"/>
              <w:snapToGrid w:val="0"/>
              <w:spacing w:line="360" w:lineRule="auto"/>
              <w:rPr>
                <w:b/>
                <w:sz w:val="28"/>
                <w:szCs w:val="28"/>
              </w:rPr>
            </w:pPr>
          </w:p>
        </w:tc>
      </w:tr>
      <w:tr w:rsidR="00EB6E50" w14:paraId="16470A55" w14:textId="77777777">
        <w:tc>
          <w:tcPr>
            <w:tcW w:w="1242" w:type="dxa"/>
          </w:tcPr>
          <w:p w14:paraId="5C9780F4" w14:textId="77777777" w:rsidR="00EB6E50" w:rsidRDefault="00EB6E50">
            <w:pPr>
              <w:adjustRightInd w:val="0"/>
              <w:snapToGrid w:val="0"/>
              <w:spacing w:line="360" w:lineRule="auto"/>
              <w:rPr>
                <w:b/>
                <w:sz w:val="28"/>
                <w:szCs w:val="28"/>
              </w:rPr>
            </w:pPr>
          </w:p>
        </w:tc>
        <w:tc>
          <w:tcPr>
            <w:tcW w:w="993" w:type="dxa"/>
          </w:tcPr>
          <w:p w14:paraId="3B3B095A" w14:textId="77777777" w:rsidR="00EB6E50" w:rsidRDefault="00EB6E50">
            <w:pPr>
              <w:adjustRightInd w:val="0"/>
              <w:snapToGrid w:val="0"/>
              <w:spacing w:line="360" w:lineRule="auto"/>
              <w:rPr>
                <w:b/>
                <w:sz w:val="28"/>
                <w:szCs w:val="28"/>
              </w:rPr>
            </w:pPr>
          </w:p>
        </w:tc>
        <w:tc>
          <w:tcPr>
            <w:tcW w:w="1134" w:type="dxa"/>
          </w:tcPr>
          <w:p w14:paraId="62E28D12" w14:textId="77777777" w:rsidR="00EB6E50" w:rsidRDefault="00EB6E50">
            <w:pPr>
              <w:adjustRightInd w:val="0"/>
              <w:snapToGrid w:val="0"/>
              <w:spacing w:line="360" w:lineRule="auto"/>
              <w:rPr>
                <w:b/>
                <w:sz w:val="28"/>
                <w:szCs w:val="28"/>
              </w:rPr>
            </w:pPr>
          </w:p>
        </w:tc>
        <w:tc>
          <w:tcPr>
            <w:tcW w:w="2126" w:type="dxa"/>
          </w:tcPr>
          <w:p w14:paraId="284AE167" w14:textId="77777777" w:rsidR="00EB6E50" w:rsidRDefault="00EB6E50">
            <w:pPr>
              <w:adjustRightInd w:val="0"/>
              <w:snapToGrid w:val="0"/>
              <w:spacing w:line="360" w:lineRule="auto"/>
              <w:rPr>
                <w:b/>
                <w:sz w:val="28"/>
                <w:szCs w:val="28"/>
              </w:rPr>
            </w:pPr>
          </w:p>
        </w:tc>
        <w:tc>
          <w:tcPr>
            <w:tcW w:w="1701" w:type="dxa"/>
          </w:tcPr>
          <w:p w14:paraId="5BB5FB8A" w14:textId="77777777" w:rsidR="00EB6E50" w:rsidRDefault="00EB6E50">
            <w:pPr>
              <w:adjustRightInd w:val="0"/>
              <w:snapToGrid w:val="0"/>
              <w:spacing w:line="360" w:lineRule="auto"/>
              <w:rPr>
                <w:b/>
                <w:sz w:val="28"/>
                <w:szCs w:val="28"/>
              </w:rPr>
            </w:pPr>
          </w:p>
        </w:tc>
        <w:tc>
          <w:tcPr>
            <w:tcW w:w="2020" w:type="dxa"/>
          </w:tcPr>
          <w:p w14:paraId="6F7FD624" w14:textId="77777777" w:rsidR="00EB6E50" w:rsidRDefault="00EB6E50">
            <w:pPr>
              <w:adjustRightInd w:val="0"/>
              <w:snapToGrid w:val="0"/>
              <w:spacing w:line="360" w:lineRule="auto"/>
              <w:rPr>
                <w:b/>
                <w:sz w:val="28"/>
                <w:szCs w:val="28"/>
              </w:rPr>
            </w:pPr>
          </w:p>
        </w:tc>
      </w:tr>
      <w:tr w:rsidR="00EB6E50" w14:paraId="206EDB3B" w14:textId="77777777">
        <w:tc>
          <w:tcPr>
            <w:tcW w:w="1242" w:type="dxa"/>
          </w:tcPr>
          <w:p w14:paraId="3E641E0B" w14:textId="77777777" w:rsidR="00EB6E50" w:rsidRDefault="00EB6E50">
            <w:pPr>
              <w:adjustRightInd w:val="0"/>
              <w:snapToGrid w:val="0"/>
              <w:spacing w:line="360" w:lineRule="auto"/>
              <w:rPr>
                <w:b/>
                <w:sz w:val="28"/>
                <w:szCs w:val="28"/>
              </w:rPr>
            </w:pPr>
          </w:p>
        </w:tc>
        <w:tc>
          <w:tcPr>
            <w:tcW w:w="993" w:type="dxa"/>
          </w:tcPr>
          <w:p w14:paraId="21E16A8F" w14:textId="77777777" w:rsidR="00EB6E50" w:rsidRDefault="00EB6E50">
            <w:pPr>
              <w:adjustRightInd w:val="0"/>
              <w:snapToGrid w:val="0"/>
              <w:spacing w:line="360" w:lineRule="auto"/>
              <w:rPr>
                <w:b/>
                <w:sz w:val="28"/>
                <w:szCs w:val="28"/>
              </w:rPr>
            </w:pPr>
          </w:p>
        </w:tc>
        <w:tc>
          <w:tcPr>
            <w:tcW w:w="1134" w:type="dxa"/>
          </w:tcPr>
          <w:p w14:paraId="5FC1AC44" w14:textId="77777777" w:rsidR="00EB6E50" w:rsidRDefault="00EB6E50">
            <w:pPr>
              <w:adjustRightInd w:val="0"/>
              <w:snapToGrid w:val="0"/>
              <w:spacing w:line="360" w:lineRule="auto"/>
              <w:rPr>
                <w:b/>
                <w:sz w:val="28"/>
                <w:szCs w:val="28"/>
              </w:rPr>
            </w:pPr>
          </w:p>
        </w:tc>
        <w:tc>
          <w:tcPr>
            <w:tcW w:w="2126" w:type="dxa"/>
          </w:tcPr>
          <w:p w14:paraId="23FA8F03" w14:textId="77777777" w:rsidR="00EB6E50" w:rsidRDefault="00EB6E50">
            <w:pPr>
              <w:adjustRightInd w:val="0"/>
              <w:snapToGrid w:val="0"/>
              <w:spacing w:line="360" w:lineRule="auto"/>
              <w:rPr>
                <w:b/>
                <w:sz w:val="28"/>
                <w:szCs w:val="28"/>
              </w:rPr>
            </w:pPr>
          </w:p>
        </w:tc>
        <w:tc>
          <w:tcPr>
            <w:tcW w:w="1701" w:type="dxa"/>
          </w:tcPr>
          <w:p w14:paraId="5E4D258D" w14:textId="77777777" w:rsidR="00EB6E50" w:rsidRDefault="00EB6E50">
            <w:pPr>
              <w:adjustRightInd w:val="0"/>
              <w:snapToGrid w:val="0"/>
              <w:spacing w:line="360" w:lineRule="auto"/>
              <w:rPr>
                <w:b/>
                <w:sz w:val="28"/>
                <w:szCs w:val="28"/>
              </w:rPr>
            </w:pPr>
          </w:p>
        </w:tc>
        <w:tc>
          <w:tcPr>
            <w:tcW w:w="2020" w:type="dxa"/>
          </w:tcPr>
          <w:p w14:paraId="50A68CA8" w14:textId="77777777" w:rsidR="00EB6E50" w:rsidRDefault="00EB6E50">
            <w:pPr>
              <w:adjustRightInd w:val="0"/>
              <w:snapToGrid w:val="0"/>
              <w:spacing w:line="360" w:lineRule="auto"/>
              <w:rPr>
                <w:b/>
                <w:sz w:val="28"/>
                <w:szCs w:val="28"/>
              </w:rPr>
            </w:pPr>
          </w:p>
        </w:tc>
      </w:tr>
      <w:tr w:rsidR="00EB6E50" w14:paraId="794CB48A" w14:textId="77777777">
        <w:tc>
          <w:tcPr>
            <w:tcW w:w="1242" w:type="dxa"/>
          </w:tcPr>
          <w:p w14:paraId="57DD23E0" w14:textId="77777777" w:rsidR="00EB6E50" w:rsidRDefault="00EB6E50">
            <w:pPr>
              <w:adjustRightInd w:val="0"/>
              <w:snapToGrid w:val="0"/>
              <w:spacing w:line="360" w:lineRule="auto"/>
              <w:rPr>
                <w:b/>
                <w:sz w:val="28"/>
                <w:szCs w:val="28"/>
              </w:rPr>
            </w:pPr>
          </w:p>
        </w:tc>
        <w:tc>
          <w:tcPr>
            <w:tcW w:w="993" w:type="dxa"/>
          </w:tcPr>
          <w:p w14:paraId="59B6201D" w14:textId="77777777" w:rsidR="00EB6E50" w:rsidRDefault="00EB6E50">
            <w:pPr>
              <w:adjustRightInd w:val="0"/>
              <w:snapToGrid w:val="0"/>
              <w:spacing w:line="360" w:lineRule="auto"/>
              <w:rPr>
                <w:b/>
                <w:sz w:val="28"/>
                <w:szCs w:val="28"/>
              </w:rPr>
            </w:pPr>
          </w:p>
        </w:tc>
        <w:tc>
          <w:tcPr>
            <w:tcW w:w="1134" w:type="dxa"/>
          </w:tcPr>
          <w:p w14:paraId="3AFAED46" w14:textId="77777777" w:rsidR="00EB6E50" w:rsidRDefault="00EB6E50">
            <w:pPr>
              <w:adjustRightInd w:val="0"/>
              <w:snapToGrid w:val="0"/>
              <w:spacing w:line="360" w:lineRule="auto"/>
              <w:rPr>
                <w:b/>
                <w:sz w:val="28"/>
                <w:szCs w:val="28"/>
              </w:rPr>
            </w:pPr>
          </w:p>
        </w:tc>
        <w:tc>
          <w:tcPr>
            <w:tcW w:w="2126" w:type="dxa"/>
          </w:tcPr>
          <w:p w14:paraId="476D701E" w14:textId="77777777" w:rsidR="00EB6E50" w:rsidRDefault="00EB6E50">
            <w:pPr>
              <w:adjustRightInd w:val="0"/>
              <w:snapToGrid w:val="0"/>
              <w:spacing w:line="360" w:lineRule="auto"/>
              <w:rPr>
                <w:b/>
                <w:sz w:val="28"/>
                <w:szCs w:val="28"/>
              </w:rPr>
            </w:pPr>
          </w:p>
        </w:tc>
        <w:tc>
          <w:tcPr>
            <w:tcW w:w="1701" w:type="dxa"/>
          </w:tcPr>
          <w:p w14:paraId="4C7318FF" w14:textId="77777777" w:rsidR="00EB6E50" w:rsidRDefault="00EB6E50">
            <w:pPr>
              <w:adjustRightInd w:val="0"/>
              <w:snapToGrid w:val="0"/>
              <w:spacing w:line="360" w:lineRule="auto"/>
              <w:rPr>
                <w:b/>
                <w:sz w:val="28"/>
                <w:szCs w:val="28"/>
              </w:rPr>
            </w:pPr>
          </w:p>
        </w:tc>
        <w:tc>
          <w:tcPr>
            <w:tcW w:w="2020" w:type="dxa"/>
          </w:tcPr>
          <w:p w14:paraId="7692D044" w14:textId="77777777" w:rsidR="00EB6E50" w:rsidRDefault="00EB6E50">
            <w:pPr>
              <w:adjustRightInd w:val="0"/>
              <w:snapToGrid w:val="0"/>
              <w:spacing w:line="360" w:lineRule="auto"/>
              <w:rPr>
                <w:b/>
                <w:sz w:val="28"/>
                <w:szCs w:val="28"/>
              </w:rPr>
            </w:pPr>
          </w:p>
        </w:tc>
      </w:tr>
      <w:tr w:rsidR="00EB6E50" w14:paraId="7638E76A" w14:textId="77777777">
        <w:tc>
          <w:tcPr>
            <w:tcW w:w="1242" w:type="dxa"/>
          </w:tcPr>
          <w:p w14:paraId="0EB70B72" w14:textId="77777777" w:rsidR="00EB6E50" w:rsidRDefault="00EB6E50">
            <w:pPr>
              <w:adjustRightInd w:val="0"/>
              <w:snapToGrid w:val="0"/>
              <w:spacing w:line="360" w:lineRule="auto"/>
              <w:rPr>
                <w:b/>
                <w:sz w:val="28"/>
                <w:szCs w:val="28"/>
              </w:rPr>
            </w:pPr>
          </w:p>
        </w:tc>
        <w:tc>
          <w:tcPr>
            <w:tcW w:w="993" w:type="dxa"/>
          </w:tcPr>
          <w:p w14:paraId="1F3ECAE4" w14:textId="77777777" w:rsidR="00EB6E50" w:rsidRDefault="00EB6E50">
            <w:pPr>
              <w:adjustRightInd w:val="0"/>
              <w:snapToGrid w:val="0"/>
              <w:spacing w:line="360" w:lineRule="auto"/>
              <w:rPr>
                <w:b/>
                <w:sz w:val="28"/>
                <w:szCs w:val="28"/>
              </w:rPr>
            </w:pPr>
          </w:p>
        </w:tc>
        <w:tc>
          <w:tcPr>
            <w:tcW w:w="1134" w:type="dxa"/>
          </w:tcPr>
          <w:p w14:paraId="46FA4254" w14:textId="77777777" w:rsidR="00EB6E50" w:rsidRDefault="00EB6E50">
            <w:pPr>
              <w:adjustRightInd w:val="0"/>
              <w:snapToGrid w:val="0"/>
              <w:spacing w:line="360" w:lineRule="auto"/>
              <w:rPr>
                <w:b/>
                <w:sz w:val="28"/>
                <w:szCs w:val="28"/>
              </w:rPr>
            </w:pPr>
          </w:p>
        </w:tc>
        <w:tc>
          <w:tcPr>
            <w:tcW w:w="2126" w:type="dxa"/>
          </w:tcPr>
          <w:p w14:paraId="09CF5E85" w14:textId="77777777" w:rsidR="00EB6E50" w:rsidRDefault="00EB6E50">
            <w:pPr>
              <w:adjustRightInd w:val="0"/>
              <w:snapToGrid w:val="0"/>
              <w:spacing w:line="360" w:lineRule="auto"/>
              <w:rPr>
                <w:b/>
                <w:sz w:val="28"/>
                <w:szCs w:val="28"/>
              </w:rPr>
            </w:pPr>
          </w:p>
        </w:tc>
        <w:tc>
          <w:tcPr>
            <w:tcW w:w="1701" w:type="dxa"/>
          </w:tcPr>
          <w:p w14:paraId="7369CB29" w14:textId="77777777" w:rsidR="00EB6E50" w:rsidRDefault="00EB6E50">
            <w:pPr>
              <w:adjustRightInd w:val="0"/>
              <w:snapToGrid w:val="0"/>
              <w:spacing w:line="360" w:lineRule="auto"/>
              <w:rPr>
                <w:b/>
                <w:sz w:val="28"/>
                <w:szCs w:val="28"/>
              </w:rPr>
            </w:pPr>
          </w:p>
        </w:tc>
        <w:tc>
          <w:tcPr>
            <w:tcW w:w="2020" w:type="dxa"/>
          </w:tcPr>
          <w:p w14:paraId="3CA3E299" w14:textId="77777777" w:rsidR="00EB6E50" w:rsidRDefault="00EB6E50">
            <w:pPr>
              <w:adjustRightInd w:val="0"/>
              <w:snapToGrid w:val="0"/>
              <w:spacing w:line="360" w:lineRule="auto"/>
              <w:rPr>
                <w:b/>
                <w:sz w:val="28"/>
                <w:szCs w:val="28"/>
              </w:rPr>
            </w:pPr>
          </w:p>
        </w:tc>
      </w:tr>
      <w:tr w:rsidR="00EB6E50" w14:paraId="6867DD97" w14:textId="77777777">
        <w:tc>
          <w:tcPr>
            <w:tcW w:w="1242" w:type="dxa"/>
          </w:tcPr>
          <w:p w14:paraId="0012B390" w14:textId="77777777" w:rsidR="00EB6E50" w:rsidRDefault="00EB6E50">
            <w:pPr>
              <w:adjustRightInd w:val="0"/>
              <w:snapToGrid w:val="0"/>
              <w:spacing w:line="360" w:lineRule="auto"/>
              <w:rPr>
                <w:b/>
                <w:sz w:val="28"/>
                <w:szCs w:val="28"/>
              </w:rPr>
            </w:pPr>
          </w:p>
        </w:tc>
        <w:tc>
          <w:tcPr>
            <w:tcW w:w="993" w:type="dxa"/>
          </w:tcPr>
          <w:p w14:paraId="687F5E12" w14:textId="77777777" w:rsidR="00EB6E50" w:rsidRDefault="00EB6E50">
            <w:pPr>
              <w:adjustRightInd w:val="0"/>
              <w:snapToGrid w:val="0"/>
              <w:spacing w:line="360" w:lineRule="auto"/>
              <w:rPr>
                <w:b/>
                <w:sz w:val="28"/>
                <w:szCs w:val="28"/>
              </w:rPr>
            </w:pPr>
          </w:p>
        </w:tc>
        <w:tc>
          <w:tcPr>
            <w:tcW w:w="1134" w:type="dxa"/>
          </w:tcPr>
          <w:p w14:paraId="7948D2AC" w14:textId="77777777" w:rsidR="00EB6E50" w:rsidRDefault="00EB6E50">
            <w:pPr>
              <w:adjustRightInd w:val="0"/>
              <w:snapToGrid w:val="0"/>
              <w:spacing w:line="360" w:lineRule="auto"/>
              <w:rPr>
                <w:b/>
                <w:sz w:val="28"/>
                <w:szCs w:val="28"/>
              </w:rPr>
            </w:pPr>
          </w:p>
        </w:tc>
        <w:tc>
          <w:tcPr>
            <w:tcW w:w="2126" w:type="dxa"/>
          </w:tcPr>
          <w:p w14:paraId="79C6FACE" w14:textId="77777777" w:rsidR="00EB6E50" w:rsidRDefault="00EB6E50">
            <w:pPr>
              <w:adjustRightInd w:val="0"/>
              <w:snapToGrid w:val="0"/>
              <w:spacing w:line="360" w:lineRule="auto"/>
              <w:rPr>
                <w:b/>
                <w:sz w:val="28"/>
                <w:szCs w:val="28"/>
              </w:rPr>
            </w:pPr>
          </w:p>
        </w:tc>
        <w:tc>
          <w:tcPr>
            <w:tcW w:w="1701" w:type="dxa"/>
          </w:tcPr>
          <w:p w14:paraId="6190A772" w14:textId="77777777" w:rsidR="00EB6E50" w:rsidRDefault="00EB6E50">
            <w:pPr>
              <w:adjustRightInd w:val="0"/>
              <w:snapToGrid w:val="0"/>
              <w:spacing w:line="360" w:lineRule="auto"/>
              <w:rPr>
                <w:b/>
                <w:sz w:val="28"/>
                <w:szCs w:val="28"/>
              </w:rPr>
            </w:pPr>
          </w:p>
        </w:tc>
        <w:tc>
          <w:tcPr>
            <w:tcW w:w="2020" w:type="dxa"/>
          </w:tcPr>
          <w:p w14:paraId="0574AEF0" w14:textId="77777777" w:rsidR="00EB6E50" w:rsidRDefault="00EB6E50">
            <w:pPr>
              <w:adjustRightInd w:val="0"/>
              <w:snapToGrid w:val="0"/>
              <w:spacing w:line="360" w:lineRule="auto"/>
              <w:rPr>
                <w:b/>
                <w:sz w:val="28"/>
                <w:szCs w:val="28"/>
              </w:rPr>
            </w:pPr>
          </w:p>
        </w:tc>
      </w:tr>
      <w:tr w:rsidR="00EB6E50" w14:paraId="024A3F61" w14:textId="77777777">
        <w:tc>
          <w:tcPr>
            <w:tcW w:w="1242" w:type="dxa"/>
          </w:tcPr>
          <w:p w14:paraId="73ACD0BB" w14:textId="77777777" w:rsidR="00EB6E50" w:rsidRDefault="00EB6E50">
            <w:pPr>
              <w:adjustRightInd w:val="0"/>
              <w:snapToGrid w:val="0"/>
              <w:spacing w:line="360" w:lineRule="auto"/>
              <w:rPr>
                <w:b/>
                <w:sz w:val="28"/>
                <w:szCs w:val="28"/>
              </w:rPr>
            </w:pPr>
          </w:p>
        </w:tc>
        <w:tc>
          <w:tcPr>
            <w:tcW w:w="993" w:type="dxa"/>
          </w:tcPr>
          <w:p w14:paraId="47D07ED5" w14:textId="77777777" w:rsidR="00EB6E50" w:rsidRDefault="00EB6E50">
            <w:pPr>
              <w:adjustRightInd w:val="0"/>
              <w:snapToGrid w:val="0"/>
              <w:spacing w:line="360" w:lineRule="auto"/>
              <w:rPr>
                <w:b/>
                <w:sz w:val="28"/>
                <w:szCs w:val="28"/>
              </w:rPr>
            </w:pPr>
          </w:p>
        </w:tc>
        <w:tc>
          <w:tcPr>
            <w:tcW w:w="1134" w:type="dxa"/>
          </w:tcPr>
          <w:p w14:paraId="249E969C" w14:textId="77777777" w:rsidR="00EB6E50" w:rsidRDefault="00EB6E50">
            <w:pPr>
              <w:adjustRightInd w:val="0"/>
              <w:snapToGrid w:val="0"/>
              <w:spacing w:line="360" w:lineRule="auto"/>
              <w:rPr>
                <w:b/>
                <w:sz w:val="28"/>
                <w:szCs w:val="28"/>
              </w:rPr>
            </w:pPr>
          </w:p>
        </w:tc>
        <w:tc>
          <w:tcPr>
            <w:tcW w:w="2126" w:type="dxa"/>
          </w:tcPr>
          <w:p w14:paraId="7304A15B" w14:textId="77777777" w:rsidR="00EB6E50" w:rsidRDefault="00EB6E50">
            <w:pPr>
              <w:adjustRightInd w:val="0"/>
              <w:snapToGrid w:val="0"/>
              <w:spacing w:line="360" w:lineRule="auto"/>
              <w:rPr>
                <w:b/>
                <w:sz w:val="28"/>
                <w:szCs w:val="28"/>
              </w:rPr>
            </w:pPr>
          </w:p>
        </w:tc>
        <w:tc>
          <w:tcPr>
            <w:tcW w:w="1701" w:type="dxa"/>
          </w:tcPr>
          <w:p w14:paraId="13AF133A" w14:textId="77777777" w:rsidR="00EB6E50" w:rsidRDefault="00EB6E50">
            <w:pPr>
              <w:adjustRightInd w:val="0"/>
              <w:snapToGrid w:val="0"/>
              <w:spacing w:line="360" w:lineRule="auto"/>
              <w:rPr>
                <w:b/>
                <w:sz w:val="28"/>
                <w:szCs w:val="28"/>
              </w:rPr>
            </w:pPr>
          </w:p>
        </w:tc>
        <w:tc>
          <w:tcPr>
            <w:tcW w:w="2020" w:type="dxa"/>
          </w:tcPr>
          <w:p w14:paraId="3E815297" w14:textId="77777777" w:rsidR="00EB6E50" w:rsidRDefault="00EB6E50">
            <w:pPr>
              <w:adjustRightInd w:val="0"/>
              <w:snapToGrid w:val="0"/>
              <w:spacing w:line="360" w:lineRule="auto"/>
              <w:rPr>
                <w:b/>
                <w:sz w:val="28"/>
                <w:szCs w:val="28"/>
              </w:rPr>
            </w:pPr>
          </w:p>
        </w:tc>
      </w:tr>
      <w:tr w:rsidR="00EB6E50" w14:paraId="7864E61E" w14:textId="77777777">
        <w:tc>
          <w:tcPr>
            <w:tcW w:w="1242" w:type="dxa"/>
          </w:tcPr>
          <w:p w14:paraId="756E1B84" w14:textId="77777777" w:rsidR="00EB6E50" w:rsidRDefault="00EB6E50">
            <w:pPr>
              <w:adjustRightInd w:val="0"/>
              <w:snapToGrid w:val="0"/>
              <w:spacing w:line="360" w:lineRule="auto"/>
              <w:rPr>
                <w:b/>
                <w:sz w:val="28"/>
                <w:szCs w:val="28"/>
              </w:rPr>
            </w:pPr>
          </w:p>
        </w:tc>
        <w:tc>
          <w:tcPr>
            <w:tcW w:w="993" w:type="dxa"/>
          </w:tcPr>
          <w:p w14:paraId="1C228866" w14:textId="77777777" w:rsidR="00EB6E50" w:rsidRDefault="00EB6E50">
            <w:pPr>
              <w:adjustRightInd w:val="0"/>
              <w:snapToGrid w:val="0"/>
              <w:spacing w:line="360" w:lineRule="auto"/>
              <w:rPr>
                <w:b/>
                <w:sz w:val="28"/>
                <w:szCs w:val="28"/>
              </w:rPr>
            </w:pPr>
          </w:p>
        </w:tc>
        <w:tc>
          <w:tcPr>
            <w:tcW w:w="1134" w:type="dxa"/>
          </w:tcPr>
          <w:p w14:paraId="73D77BC1" w14:textId="77777777" w:rsidR="00EB6E50" w:rsidRDefault="00EB6E50">
            <w:pPr>
              <w:adjustRightInd w:val="0"/>
              <w:snapToGrid w:val="0"/>
              <w:spacing w:line="360" w:lineRule="auto"/>
              <w:rPr>
                <w:b/>
                <w:sz w:val="28"/>
                <w:szCs w:val="28"/>
              </w:rPr>
            </w:pPr>
          </w:p>
        </w:tc>
        <w:tc>
          <w:tcPr>
            <w:tcW w:w="2126" w:type="dxa"/>
          </w:tcPr>
          <w:p w14:paraId="2CB39EFD" w14:textId="77777777" w:rsidR="00EB6E50" w:rsidRDefault="00EB6E50">
            <w:pPr>
              <w:adjustRightInd w:val="0"/>
              <w:snapToGrid w:val="0"/>
              <w:spacing w:line="360" w:lineRule="auto"/>
              <w:rPr>
                <w:b/>
                <w:sz w:val="28"/>
                <w:szCs w:val="28"/>
              </w:rPr>
            </w:pPr>
          </w:p>
        </w:tc>
        <w:tc>
          <w:tcPr>
            <w:tcW w:w="1701" w:type="dxa"/>
          </w:tcPr>
          <w:p w14:paraId="01E71DC4" w14:textId="77777777" w:rsidR="00EB6E50" w:rsidRDefault="00EB6E50">
            <w:pPr>
              <w:adjustRightInd w:val="0"/>
              <w:snapToGrid w:val="0"/>
              <w:spacing w:line="360" w:lineRule="auto"/>
              <w:rPr>
                <w:b/>
                <w:sz w:val="28"/>
                <w:szCs w:val="28"/>
              </w:rPr>
            </w:pPr>
          </w:p>
        </w:tc>
        <w:tc>
          <w:tcPr>
            <w:tcW w:w="2020" w:type="dxa"/>
          </w:tcPr>
          <w:p w14:paraId="1A6D911E" w14:textId="77777777" w:rsidR="00EB6E50" w:rsidRDefault="00EB6E50">
            <w:pPr>
              <w:adjustRightInd w:val="0"/>
              <w:snapToGrid w:val="0"/>
              <w:spacing w:line="360" w:lineRule="auto"/>
              <w:rPr>
                <w:b/>
                <w:sz w:val="28"/>
                <w:szCs w:val="28"/>
              </w:rPr>
            </w:pPr>
          </w:p>
        </w:tc>
      </w:tr>
      <w:tr w:rsidR="00EB6E50" w14:paraId="346315FC" w14:textId="77777777">
        <w:tc>
          <w:tcPr>
            <w:tcW w:w="1242" w:type="dxa"/>
          </w:tcPr>
          <w:p w14:paraId="51DD02E9" w14:textId="77777777" w:rsidR="00EB6E50" w:rsidRDefault="00EB6E50">
            <w:pPr>
              <w:adjustRightInd w:val="0"/>
              <w:snapToGrid w:val="0"/>
              <w:spacing w:line="360" w:lineRule="auto"/>
              <w:rPr>
                <w:b/>
                <w:sz w:val="28"/>
                <w:szCs w:val="28"/>
              </w:rPr>
            </w:pPr>
          </w:p>
        </w:tc>
        <w:tc>
          <w:tcPr>
            <w:tcW w:w="993" w:type="dxa"/>
          </w:tcPr>
          <w:p w14:paraId="26C581C8" w14:textId="77777777" w:rsidR="00EB6E50" w:rsidRDefault="00EB6E50">
            <w:pPr>
              <w:adjustRightInd w:val="0"/>
              <w:snapToGrid w:val="0"/>
              <w:spacing w:line="360" w:lineRule="auto"/>
              <w:rPr>
                <w:b/>
                <w:sz w:val="28"/>
                <w:szCs w:val="28"/>
              </w:rPr>
            </w:pPr>
          </w:p>
        </w:tc>
        <w:tc>
          <w:tcPr>
            <w:tcW w:w="1134" w:type="dxa"/>
          </w:tcPr>
          <w:p w14:paraId="0210A708" w14:textId="77777777" w:rsidR="00EB6E50" w:rsidRDefault="00EB6E50">
            <w:pPr>
              <w:adjustRightInd w:val="0"/>
              <w:snapToGrid w:val="0"/>
              <w:spacing w:line="360" w:lineRule="auto"/>
              <w:rPr>
                <w:b/>
                <w:sz w:val="28"/>
                <w:szCs w:val="28"/>
              </w:rPr>
            </w:pPr>
          </w:p>
        </w:tc>
        <w:tc>
          <w:tcPr>
            <w:tcW w:w="2126" w:type="dxa"/>
          </w:tcPr>
          <w:p w14:paraId="53E49B6C" w14:textId="77777777" w:rsidR="00EB6E50" w:rsidRDefault="00EB6E50">
            <w:pPr>
              <w:adjustRightInd w:val="0"/>
              <w:snapToGrid w:val="0"/>
              <w:spacing w:line="360" w:lineRule="auto"/>
              <w:rPr>
                <w:b/>
                <w:sz w:val="28"/>
                <w:szCs w:val="28"/>
              </w:rPr>
            </w:pPr>
          </w:p>
        </w:tc>
        <w:tc>
          <w:tcPr>
            <w:tcW w:w="1701" w:type="dxa"/>
          </w:tcPr>
          <w:p w14:paraId="042B5CF3" w14:textId="77777777" w:rsidR="00EB6E50" w:rsidRDefault="00EB6E50">
            <w:pPr>
              <w:adjustRightInd w:val="0"/>
              <w:snapToGrid w:val="0"/>
              <w:spacing w:line="360" w:lineRule="auto"/>
              <w:rPr>
                <w:b/>
                <w:sz w:val="28"/>
                <w:szCs w:val="28"/>
              </w:rPr>
            </w:pPr>
          </w:p>
        </w:tc>
        <w:tc>
          <w:tcPr>
            <w:tcW w:w="2020" w:type="dxa"/>
          </w:tcPr>
          <w:p w14:paraId="0E99912D" w14:textId="77777777" w:rsidR="00EB6E50" w:rsidRDefault="00EB6E50">
            <w:pPr>
              <w:adjustRightInd w:val="0"/>
              <w:snapToGrid w:val="0"/>
              <w:spacing w:line="360" w:lineRule="auto"/>
              <w:rPr>
                <w:b/>
                <w:sz w:val="28"/>
                <w:szCs w:val="28"/>
              </w:rPr>
            </w:pPr>
          </w:p>
        </w:tc>
      </w:tr>
      <w:tr w:rsidR="00EB6E50" w14:paraId="5E73BD31" w14:textId="77777777">
        <w:tc>
          <w:tcPr>
            <w:tcW w:w="1242" w:type="dxa"/>
          </w:tcPr>
          <w:p w14:paraId="584F2595" w14:textId="77777777" w:rsidR="00EB6E50" w:rsidRDefault="00EB6E50">
            <w:pPr>
              <w:adjustRightInd w:val="0"/>
              <w:snapToGrid w:val="0"/>
              <w:spacing w:line="360" w:lineRule="auto"/>
              <w:rPr>
                <w:b/>
                <w:sz w:val="28"/>
                <w:szCs w:val="28"/>
              </w:rPr>
            </w:pPr>
          </w:p>
        </w:tc>
        <w:tc>
          <w:tcPr>
            <w:tcW w:w="993" w:type="dxa"/>
          </w:tcPr>
          <w:p w14:paraId="6F61B871" w14:textId="77777777" w:rsidR="00EB6E50" w:rsidRDefault="00EB6E50">
            <w:pPr>
              <w:adjustRightInd w:val="0"/>
              <w:snapToGrid w:val="0"/>
              <w:spacing w:line="360" w:lineRule="auto"/>
              <w:rPr>
                <w:b/>
                <w:sz w:val="28"/>
                <w:szCs w:val="28"/>
              </w:rPr>
            </w:pPr>
          </w:p>
        </w:tc>
        <w:tc>
          <w:tcPr>
            <w:tcW w:w="1134" w:type="dxa"/>
          </w:tcPr>
          <w:p w14:paraId="12EDB5CC" w14:textId="77777777" w:rsidR="00EB6E50" w:rsidRDefault="00EB6E50">
            <w:pPr>
              <w:adjustRightInd w:val="0"/>
              <w:snapToGrid w:val="0"/>
              <w:spacing w:line="360" w:lineRule="auto"/>
              <w:rPr>
                <w:b/>
                <w:sz w:val="28"/>
                <w:szCs w:val="28"/>
              </w:rPr>
            </w:pPr>
          </w:p>
        </w:tc>
        <w:tc>
          <w:tcPr>
            <w:tcW w:w="2126" w:type="dxa"/>
          </w:tcPr>
          <w:p w14:paraId="44641891" w14:textId="77777777" w:rsidR="00EB6E50" w:rsidRDefault="00EB6E50">
            <w:pPr>
              <w:adjustRightInd w:val="0"/>
              <w:snapToGrid w:val="0"/>
              <w:spacing w:line="360" w:lineRule="auto"/>
              <w:rPr>
                <w:b/>
                <w:sz w:val="28"/>
                <w:szCs w:val="28"/>
              </w:rPr>
            </w:pPr>
          </w:p>
        </w:tc>
        <w:tc>
          <w:tcPr>
            <w:tcW w:w="1701" w:type="dxa"/>
          </w:tcPr>
          <w:p w14:paraId="4F0F5B20" w14:textId="77777777" w:rsidR="00EB6E50" w:rsidRDefault="00EB6E50">
            <w:pPr>
              <w:adjustRightInd w:val="0"/>
              <w:snapToGrid w:val="0"/>
              <w:spacing w:line="360" w:lineRule="auto"/>
              <w:rPr>
                <w:b/>
                <w:sz w:val="28"/>
                <w:szCs w:val="28"/>
              </w:rPr>
            </w:pPr>
          </w:p>
        </w:tc>
        <w:tc>
          <w:tcPr>
            <w:tcW w:w="2020" w:type="dxa"/>
          </w:tcPr>
          <w:p w14:paraId="1B27BC69" w14:textId="77777777" w:rsidR="00EB6E50" w:rsidRDefault="00EB6E50">
            <w:pPr>
              <w:adjustRightInd w:val="0"/>
              <w:snapToGrid w:val="0"/>
              <w:spacing w:line="360" w:lineRule="auto"/>
              <w:rPr>
                <w:b/>
                <w:sz w:val="28"/>
                <w:szCs w:val="28"/>
              </w:rPr>
            </w:pPr>
          </w:p>
        </w:tc>
      </w:tr>
      <w:tr w:rsidR="00EB6E50" w14:paraId="3F1DD1D6" w14:textId="77777777">
        <w:tc>
          <w:tcPr>
            <w:tcW w:w="1242" w:type="dxa"/>
          </w:tcPr>
          <w:p w14:paraId="192DF1B8" w14:textId="77777777" w:rsidR="00EB6E50" w:rsidRDefault="00EB6E50">
            <w:pPr>
              <w:adjustRightInd w:val="0"/>
              <w:snapToGrid w:val="0"/>
              <w:spacing w:line="360" w:lineRule="auto"/>
              <w:rPr>
                <w:b/>
                <w:sz w:val="28"/>
                <w:szCs w:val="28"/>
              </w:rPr>
            </w:pPr>
          </w:p>
        </w:tc>
        <w:tc>
          <w:tcPr>
            <w:tcW w:w="993" w:type="dxa"/>
          </w:tcPr>
          <w:p w14:paraId="129EEF6C" w14:textId="77777777" w:rsidR="00EB6E50" w:rsidRDefault="00EB6E50">
            <w:pPr>
              <w:adjustRightInd w:val="0"/>
              <w:snapToGrid w:val="0"/>
              <w:spacing w:line="360" w:lineRule="auto"/>
              <w:rPr>
                <w:b/>
                <w:sz w:val="28"/>
                <w:szCs w:val="28"/>
              </w:rPr>
            </w:pPr>
          </w:p>
        </w:tc>
        <w:tc>
          <w:tcPr>
            <w:tcW w:w="1134" w:type="dxa"/>
          </w:tcPr>
          <w:p w14:paraId="7653B1F6" w14:textId="77777777" w:rsidR="00EB6E50" w:rsidRDefault="00EB6E50">
            <w:pPr>
              <w:adjustRightInd w:val="0"/>
              <w:snapToGrid w:val="0"/>
              <w:spacing w:line="360" w:lineRule="auto"/>
              <w:rPr>
                <w:b/>
                <w:sz w:val="28"/>
                <w:szCs w:val="28"/>
              </w:rPr>
            </w:pPr>
          </w:p>
        </w:tc>
        <w:tc>
          <w:tcPr>
            <w:tcW w:w="2126" w:type="dxa"/>
          </w:tcPr>
          <w:p w14:paraId="03DF1F42" w14:textId="77777777" w:rsidR="00EB6E50" w:rsidRDefault="00EB6E50">
            <w:pPr>
              <w:adjustRightInd w:val="0"/>
              <w:snapToGrid w:val="0"/>
              <w:spacing w:line="360" w:lineRule="auto"/>
              <w:rPr>
                <w:b/>
                <w:sz w:val="28"/>
                <w:szCs w:val="28"/>
              </w:rPr>
            </w:pPr>
          </w:p>
        </w:tc>
        <w:tc>
          <w:tcPr>
            <w:tcW w:w="1701" w:type="dxa"/>
          </w:tcPr>
          <w:p w14:paraId="21BEE83E" w14:textId="77777777" w:rsidR="00EB6E50" w:rsidRDefault="00EB6E50">
            <w:pPr>
              <w:adjustRightInd w:val="0"/>
              <w:snapToGrid w:val="0"/>
              <w:spacing w:line="360" w:lineRule="auto"/>
              <w:rPr>
                <w:b/>
                <w:sz w:val="28"/>
                <w:szCs w:val="28"/>
              </w:rPr>
            </w:pPr>
          </w:p>
        </w:tc>
        <w:tc>
          <w:tcPr>
            <w:tcW w:w="2020" w:type="dxa"/>
          </w:tcPr>
          <w:p w14:paraId="33E04E04" w14:textId="77777777" w:rsidR="00EB6E50" w:rsidRDefault="00EB6E50">
            <w:pPr>
              <w:adjustRightInd w:val="0"/>
              <w:snapToGrid w:val="0"/>
              <w:spacing w:line="360" w:lineRule="auto"/>
              <w:rPr>
                <w:b/>
                <w:sz w:val="28"/>
                <w:szCs w:val="28"/>
              </w:rPr>
            </w:pPr>
          </w:p>
        </w:tc>
      </w:tr>
      <w:tr w:rsidR="00EB6E50" w14:paraId="549E8E08" w14:textId="77777777">
        <w:tc>
          <w:tcPr>
            <w:tcW w:w="1242" w:type="dxa"/>
          </w:tcPr>
          <w:p w14:paraId="7607C52C" w14:textId="77777777" w:rsidR="00EB6E50" w:rsidRDefault="00EB6E50">
            <w:pPr>
              <w:adjustRightInd w:val="0"/>
              <w:snapToGrid w:val="0"/>
              <w:spacing w:line="360" w:lineRule="auto"/>
              <w:rPr>
                <w:b/>
                <w:sz w:val="28"/>
                <w:szCs w:val="28"/>
              </w:rPr>
            </w:pPr>
          </w:p>
        </w:tc>
        <w:tc>
          <w:tcPr>
            <w:tcW w:w="993" w:type="dxa"/>
          </w:tcPr>
          <w:p w14:paraId="23241F4C" w14:textId="77777777" w:rsidR="00EB6E50" w:rsidRDefault="00EB6E50">
            <w:pPr>
              <w:adjustRightInd w:val="0"/>
              <w:snapToGrid w:val="0"/>
              <w:spacing w:line="360" w:lineRule="auto"/>
              <w:rPr>
                <w:b/>
                <w:sz w:val="28"/>
                <w:szCs w:val="28"/>
              </w:rPr>
            </w:pPr>
          </w:p>
        </w:tc>
        <w:tc>
          <w:tcPr>
            <w:tcW w:w="1134" w:type="dxa"/>
          </w:tcPr>
          <w:p w14:paraId="3BD17942" w14:textId="77777777" w:rsidR="00EB6E50" w:rsidRDefault="00EB6E50">
            <w:pPr>
              <w:adjustRightInd w:val="0"/>
              <w:snapToGrid w:val="0"/>
              <w:spacing w:line="360" w:lineRule="auto"/>
              <w:rPr>
                <w:b/>
                <w:sz w:val="28"/>
                <w:szCs w:val="28"/>
              </w:rPr>
            </w:pPr>
          </w:p>
        </w:tc>
        <w:tc>
          <w:tcPr>
            <w:tcW w:w="2126" w:type="dxa"/>
          </w:tcPr>
          <w:p w14:paraId="6E2599DD" w14:textId="77777777" w:rsidR="00EB6E50" w:rsidRDefault="00EB6E50">
            <w:pPr>
              <w:adjustRightInd w:val="0"/>
              <w:snapToGrid w:val="0"/>
              <w:spacing w:line="360" w:lineRule="auto"/>
              <w:rPr>
                <w:b/>
                <w:sz w:val="28"/>
                <w:szCs w:val="28"/>
              </w:rPr>
            </w:pPr>
          </w:p>
        </w:tc>
        <w:tc>
          <w:tcPr>
            <w:tcW w:w="1701" w:type="dxa"/>
          </w:tcPr>
          <w:p w14:paraId="338C98AA" w14:textId="77777777" w:rsidR="00EB6E50" w:rsidRDefault="00EB6E50">
            <w:pPr>
              <w:adjustRightInd w:val="0"/>
              <w:snapToGrid w:val="0"/>
              <w:spacing w:line="360" w:lineRule="auto"/>
              <w:rPr>
                <w:b/>
                <w:sz w:val="28"/>
                <w:szCs w:val="28"/>
              </w:rPr>
            </w:pPr>
          </w:p>
        </w:tc>
        <w:tc>
          <w:tcPr>
            <w:tcW w:w="2020" w:type="dxa"/>
          </w:tcPr>
          <w:p w14:paraId="33C98275" w14:textId="77777777" w:rsidR="00EB6E50" w:rsidRDefault="00EB6E50">
            <w:pPr>
              <w:adjustRightInd w:val="0"/>
              <w:snapToGrid w:val="0"/>
              <w:spacing w:line="360" w:lineRule="auto"/>
              <w:rPr>
                <w:b/>
                <w:sz w:val="28"/>
                <w:szCs w:val="28"/>
              </w:rPr>
            </w:pPr>
          </w:p>
        </w:tc>
      </w:tr>
      <w:tr w:rsidR="00EB6E50" w14:paraId="7212DE67" w14:textId="77777777">
        <w:tc>
          <w:tcPr>
            <w:tcW w:w="1242" w:type="dxa"/>
          </w:tcPr>
          <w:p w14:paraId="61BBA657" w14:textId="77777777" w:rsidR="00EB6E50" w:rsidRDefault="00EB6E50">
            <w:pPr>
              <w:adjustRightInd w:val="0"/>
              <w:snapToGrid w:val="0"/>
              <w:spacing w:line="360" w:lineRule="auto"/>
              <w:rPr>
                <w:b/>
                <w:sz w:val="28"/>
                <w:szCs w:val="28"/>
              </w:rPr>
            </w:pPr>
          </w:p>
        </w:tc>
        <w:tc>
          <w:tcPr>
            <w:tcW w:w="993" w:type="dxa"/>
          </w:tcPr>
          <w:p w14:paraId="76E944D9" w14:textId="77777777" w:rsidR="00EB6E50" w:rsidRDefault="00EB6E50">
            <w:pPr>
              <w:adjustRightInd w:val="0"/>
              <w:snapToGrid w:val="0"/>
              <w:spacing w:line="360" w:lineRule="auto"/>
              <w:rPr>
                <w:b/>
                <w:sz w:val="28"/>
                <w:szCs w:val="28"/>
              </w:rPr>
            </w:pPr>
          </w:p>
        </w:tc>
        <w:tc>
          <w:tcPr>
            <w:tcW w:w="1134" w:type="dxa"/>
          </w:tcPr>
          <w:p w14:paraId="6E033297" w14:textId="77777777" w:rsidR="00EB6E50" w:rsidRDefault="00EB6E50">
            <w:pPr>
              <w:adjustRightInd w:val="0"/>
              <w:snapToGrid w:val="0"/>
              <w:spacing w:line="360" w:lineRule="auto"/>
              <w:rPr>
                <w:b/>
                <w:sz w:val="28"/>
                <w:szCs w:val="28"/>
              </w:rPr>
            </w:pPr>
          </w:p>
        </w:tc>
        <w:tc>
          <w:tcPr>
            <w:tcW w:w="2126" w:type="dxa"/>
          </w:tcPr>
          <w:p w14:paraId="0BB8AB24" w14:textId="77777777" w:rsidR="00EB6E50" w:rsidRDefault="00EB6E50">
            <w:pPr>
              <w:adjustRightInd w:val="0"/>
              <w:snapToGrid w:val="0"/>
              <w:spacing w:line="360" w:lineRule="auto"/>
              <w:rPr>
                <w:b/>
                <w:sz w:val="28"/>
                <w:szCs w:val="28"/>
              </w:rPr>
            </w:pPr>
          </w:p>
        </w:tc>
        <w:tc>
          <w:tcPr>
            <w:tcW w:w="1701" w:type="dxa"/>
          </w:tcPr>
          <w:p w14:paraId="468A474A" w14:textId="77777777" w:rsidR="00EB6E50" w:rsidRDefault="00EB6E50">
            <w:pPr>
              <w:adjustRightInd w:val="0"/>
              <w:snapToGrid w:val="0"/>
              <w:spacing w:line="360" w:lineRule="auto"/>
              <w:rPr>
                <w:b/>
                <w:sz w:val="28"/>
                <w:szCs w:val="28"/>
              </w:rPr>
            </w:pPr>
          </w:p>
        </w:tc>
        <w:tc>
          <w:tcPr>
            <w:tcW w:w="2020" w:type="dxa"/>
          </w:tcPr>
          <w:p w14:paraId="41DDB919" w14:textId="77777777" w:rsidR="00EB6E50" w:rsidRDefault="00EB6E50">
            <w:pPr>
              <w:adjustRightInd w:val="0"/>
              <w:snapToGrid w:val="0"/>
              <w:spacing w:line="360" w:lineRule="auto"/>
              <w:rPr>
                <w:b/>
                <w:sz w:val="28"/>
                <w:szCs w:val="28"/>
              </w:rPr>
            </w:pPr>
          </w:p>
        </w:tc>
      </w:tr>
      <w:tr w:rsidR="00EB6E50" w14:paraId="574C06A9" w14:textId="77777777">
        <w:tc>
          <w:tcPr>
            <w:tcW w:w="1242" w:type="dxa"/>
          </w:tcPr>
          <w:p w14:paraId="58EB0BF4" w14:textId="77777777" w:rsidR="00EB6E50" w:rsidRDefault="00EB6E50">
            <w:pPr>
              <w:adjustRightInd w:val="0"/>
              <w:snapToGrid w:val="0"/>
              <w:spacing w:line="360" w:lineRule="auto"/>
              <w:rPr>
                <w:b/>
                <w:sz w:val="28"/>
                <w:szCs w:val="28"/>
              </w:rPr>
            </w:pPr>
          </w:p>
        </w:tc>
        <w:tc>
          <w:tcPr>
            <w:tcW w:w="993" w:type="dxa"/>
          </w:tcPr>
          <w:p w14:paraId="4C367744" w14:textId="77777777" w:rsidR="00EB6E50" w:rsidRDefault="00EB6E50">
            <w:pPr>
              <w:adjustRightInd w:val="0"/>
              <w:snapToGrid w:val="0"/>
              <w:spacing w:line="360" w:lineRule="auto"/>
              <w:rPr>
                <w:b/>
                <w:sz w:val="28"/>
                <w:szCs w:val="28"/>
              </w:rPr>
            </w:pPr>
          </w:p>
        </w:tc>
        <w:tc>
          <w:tcPr>
            <w:tcW w:w="1134" w:type="dxa"/>
          </w:tcPr>
          <w:p w14:paraId="608A4D8F" w14:textId="77777777" w:rsidR="00EB6E50" w:rsidRDefault="00EB6E50">
            <w:pPr>
              <w:adjustRightInd w:val="0"/>
              <w:snapToGrid w:val="0"/>
              <w:spacing w:line="360" w:lineRule="auto"/>
              <w:rPr>
                <w:b/>
                <w:sz w:val="28"/>
                <w:szCs w:val="28"/>
              </w:rPr>
            </w:pPr>
          </w:p>
        </w:tc>
        <w:tc>
          <w:tcPr>
            <w:tcW w:w="2126" w:type="dxa"/>
          </w:tcPr>
          <w:p w14:paraId="34CE4955" w14:textId="77777777" w:rsidR="00EB6E50" w:rsidRDefault="00EB6E50">
            <w:pPr>
              <w:adjustRightInd w:val="0"/>
              <w:snapToGrid w:val="0"/>
              <w:spacing w:line="360" w:lineRule="auto"/>
              <w:rPr>
                <w:b/>
                <w:sz w:val="28"/>
                <w:szCs w:val="28"/>
              </w:rPr>
            </w:pPr>
          </w:p>
        </w:tc>
        <w:tc>
          <w:tcPr>
            <w:tcW w:w="1701" w:type="dxa"/>
          </w:tcPr>
          <w:p w14:paraId="68E0084F" w14:textId="77777777" w:rsidR="00EB6E50" w:rsidRDefault="00EB6E50">
            <w:pPr>
              <w:adjustRightInd w:val="0"/>
              <w:snapToGrid w:val="0"/>
              <w:spacing w:line="360" w:lineRule="auto"/>
              <w:rPr>
                <w:b/>
                <w:sz w:val="28"/>
                <w:szCs w:val="28"/>
              </w:rPr>
            </w:pPr>
          </w:p>
        </w:tc>
        <w:tc>
          <w:tcPr>
            <w:tcW w:w="2020" w:type="dxa"/>
          </w:tcPr>
          <w:p w14:paraId="75ABB502" w14:textId="77777777" w:rsidR="00EB6E50" w:rsidRDefault="00EB6E50">
            <w:pPr>
              <w:adjustRightInd w:val="0"/>
              <w:snapToGrid w:val="0"/>
              <w:spacing w:line="360" w:lineRule="auto"/>
              <w:rPr>
                <w:b/>
                <w:sz w:val="28"/>
                <w:szCs w:val="28"/>
              </w:rPr>
            </w:pPr>
          </w:p>
        </w:tc>
      </w:tr>
    </w:tbl>
    <w:p w14:paraId="1AA861D4" w14:textId="77777777" w:rsidR="00EB6E50" w:rsidRDefault="00EB6E50">
      <w:pPr>
        <w:adjustRightInd w:val="0"/>
        <w:snapToGrid w:val="0"/>
        <w:spacing w:line="360" w:lineRule="auto"/>
        <w:rPr>
          <w:sz w:val="24"/>
        </w:rPr>
      </w:pPr>
    </w:p>
    <w:p w14:paraId="48BDD316" w14:textId="77777777" w:rsidR="00EB6E50" w:rsidRDefault="00EB6E50">
      <w:pPr>
        <w:adjustRightInd w:val="0"/>
        <w:snapToGrid w:val="0"/>
        <w:spacing w:line="360" w:lineRule="auto"/>
        <w:rPr>
          <w:sz w:val="24"/>
        </w:rPr>
      </w:pPr>
    </w:p>
    <w:p w14:paraId="3557E15D" w14:textId="77777777" w:rsidR="00EB6E50" w:rsidRDefault="00EB6E50">
      <w:pPr>
        <w:adjustRightInd w:val="0"/>
        <w:snapToGrid w:val="0"/>
        <w:spacing w:line="360" w:lineRule="auto"/>
        <w:rPr>
          <w:sz w:val="24"/>
        </w:rPr>
      </w:pPr>
    </w:p>
    <w:p w14:paraId="076D759F" w14:textId="77777777" w:rsidR="00EB6E50" w:rsidRDefault="00EB6E50">
      <w:pPr>
        <w:adjustRightInd w:val="0"/>
        <w:snapToGrid w:val="0"/>
        <w:spacing w:line="360" w:lineRule="auto"/>
        <w:rPr>
          <w:sz w:val="24"/>
        </w:rPr>
      </w:pPr>
    </w:p>
    <w:p w14:paraId="0D45F728" w14:textId="77777777" w:rsidR="00EB6E50" w:rsidRDefault="00EB6E50">
      <w:pPr>
        <w:adjustRightInd w:val="0"/>
        <w:snapToGrid w:val="0"/>
        <w:spacing w:line="360" w:lineRule="auto"/>
        <w:rPr>
          <w:sz w:val="24"/>
        </w:rPr>
      </w:pPr>
    </w:p>
    <w:p w14:paraId="50277B51" w14:textId="77777777" w:rsidR="00EB6E50" w:rsidRDefault="00EB6E50">
      <w:pPr>
        <w:adjustRightInd w:val="0"/>
        <w:snapToGrid w:val="0"/>
        <w:spacing w:line="360" w:lineRule="auto"/>
        <w:rPr>
          <w:sz w:val="24"/>
        </w:rPr>
      </w:pPr>
    </w:p>
    <w:p w14:paraId="15B2BEB3" w14:textId="77777777" w:rsidR="00EB6E50" w:rsidRDefault="00EB6E50">
      <w:pPr>
        <w:adjustRightInd w:val="0"/>
        <w:snapToGrid w:val="0"/>
        <w:spacing w:line="360" w:lineRule="auto"/>
        <w:rPr>
          <w:sz w:val="24"/>
        </w:rPr>
      </w:pPr>
    </w:p>
    <w:p w14:paraId="054A9E91" w14:textId="77777777" w:rsidR="00EB6E50" w:rsidRDefault="00000000">
      <w:pPr>
        <w:adjustRightInd w:val="0"/>
        <w:snapToGrid w:val="0"/>
        <w:spacing w:line="360" w:lineRule="auto"/>
        <w:rPr>
          <w:sz w:val="24"/>
        </w:rPr>
      </w:pPr>
      <w:r>
        <w:rPr>
          <w:rFonts w:hint="eastAsia"/>
          <w:sz w:val="24"/>
        </w:rPr>
        <w:br w:type="page"/>
      </w:r>
      <w:r>
        <w:rPr>
          <w:rFonts w:hint="eastAsia"/>
          <w:sz w:val="24"/>
        </w:rPr>
        <w:lastRenderedPageBreak/>
        <w:t>附件三</w:t>
      </w:r>
    </w:p>
    <w:p w14:paraId="1AB1C35F" w14:textId="77777777" w:rsidR="00EB6E50" w:rsidRDefault="00000000">
      <w:pPr>
        <w:spacing w:line="360" w:lineRule="auto"/>
        <w:jc w:val="center"/>
        <w:rPr>
          <w:b/>
          <w:sz w:val="32"/>
        </w:rPr>
      </w:pPr>
      <w:r>
        <w:rPr>
          <w:rFonts w:hint="eastAsia"/>
          <w:b/>
          <w:sz w:val="32"/>
        </w:rPr>
        <w:t>内幕信息知情人保密协议</w:t>
      </w:r>
      <w:r>
        <w:rPr>
          <w:b/>
          <w:sz w:val="32"/>
        </w:rPr>
        <w:t xml:space="preserve"> </w:t>
      </w:r>
    </w:p>
    <w:p w14:paraId="30A0CACF" w14:textId="77777777" w:rsidR="00EB6E50" w:rsidRDefault="00EB6E50">
      <w:pPr>
        <w:spacing w:line="360" w:lineRule="auto"/>
        <w:jc w:val="center"/>
        <w:rPr>
          <w:b/>
          <w:sz w:val="32"/>
        </w:rPr>
      </w:pPr>
    </w:p>
    <w:p w14:paraId="239142FD" w14:textId="77777777" w:rsidR="00EB6E50" w:rsidRDefault="00000000">
      <w:pPr>
        <w:spacing w:line="420" w:lineRule="auto"/>
        <w:ind w:firstLineChars="200" w:firstLine="480"/>
        <w:rPr>
          <w:sz w:val="24"/>
        </w:rPr>
      </w:pPr>
      <w:r>
        <w:rPr>
          <w:rFonts w:hint="eastAsia"/>
          <w:sz w:val="24"/>
        </w:rPr>
        <w:t>甲方：山东龙大美食股份有限公司</w:t>
      </w:r>
    </w:p>
    <w:p w14:paraId="16C3AAF2" w14:textId="77777777" w:rsidR="00EB6E50" w:rsidRDefault="00000000">
      <w:pPr>
        <w:spacing w:line="420" w:lineRule="auto"/>
        <w:ind w:firstLineChars="200" w:firstLine="480"/>
        <w:rPr>
          <w:sz w:val="24"/>
        </w:rPr>
      </w:pPr>
      <w:r>
        <w:rPr>
          <w:rFonts w:hint="eastAsia"/>
          <w:sz w:val="24"/>
        </w:rPr>
        <w:t>乙方：</w:t>
      </w:r>
      <w:r>
        <w:rPr>
          <w:rFonts w:hint="eastAsia"/>
          <w:sz w:val="24"/>
          <w:u w:val="single"/>
        </w:rPr>
        <w:t xml:space="preserve"> </w:t>
      </w:r>
      <w:r>
        <w:rPr>
          <w:sz w:val="24"/>
          <w:u w:val="single"/>
        </w:rPr>
        <w:t xml:space="preserve">                 </w:t>
      </w:r>
      <w:r>
        <w:rPr>
          <w:sz w:val="24"/>
        </w:rPr>
        <w:t xml:space="preserve"> </w:t>
      </w:r>
      <w:r>
        <w:rPr>
          <w:rFonts w:hint="eastAsia"/>
          <w:sz w:val="24"/>
        </w:rPr>
        <w:t>（身份证号码：</w:t>
      </w:r>
      <w:r>
        <w:rPr>
          <w:rFonts w:hint="eastAsia"/>
          <w:sz w:val="24"/>
        </w:rPr>
        <w:t xml:space="preserve"> </w:t>
      </w:r>
      <w:r>
        <w:rPr>
          <w:sz w:val="24"/>
        </w:rPr>
        <w:t xml:space="preserve">                </w:t>
      </w:r>
      <w:r>
        <w:rPr>
          <w:rFonts w:hint="eastAsia"/>
          <w:sz w:val="24"/>
        </w:rPr>
        <w:t>）</w:t>
      </w:r>
      <w:r>
        <w:rPr>
          <w:sz w:val="24"/>
        </w:rPr>
        <w:t xml:space="preserve"> </w:t>
      </w:r>
    </w:p>
    <w:p w14:paraId="6B81C0E1" w14:textId="77777777" w:rsidR="00EB6E50" w:rsidRDefault="00000000">
      <w:pPr>
        <w:spacing w:line="420" w:lineRule="auto"/>
        <w:ind w:firstLineChars="200" w:firstLine="480"/>
        <w:rPr>
          <w:sz w:val="24"/>
        </w:rPr>
      </w:pPr>
      <w:r>
        <w:rPr>
          <w:rFonts w:hint="eastAsia"/>
          <w:sz w:val="24"/>
        </w:rPr>
        <w:t>鉴于乙方在参与甲方经营活动或从事相应业务时，会直接或间接涉及（接触）甲方内幕信息，为明确和保障保密义务和权益，双方达成协议如下：</w:t>
      </w:r>
      <w:r>
        <w:rPr>
          <w:sz w:val="24"/>
        </w:rPr>
        <w:t xml:space="preserve"> </w:t>
      </w:r>
    </w:p>
    <w:p w14:paraId="6BD17611" w14:textId="77777777" w:rsidR="00EB6E50" w:rsidRDefault="00000000">
      <w:pPr>
        <w:spacing w:line="420" w:lineRule="auto"/>
        <w:ind w:firstLineChars="200" w:firstLine="480"/>
        <w:rPr>
          <w:sz w:val="24"/>
        </w:rPr>
      </w:pPr>
      <w:r>
        <w:rPr>
          <w:rFonts w:hint="eastAsia"/>
          <w:sz w:val="24"/>
        </w:rPr>
        <w:t>第一条</w:t>
      </w:r>
      <w:r>
        <w:rPr>
          <w:sz w:val="24"/>
        </w:rPr>
        <w:t xml:space="preserve"> </w:t>
      </w:r>
      <w:r>
        <w:rPr>
          <w:rFonts w:hint="eastAsia"/>
          <w:sz w:val="24"/>
        </w:rPr>
        <w:t>本协议所述的</w:t>
      </w:r>
      <w:r>
        <w:rPr>
          <w:sz w:val="24"/>
        </w:rPr>
        <w:t>“</w:t>
      </w:r>
      <w:r>
        <w:rPr>
          <w:rFonts w:hint="eastAsia"/>
          <w:sz w:val="24"/>
        </w:rPr>
        <w:t>内幕信息</w:t>
      </w:r>
      <w:r>
        <w:rPr>
          <w:sz w:val="24"/>
        </w:rPr>
        <w:t>”</w:t>
      </w:r>
      <w:r>
        <w:rPr>
          <w:rFonts w:hint="eastAsia"/>
          <w:sz w:val="24"/>
        </w:rPr>
        <w:t>指依据《中华人民共和国证券法》第</w:t>
      </w:r>
      <w:r>
        <w:rPr>
          <w:rFonts w:hint="eastAsia"/>
          <w:sz w:val="24"/>
        </w:rPr>
        <w:t>5</w:t>
      </w:r>
      <w:r>
        <w:rPr>
          <w:sz w:val="24"/>
        </w:rPr>
        <w:t>2</w:t>
      </w:r>
      <w:r>
        <w:rPr>
          <w:rFonts w:hint="eastAsia"/>
          <w:sz w:val="24"/>
        </w:rPr>
        <w:t>条规定，甲方作为上市公司，涉及其经营、财务或者对其证券及其衍生品种交易价格有重大影响的尚未公开的信息。</w:t>
      </w:r>
      <w:r>
        <w:rPr>
          <w:sz w:val="24"/>
        </w:rPr>
        <w:t>“</w:t>
      </w:r>
      <w:r>
        <w:rPr>
          <w:rFonts w:hint="eastAsia"/>
          <w:sz w:val="24"/>
        </w:rPr>
        <w:t>尚未公开</w:t>
      </w:r>
      <w:r>
        <w:rPr>
          <w:sz w:val="24"/>
        </w:rPr>
        <w:t>”</w:t>
      </w:r>
      <w:r>
        <w:rPr>
          <w:rFonts w:hint="eastAsia"/>
          <w:sz w:val="24"/>
        </w:rPr>
        <w:t>指甲</w:t>
      </w:r>
      <w:proofErr w:type="gramStart"/>
      <w:r>
        <w:rPr>
          <w:rFonts w:hint="eastAsia"/>
          <w:sz w:val="24"/>
        </w:rPr>
        <w:t>方尚未</w:t>
      </w:r>
      <w:proofErr w:type="gramEnd"/>
      <w:r>
        <w:rPr>
          <w:rFonts w:hint="eastAsia"/>
          <w:sz w:val="24"/>
        </w:rPr>
        <w:t>在中国证券监督管理委员会指定并经甲方选定的信息披露刊物或网站上正式公开。</w:t>
      </w:r>
    </w:p>
    <w:p w14:paraId="5DAB4D9B" w14:textId="77777777" w:rsidR="00EB6E50" w:rsidRDefault="00000000">
      <w:pPr>
        <w:spacing w:line="420" w:lineRule="auto"/>
        <w:ind w:firstLineChars="200" w:firstLine="480"/>
        <w:rPr>
          <w:sz w:val="24"/>
        </w:rPr>
      </w:pPr>
      <w:r>
        <w:rPr>
          <w:rFonts w:hint="eastAsia"/>
          <w:sz w:val="24"/>
        </w:rPr>
        <w:t>第二条</w:t>
      </w:r>
      <w:r>
        <w:rPr>
          <w:sz w:val="24"/>
        </w:rPr>
        <w:t xml:space="preserve"> </w:t>
      </w:r>
      <w:r>
        <w:rPr>
          <w:rFonts w:hint="eastAsia"/>
          <w:sz w:val="24"/>
        </w:rPr>
        <w:t>乙方承诺不对第三人泄露所获知的内幕信息，直至甲方公开披露后。</w:t>
      </w:r>
      <w:r>
        <w:rPr>
          <w:sz w:val="24"/>
        </w:rPr>
        <w:t xml:space="preserve"> </w:t>
      </w:r>
    </w:p>
    <w:p w14:paraId="0FCD0EA6" w14:textId="77777777" w:rsidR="00EB6E50" w:rsidRDefault="00000000">
      <w:pPr>
        <w:spacing w:line="420" w:lineRule="auto"/>
        <w:ind w:left="480"/>
        <w:rPr>
          <w:sz w:val="24"/>
        </w:rPr>
      </w:pPr>
      <w:r>
        <w:rPr>
          <w:rFonts w:hint="eastAsia"/>
          <w:sz w:val="24"/>
        </w:rPr>
        <w:t>第三条</w:t>
      </w:r>
      <w:r>
        <w:rPr>
          <w:sz w:val="24"/>
        </w:rPr>
        <w:t xml:space="preserve"> </w:t>
      </w:r>
      <w:r>
        <w:rPr>
          <w:rFonts w:hint="eastAsia"/>
          <w:sz w:val="24"/>
        </w:rPr>
        <w:t>乙方承诺对甲方尚未公开的内幕信息，采取必要的防范措施以防止未经甲</w:t>
      </w:r>
    </w:p>
    <w:p w14:paraId="48B7B9E4" w14:textId="77777777" w:rsidR="00EB6E50" w:rsidRDefault="00000000">
      <w:pPr>
        <w:spacing w:line="420" w:lineRule="auto"/>
        <w:rPr>
          <w:sz w:val="24"/>
        </w:rPr>
      </w:pPr>
      <w:r>
        <w:rPr>
          <w:rFonts w:hint="eastAsia"/>
          <w:sz w:val="24"/>
        </w:rPr>
        <w:t>方许可而被披露给其他不相关的第三方，并承诺将知情人控制在最小范围内，保证内幕信息始终处于可控状态。</w:t>
      </w:r>
      <w:r>
        <w:rPr>
          <w:sz w:val="24"/>
        </w:rPr>
        <w:t xml:space="preserve"> </w:t>
      </w:r>
    </w:p>
    <w:p w14:paraId="4B633386" w14:textId="77777777" w:rsidR="00EB6E50" w:rsidRDefault="00000000">
      <w:pPr>
        <w:spacing w:line="420" w:lineRule="auto"/>
        <w:ind w:left="480"/>
        <w:rPr>
          <w:sz w:val="24"/>
        </w:rPr>
      </w:pPr>
      <w:r>
        <w:rPr>
          <w:rFonts w:hint="eastAsia"/>
          <w:sz w:val="24"/>
        </w:rPr>
        <w:t>第四条</w:t>
      </w:r>
      <w:r>
        <w:rPr>
          <w:sz w:val="24"/>
        </w:rPr>
        <w:t xml:space="preserve"> </w:t>
      </w:r>
      <w:r>
        <w:rPr>
          <w:rFonts w:hint="eastAsia"/>
          <w:sz w:val="24"/>
        </w:rPr>
        <w:t>乙方对所获知的内幕信息负有保密责任，在该信息依法披露前，不得以任</w:t>
      </w:r>
    </w:p>
    <w:p w14:paraId="37BC7166" w14:textId="77777777" w:rsidR="00EB6E50" w:rsidRDefault="00000000">
      <w:pPr>
        <w:spacing w:line="420" w:lineRule="auto"/>
        <w:rPr>
          <w:sz w:val="24"/>
        </w:rPr>
      </w:pPr>
      <w:r>
        <w:rPr>
          <w:rFonts w:hint="eastAsia"/>
          <w:sz w:val="24"/>
        </w:rPr>
        <w:t>何形式对外泄露、报道、传送内幕信息，不得利用内幕信息买卖甲方股票及其衍生品，或者建议他人买卖甲方股票及其衍生品，不得利用内幕信息为本人、亲属或他人谋利，不得进行内幕交易或配合他人操纵甲方公司股票及衍生品种交易价格。</w:t>
      </w:r>
    </w:p>
    <w:p w14:paraId="5357281A" w14:textId="77777777" w:rsidR="00EB6E50" w:rsidRDefault="00000000">
      <w:pPr>
        <w:spacing w:line="420" w:lineRule="auto"/>
        <w:ind w:firstLineChars="200" w:firstLine="480"/>
        <w:rPr>
          <w:sz w:val="24"/>
        </w:rPr>
      </w:pPr>
      <w:r>
        <w:rPr>
          <w:rFonts w:hint="eastAsia"/>
          <w:sz w:val="24"/>
        </w:rPr>
        <w:t>第五条</w:t>
      </w:r>
      <w:r>
        <w:rPr>
          <w:sz w:val="24"/>
        </w:rPr>
        <w:t xml:space="preserve"> </w:t>
      </w:r>
      <w:r>
        <w:rPr>
          <w:rFonts w:hint="eastAsia"/>
          <w:sz w:val="24"/>
        </w:rPr>
        <w:t>经甲方要求，乙方应及时将甲方所提供的内幕信息的原件及复印件归还给甲方，不得私自留存。</w:t>
      </w:r>
      <w:r>
        <w:rPr>
          <w:sz w:val="24"/>
        </w:rPr>
        <w:t xml:space="preserve"> </w:t>
      </w:r>
    </w:p>
    <w:p w14:paraId="51AA4350" w14:textId="77777777" w:rsidR="00EB6E50" w:rsidRDefault="00000000">
      <w:pPr>
        <w:spacing w:line="420" w:lineRule="auto"/>
        <w:ind w:firstLineChars="200" w:firstLine="480"/>
        <w:rPr>
          <w:sz w:val="24"/>
        </w:rPr>
      </w:pPr>
      <w:r>
        <w:rPr>
          <w:rFonts w:hint="eastAsia"/>
          <w:sz w:val="24"/>
        </w:rPr>
        <w:t>第六条</w:t>
      </w:r>
      <w:r>
        <w:rPr>
          <w:sz w:val="24"/>
        </w:rPr>
        <w:t xml:space="preserve"> </w:t>
      </w:r>
      <w:r>
        <w:rPr>
          <w:rFonts w:hint="eastAsia"/>
          <w:sz w:val="24"/>
        </w:rPr>
        <w:t>如乙方根据相关法律的要求，不得不</w:t>
      </w:r>
      <w:proofErr w:type="gramStart"/>
      <w:r>
        <w:rPr>
          <w:rFonts w:hint="eastAsia"/>
          <w:sz w:val="24"/>
        </w:rPr>
        <w:t>披露该未公开</w:t>
      </w:r>
      <w:proofErr w:type="gramEnd"/>
      <w:r>
        <w:rPr>
          <w:rFonts w:hint="eastAsia"/>
          <w:sz w:val="24"/>
        </w:rPr>
        <w:t>内幕信息，不应被视为违约，但应事先告知甲方。</w:t>
      </w:r>
      <w:r>
        <w:rPr>
          <w:sz w:val="24"/>
        </w:rPr>
        <w:t xml:space="preserve"> </w:t>
      </w:r>
    </w:p>
    <w:p w14:paraId="0BE5340D" w14:textId="77777777" w:rsidR="00EB6E50" w:rsidRDefault="00000000">
      <w:pPr>
        <w:spacing w:line="420" w:lineRule="auto"/>
        <w:ind w:firstLineChars="200" w:firstLine="480"/>
        <w:rPr>
          <w:sz w:val="24"/>
        </w:rPr>
      </w:pPr>
      <w:r>
        <w:rPr>
          <w:rFonts w:hint="eastAsia"/>
          <w:sz w:val="24"/>
        </w:rPr>
        <w:t>第七条</w:t>
      </w:r>
      <w:r>
        <w:rPr>
          <w:sz w:val="24"/>
        </w:rPr>
        <w:t xml:space="preserve"> </w:t>
      </w:r>
      <w:r>
        <w:rPr>
          <w:rFonts w:hint="eastAsia"/>
          <w:sz w:val="24"/>
        </w:rPr>
        <w:t>乙方应当积极配合甲方做好内幕信息知情人登记备案工作。</w:t>
      </w:r>
      <w:r>
        <w:rPr>
          <w:sz w:val="24"/>
        </w:rPr>
        <w:t xml:space="preserve"> </w:t>
      </w:r>
    </w:p>
    <w:p w14:paraId="730A7DFB" w14:textId="77777777" w:rsidR="00EB6E50" w:rsidRDefault="00000000">
      <w:pPr>
        <w:spacing w:line="420" w:lineRule="auto"/>
        <w:ind w:firstLineChars="200" w:firstLine="480"/>
        <w:rPr>
          <w:sz w:val="24"/>
        </w:rPr>
      </w:pPr>
      <w:r>
        <w:rPr>
          <w:rFonts w:hint="eastAsia"/>
          <w:sz w:val="24"/>
        </w:rPr>
        <w:t>第八条</w:t>
      </w:r>
      <w:r>
        <w:rPr>
          <w:sz w:val="24"/>
        </w:rPr>
        <w:t xml:space="preserve"> </w:t>
      </w:r>
      <w:r>
        <w:rPr>
          <w:rFonts w:hint="eastAsia"/>
          <w:sz w:val="24"/>
        </w:rPr>
        <w:t>如乙方违反本协议，给甲方造成损失的，应承担赔偿责任。</w:t>
      </w:r>
    </w:p>
    <w:p w14:paraId="74900D47" w14:textId="77777777" w:rsidR="00EB6E50" w:rsidRDefault="00000000">
      <w:pPr>
        <w:spacing w:line="420" w:lineRule="auto"/>
        <w:ind w:firstLineChars="200" w:firstLine="480"/>
        <w:rPr>
          <w:sz w:val="24"/>
        </w:rPr>
      </w:pPr>
      <w:r>
        <w:rPr>
          <w:rFonts w:hint="eastAsia"/>
          <w:sz w:val="24"/>
        </w:rPr>
        <w:lastRenderedPageBreak/>
        <w:t>第九条</w:t>
      </w:r>
      <w:r>
        <w:rPr>
          <w:sz w:val="24"/>
        </w:rPr>
        <w:t xml:space="preserve"> </w:t>
      </w:r>
      <w:r>
        <w:rPr>
          <w:rFonts w:hint="eastAsia"/>
          <w:sz w:val="24"/>
        </w:rPr>
        <w:t>因执行本协议发生争议，双方应首先通过友好协商。协商不成，双方同意提交甲方所在地有管辖权的人民法院解决。</w:t>
      </w:r>
      <w:r>
        <w:rPr>
          <w:sz w:val="24"/>
        </w:rPr>
        <w:t xml:space="preserve"> </w:t>
      </w:r>
    </w:p>
    <w:p w14:paraId="555A49D0" w14:textId="77777777" w:rsidR="00EB6E50" w:rsidRDefault="00000000">
      <w:pPr>
        <w:spacing w:line="420" w:lineRule="auto"/>
        <w:ind w:firstLineChars="200" w:firstLine="480"/>
        <w:rPr>
          <w:sz w:val="24"/>
        </w:rPr>
      </w:pPr>
      <w:r>
        <w:rPr>
          <w:rFonts w:hint="eastAsia"/>
          <w:sz w:val="24"/>
        </w:rPr>
        <w:t>第十条</w:t>
      </w:r>
      <w:r>
        <w:rPr>
          <w:sz w:val="24"/>
        </w:rPr>
        <w:t xml:space="preserve"> </w:t>
      </w:r>
      <w:r>
        <w:rPr>
          <w:rFonts w:hint="eastAsia"/>
          <w:sz w:val="24"/>
        </w:rPr>
        <w:t>本协议一式两份，甲乙双方各执一份，协议自双方签署之日起生效。</w:t>
      </w:r>
      <w:r>
        <w:rPr>
          <w:sz w:val="24"/>
        </w:rPr>
        <w:t xml:space="preserve"> </w:t>
      </w:r>
    </w:p>
    <w:p w14:paraId="03CE957F" w14:textId="77777777" w:rsidR="00EB6E50" w:rsidRDefault="00000000">
      <w:pPr>
        <w:spacing w:line="420" w:lineRule="auto"/>
        <w:ind w:firstLineChars="200" w:firstLine="480"/>
        <w:rPr>
          <w:sz w:val="24"/>
        </w:rPr>
      </w:pPr>
      <w:r>
        <w:rPr>
          <w:rFonts w:hint="eastAsia"/>
          <w:sz w:val="24"/>
        </w:rPr>
        <w:t>第十一条</w:t>
      </w:r>
      <w:r>
        <w:rPr>
          <w:sz w:val="24"/>
        </w:rPr>
        <w:t xml:space="preserve"> </w:t>
      </w:r>
      <w:r>
        <w:rPr>
          <w:rFonts w:hint="eastAsia"/>
          <w:sz w:val="24"/>
        </w:rPr>
        <w:t>本协议未尽事项，并不当然免除乙方应承担的法定保密义务。</w:t>
      </w:r>
      <w:r>
        <w:rPr>
          <w:sz w:val="24"/>
        </w:rPr>
        <w:t xml:space="preserve"> </w:t>
      </w:r>
    </w:p>
    <w:tbl>
      <w:tblPr>
        <w:tblW w:w="0" w:type="auto"/>
        <w:tblLayout w:type="fixed"/>
        <w:tblLook w:val="04A0" w:firstRow="1" w:lastRow="0" w:firstColumn="1" w:lastColumn="0" w:noHBand="0" w:noVBand="1"/>
      </w:tblPr>
      <w:tblGrid>
        <w:gridCol w:w="3628"/>
        <w:gridCol w:w="3628"/>
      </w:tblGrid>
      <w:tr w:rsidR="00EB6E50" w14:paraId="5BF07615" w14:textId="77777777">
        <w:trPr>
          <w:trHeight w:val="120"/>
        </w:trPr>
        <w:tc>
          <w:tcPr>
            <w:tcW w:w="3628" w:type="dxa"/>
          </w:tcPr>
          <w:p w14:paraId="2749CFF4" w14:textId="77777777" w:rsidR="00EB6E50" w:rsidRDefault="00000000">
            <w:pPr>
              <w:spacing w:line="420" w:lineRule="auto"/>
              <w:ind w:firstLineChars="200" w:firstLine="480"/>
              <w:rPr>
                <w:sz w:val="24"/>
              </w:rPr>
            </w:pPr>
            <w:r>
              <w:rPr>
                <w:rFonts w:hint="eastAsia"/>
                <w:sz w:val="24"/>
              </w:rPr>
              <w:t>（以下无正文）</w:t>
            </w:r>
          </w:p>
          <w:p w14:paraId="55BB7A90" w14:textId="77777777" w:rsidR="00EB6E50" w:rsidRDefault="00EB6E50">
            <w:pPr>
              <w:spacing w:line="420" w:lineRule="auto"/>
              <w:ind w:left="1200"/>
              <w:rPr>
                <w:sz w:val="24"/>
              </w:rPr>
            </w:pPr>
          </w:p>
          <w:p w14:paraId="1459C5A0" w14:textId="77777777" w:rsidR="00EB6E50" w:rsidRDefault="00000000">
            <w:pPr>
              <w:spacing w:line="420" w:lineRule="auto"/>
              <w:ind w:left="1200"/>
              <w:rPr>
                <w:sz w:val="24"/>
              </w:rPr>
            </w:pPr>
            <w:r>
              <w:rPr>
                <w:rFonts w:hint="eastAsia"/>
                <w:sz w:val="24"/>
              </w:rPr>
              <w:t>甲方：（盖章）</w:t>
            </w:r>
          </w:p>
          <w:p w14:paraId="52FF4066" w14:textId="77777777" w:rsidR="00EB6E50" w:rsidRDefault="00EB6E50">
            <w:pPr>
              <w:spacing w:line="420" w:lineRule="auto"/>
              <w:ind w:left="1200"/>
              <w:rPr>
                <w:sz w:val="24"/>
              </w:rPr>
            </w:pPr>
          </w:p>
          <w:p w14:paraId="25566884" w14:textId="77777777" w:rsidR="00EB6E50" w:rsidRDefault="00EB6E50">
            <w:pPr>
              <w:spacing w:line="420" w:lineRule="auto"/>
              <w:ind w:left="1200"/>
              <w:rPr>
                <w:sz w:val="24"/>
              </w:rPr>
            </w:pPr>
          </w:p>
        </w:tc>
        <w:tc>
          <w:tcPr>
            <w:tcW w:w="3628" w:type="dxa"/>
          </w:tcPr>
          <w:p w14:paraId="7EF45329" w14:textId="77777777" w:rsidR="00EB6E50" w:rsidRDefault="00EB6E50">
            <w:pPr>
              <w:spacing w:line="420" w:lineRule="auto"/>
              <w:ind w:left="480"/>
              <w:rPr>
                <w:sz w:val="24"/>
              </w:rPr>
            </w:pPr>
          </w:p>
          <w:p w14:paraId="7E274979" w14:textId="77777777" w:rsidR="00EB6E50" w:rsidRDefault="00EB6E50">
            <w:pPr>
              <w:spacing w:line="420" w:lineRule="auto"/>
              <w:ind w:left="480"/>
              <w:rPr>
                <w:sz w:val="24"/>
              </w:rPr>
            </w:pPr>
          </w:p>
          <w:p w14:paraId="443A9148" w14:textId="77777777" w:rsidR="00EB6E50" w:rsidRDefault="00000000">
            <w:pPr>
              <w:spacing w:line="420" w:lineRule="auto"/>
              <w:ind w:left="480"/>
              <w:rPr>
                <w:sz w:val="24"/>
              </w:rPr>
            </w:pPr>
            <w:r>
              <w:rPr>
                <w:rFonts w:hint="eastAsia"/>
                <w:sz w:val="24"/>
              </w:rPr>
              <w:t>乙方：（盖章）</w:t>
            </w:r>
            <w:r>
              <w:rPr>
                <w:sz w:val="24"/>
              </w:rPr>
              <w:t xml:space="preserve"> </w:t>
            </w:r>
          </w:p>
          <w:p w14:paraId="15E44768" w14:textId="77777777" w:rsidR="00EB6E50" w:rsidRDefault="00EB6E50">
            <w:pPr>
              <w:spacing w:line="420" w:lineRule="auto"/>
              <w:ind w:left="480"/>
              <w:rPr>
                <w:sz w:val="24"/>
              </w:rPr>
            </w:pPr>
          </w:p>
          <w:p w14:paraId="719428DC" w14:textId="77777777" w:rsidR="00EB6E50" w:rsidRDefault="00EB6E50">
            <w:pPr>
              <w:spacing w:line="420" w:lineRule="auto"/>
              <w:ind w:left="480"/>
              <w:rPr>
                <w:sz w:val="24"/>
              </w:rPr>
            </w:pPr>
          </w:p>
        </w:tc>
      </w:tr>
      <w:tr w:rsidR="00EB6E50" w14:paraId="54AD2AF2" w14:textId="77777777">
        <w:trPr>
          <w:trHeight w:val="120"/>
        </w:trPr>
        <w:tc>
          <w:tcPr>
            <w:tcW w:w="3628" w:type="dxa"/>
          </w:tcPr>
          <w:p w14:paraId="32EEEEB4" w14:textId="77777777" w:rsidR="00EB6E50" w:rsidRDefault="00EB6E50">
            <w:pPr>
              <w:spacing w:line="420" w:lineRule="auto"/>
              <w:rPr>
                <w:sz w:val="24"/>
              </w:rPr>
            </w:pPr>
          </w:p>
        </w:tc>
        <w:tc>
          <w:tcPr>
            <w:tcW w:w="3628" w:type="dxa"/>
          </w:tcPr>
          <w:p w14:paraId="13483886" w14:textId="77777777" w:rsidR="00EB6E50" w:rsidRDefault="00EB6E50">
            <w:pPr>
              <w:spacing w:line="420" w:lineRule="auto"/>
              <w:rPr>
                <w:sz w:val="24"/>
              </w:rPr>
            </w:pPr>
          </w:p>
        </w:tc>
      </w:tr>
    </w:tbl>
    <w:p w14:paraId="12555D95" w14:textId="77777777" w:rsidR="00EB6E50" w:rsidRDefault="00000000">
      <w:pPr>
        <w:spacing w:line="420" w:lineRule="auto"/>
        <w:ind w:left="480" w:firstLineChars="1700" w:firstLine="4080"/>
        <w:rPr>
          <w:sz w:val="24"/>
        </w:rPr>
      </w:pPr>
      <w:r>
        <w:rPr>
          <w:rFonts w:hint="eastAsia"/>
          <w:sz w:val="24"/>
        </w:rPr>
        <w:t>签订日期：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6FF3E488" w14:textId="77777777" w:rsidR="00EB6E50" w:rsidRDefault="00EB6E50">
      <w:pPr>
        <w:adjustRightInd w:val="0"/>
        <w:snapToGrid w:val="0"/>
        <w:spacing w:line="360" w:lineRule="auto"/>
        <w:rPr>
          <w:sz w:val="24"/>
        </w:rPr>
      </w:pPr>
    </w:p>
    <w:p w14:paraId="7A933994" w14:textId="77777777" w:rsidR="00EB6E50" w:rsidRDefault="00EB6E50">
      <w:pPr>
        <w:adjustRightInd w:val="0"/>
        <w:snapToGrid w:val="0"/>
        <w:spacing w:line="360" w:lineRule="auto"/>
        <w:rPr>
          <w:sz w:val="24"/>
        </w:rPr>
      </w:pPr>
    </w:p>
    <w:p w14:paraId="7D14CC7C" w14:textId="77777777" w:rsidR="00EB6E50" w:rsidRDefault="00EB6E50">
      <w:pPr>
        <w:adjustRightInd w:val="0"/>
        <w:snapToGrid w:val="0"/>
        <w:spacing w:line="360" w:lineRule="auto"/>
        <w:rPr>
          <w:sz w:val="24"/>
        </w:rPr>
      </w:pPr>
    </w:p>
    <w:p w14:paraId="21F5BCA4" w14:textId="77777777" w:rsidR="00EB6E50" w:rsidRDefault="00EB6E50">
      <w:pPr>
        <w:adjustRightInd w:val="0"/>
        <w:snapToGrid w:val="0"/>
        <w:spacing w:line="360" w:lineRule="auto"/>
        <w:rPr>
          <w:sz w:val="24"/>
        </w:rPr>
      </w:pPr>
    </w:p>
    <w:p w14:paraId="6B52A256" w14:textId="77777777" w:rsidR="00EB6E50" w:rsidRDefault="00EB6E50">
      <w:pPr>
        <w:adjustRightInd w:val="0"/>
        <w:snapToGrid w:val="0"/>
        <w:spacing w:line="360" w:lineRule="auto"/>
        <w:rPr>
          <w:sz w:val="24"/>
        </w:rPr>
      </w:pPr>
    </w:p>
    <w:p w14:paraId="5C2AB760" w14:textId="77777777" w:rsidR="00EB6E50" w:rsidRDefault="00EB6E50">
      <w:pPr>
        <w:adjustRightInd w:val="0"/>
        <w:snapToGrid w:val="0"/>
        <w:spacing w:line="360" w:lineRule="auto"/>
        <w:rPr>
          <w:sz w:val="24"/>
        </w:rPr>
      </w:pPr>
    </w:p>
    <w:p w14:paraId="6DC9BAB5" w14:textId="77777777" w:rsidR="00EB6E50" w:rsidRDefault="00EB6E50">
      <w:pPr>
        <w:adjustRightInd w:val="0"/>
        <w:snapToGrid w:val="0"/>
        <w:spacing w:line="360" w:lineRule="auto"/>
        <w:rPr>
          <w:sz w:val="24"/>
        </w:rPr>
      </w:pPr>
    </w:p>
    <w:p w14:paraId="6F0CB3FA" w14:textId="77777777" w:rsidR="00EB6E50" w:rsidRDefault="00EB6E50">
      <w:pPr>
        <w:adjustRightInd w:val="0"/>
        <w:snapToGrid w:val="0"/>
        <w:spacing w:line="360" w:lineRule="auto"/>
        <w:rPr>
          <w:sz w:val="24"/>
        </w:rPr>
      </w:pPr>
    </w:p>
    <w:p w14:paraId="55617255" w14:textId="77777777" w:rsidR="00EB6E50" w:rsidRDefault="00EB6E50">
      <w:pPr>
        <w:adjustRightInd w:val="0"/>
        <w:snapToGrid w:val="0"/>
        <w:spacing w:line="360" w:lineRule="auto"/>
        <w:rPr>
          <w:sz w:val="24"/>
        </w:rPr>
      </w:pPr>
    </w:p>
    <w:p w14:paraId="166C121B" w14:textId="77777777" w:rsidR="00EB6E50" w:rsidRDefault="00EB6E50">
      <w:pPr>
        <w:adjustRightInd w:val="0"/>
        <w:snapToGrid w:val="0"/>
        <w:spacing w:line="360" w:lineRule="auto"/>
        <w:rPr>
          <w:sz w:val="24"/>
        </w:rPr>
      </w:pPr>
    </w:p>
    <w:p w14:paraId="4AFF4683" w14:textId="77777777" w:rsidR="00EB6E50" w:rsidRDefault="00EB6E50">
      <w:pPr>
        <w:adjustRightInd w:val="0"/>
        <w:snapToGrid w:val="0"/>
        <w:spacing w:line="360" w:lineRule="auto"/>
        <w:rPr>
          <w:sz w:val="24"/>
        </w:rPr>
      </w:pPr>
    </w:p>
    <w:p w14:paraId="3E40EBFA" w14:textId="77777777" w:rsidR="00EB6E50" w:rsidRDefault="00EB6E50">
      <w:pPr>
        <w:adjustRightInd w:val="0"/>
        <w:snapToGrid w:val="0"/>
        <w:spacing w:line="360" w:lineRule="auto"/>
        <w:rPr>
          <w:sz w:val="24"/>
        </w:rPr>
      </w:pPr>
    </w:p>
    <w:p w14:paraId="5BA9AE3C" w14:textId="77777777" w:rsidR="00EB6E50" w:rsidRDefault="00EB6E50">
      <w:pPr>
        <w:adjustRightInd w:val="0"/>
        <w:snapToGrid w:val="0"/>
        <w:spacing w:line="360" w:lineRule="auto"/>
        <w:rPr>
          <w:sz w:val="24"/>
        </w:rPr>
      </w:pPr>
    </w:p>
    <w:p w14:paraId="178E1A87" w14:textId="77777777" w:rsidR="00EB6E50" w:rsidRDefault="00EB6E50">
      <w:pPr>
        <w:adjustRightInd w:val="0"/>
        <w:snapToGrid w:val="0"/>
        <w:spacing w:line="360" w:lineRule="auto"/>
        <w:rPr>
          <w:sz w:val="24"/>
        </w:rPr>
      </w:pPr>
    </w:p>
    <w:p w14:paraId="419C61A5" w14:textId="77777777" w:rsidR="00EB6E50" w:rsidRDefault="00000000">
      <w:pPr>
        <w:adjustRightInd w:val="0"/>
        <w:snapToGrid w:val="0"/>
        <w:spacing w:line="360" w:lineRule="auto"/>
        <w:rPr>
          <w:sz w:val="24"/>
        </w:rPr>
      </w:pPr>
      <w:r>
        <w:rPr>
          <w:sz w:val="24"/>
        </w:rPr>
        <w:br w:type="page"/>
      </w:r>
      <w:r>
        <w:rPr>
          <w:rFonts w:hint="eastAsia"/>
          <w:sz w:val="24"/>
        </w:rPr>
        <w:lastRenderedPageBreak/>
        <w:t>附件四</w:t>
      </w:r>
    </w:p>
    <w:p w14:paraId="275ABE0D" w14:textId="77777777" w:rsidR="00EB6E50" w:rsidRDefault="00000000">
      <w:pPr>
        <w:adjustRightInd w:val="0"/>
        <w:snapToGrid w:val="0"/>
        <w:spacing w:line="360" w:lineRule="auto"/>
        <w:jc w:val="center"/>
        <w:rPr>
          <w:b/>
          <w:sz w:val="32"/>
        </w:rPr>
      </w:pPr>
      <w:r>
        <w:rPr>
          <w:rFonts w:hint="eastAsia"/>
          <w:b/>
          <w:sz w:val="32"/>
        </w:rPr>
        <w:t>山东龙大美食股份有限公司</w:t>
      </w:r>
    </w:p>
    <w:p w14:paraId="5F39BAA8" w14:textId="77777777" w:rsidR="00EB6E50" w:rsidRDefault="00000000">
      <w:pPr>
        <w:adjustRightInd w:val="0"/>
        <w:snapToGrid w:val="0"/>
        <w:spacing w:line="360" w:lineRule="auto"/>
        <w:jc w:val="center"/>
        <w:rPr>
          <w:b/>
          <w:sz w:val="32"/>
        </w:rPr>
      </w:pPr>
      <w:r>
        <w:rPr>
          <w:rFonts w:hint="eastAsia"/>
          <w:b/>
          <w:sz w:val="32"/>
        </w:rPr>
        <w:t>内幕信息知情人承诺书</w:t>
      </w:r>
    </w:p>
    <w:p w14:paraId="44BAB93D" w14:textId="77777777" w:rsidR="00EB6E50" w:rsidRDefault="00EB6E50">
      <w:pPr>
        <w:adjustRightInd w:val="0"/>
        <w:snapToGrid w:val="0"/>
        <w:spacing w:line="360" w:lineRule="auto"/>
        <w:rPr>
          <w:sz w:val="23"/>
          <w:szCs w:val="23"/>
        </w:rPr>
      </w:pPr>
    </w:p>
    <w:p w14:paraId="4A613CD1" w14:textId="77777777" w:rsidR="00EB6E50" w:rsidRDefault="00000000">
      <w:pPr>
        <w:adjustRightInd w:val="0"/>
        <w:snapToGrid w:val="0"/>
        <w:spacing w:line="360" w:lineRule="auto"/>
        <w:ind w:firstLineChars="200" w:firstLine="480"/>
        <w:rPr>
          <w:sz w:val="24"/>
        </w:rPr>
      </w:pPr>
      <w:r>
        <w:rPr>
          <w:sz w:val="24"/>
        </w:rPr>
        <w:t>通过认真学习《</w:t>
      </w:r>
      <w:r>
        <w:rPr>
          <w:rFonts w:hint="eastAsia"/>
          <w:sz w:val="24"/>
        </w:rPr>
        <w:t>中华人民共和国</w:t>
      </w:r>
      <w:r>
        <w:rPr>
          <w:sz w:val="24"/>
        </w:rPr>
        <w:t>证券法》</w:t>
      </w:r>
      <w:r>
        <w:rPr>
          <w:rFonts w:hint="eastAsia"/>
          <w:sz w:val="24"/>
        </w:rPr>
        <w:t>（以下简称“《证券法》”）、</w:t>
      </w:r>
      <w:r>
        <w:rPr>
          <w:sz w:val="24"/>
        </w:rPr>
        <w:t>《上市公司信息披露管理办法》</w:t>
      </w:r>
      <w:r>
        <w:rPr>
          <w:rFonts w:hint="eastAsia"/>
          <w:sz w:val="24"/>
        </w:rPr>
        <w:t>（以下简称“《管理办法》”）</w:t>
      </w:r>
      <w:r>
        <w:rPr>
          <w:sz w:val="24"/>
        </w:rPr>
        <w:t>及</w:t>
      </w:r>
      <w:r>
        <w:rPr>
          <w:rFonts w:hint="eastAsia"/>
          <w:sz w:val="24"/>
        </w:rPr>
        <w:t>中国证券监督管理委员会</w:t>
      </w:r>
      <w:r>
        <w:rPr>
          <w:sz w:val="24"/>
        </w:rPr>
        <w:t>和深圳证券交易所的有关规定，作为</w:t>
      </w:r>
      <w:r>
        <w:rPr>
          <w:rFonts w:hint="eastAsia"/>
          <w:sz w:val="24"/>
        </w:rPr>
        <w:t>公司内幕</w:t>
      </w:r>
      <w:r>
        <w:rPr>
          <w:sz w:val="24"/>
        </w:rPr>
        <w:t>信息的知情人，</w:t>
      </w:r>
      <w:proofErr w:type="gramStart"/>
      <w:r>
        <w:rPr>
          <w:sz w:val="24"/>
        </w:rPr>
        <w:t>现做出</w:t>
      </w:r>
      <w:proofErr w:type="gramEnd"/>
      <w:r>
        <w:rPr>
          <w:sz w:val="24"/>
        </w:rPr>
        <w:t>如下承诺：</w:t>
      </w:r>
      <w:r>
        <w:rPr>
          <w:sz w:val="24"/>
        </w:rPr>
        <w:t xml:space="preserve"> </w:t>
      </w:r>
    </w:p>
    <w:p w14:paraId="0F66E7BC" w14:textId="77777777" w:rsidR="00EB6E50" w:rsidRDefault="00000000">
      <w:pPr>
        <w:adjustRightInd w:val="0"/>
        <w:snapToGrid w:val="0"/>
        <w:spacing w:line="360" w:lineRule="auto"/>
        <w:ind w:firstLineChars="200" w:firstLine="480"/>
        <w:rPr>
          <w:sz w:val="24"/>
        </w:rPr>
      </w:pPr>
      <w:r>
        <w:rPr>
          <w:sz w:val="24"/>
        </w:rPr>
        <w:t>本人已经认真学习并理解《证券法》《管理办法》等有关法律、法规以及《</w:t>
      </w:r>
      <w:r>
        <w:rPr>
          <w:rFonts w:hint="eastAsia"/>
          <w:sz w:val="24"/>
        </w:rPr>
        <w:t>山东龙大美食</w:t>
      </w:r>
      <w:r>
        <w:rPr>
          <w:sz w:val="24"/>
        </w:rPr>
        <w:t>股份有限公司内幕信息知情人登记</w:t>
      </w:r>
      <w:r>
        <w:rPr>
          <w:rFonts w:hint="eastAsia"/>
          <w:sz w:val="24"/>
        </w:rPr>
        <w:t>管理</w:t>
      </w:r>
      <w:r>
        <w:rPr>
          <w:sz w:val="24"/>
        </w:rPr>
        <w:t>制度》等公司</w:t>
      </w:r>
      <w:r>
        <w:rPr>
          <w:rFonts w:hint="eastAsia"/>
          <w:sz w:val="24"/>
        </w:rPr>
        <w:t>制度</w:t>
      </w:r>
      <w:r>
        <w:rPr>
          <w:sz w:val="24"/>
        </w:rPr>
        <w:t>中关于内幕信息及知情人管理、禁止性股票交易条款的全部相关规定。</w:t>
      </w:r>
      <w:r>
        <w:rPr>
          <w:sz w:val="24"/>
        </w:rPr>
        <w:t xml:space="preserve"> </w:t>
      </w:r>
    </w:p>
    <w:p w14:paraId="79D4C78C" w14:textId="77777777" w:rsidR="00EB6E50" w:rsidRDefault="00000000">
      <w:pPr>
        <w:adjustRightInd w:val="0"/>
        <w:snapToGrid w:val="0"/>
        <w:spacing w:line="360" w:lineRule="auto"/>
        <w:ind w:firstLineChars="200" w:firstLine="480"/>
        <w:rPr>
          <w:sz w:val="24"/>
        </w:rPr>
      </w:pPr>
      <w:r>
        <w:rPr>
          <w:sz w:val="24"/>
        </w:rPr>
        <w:t>本人承诺，作为内幕信息知情人，从即日起将遵守上述相关规定，在内幕信息（内幕信息名称</w:t>
      </w:r>
      <w:r>
        <w:rPr>
          <w:rFonts w:hint="eastAsia"/>
          <w:sz w:val="24"/>
        </w:rPr>
        <w:t>）</w:t>
      </w:r>
      <w:r>
        <w:rPr>
          <w:sz w:val="24"/>
        </w:rPr>
        <w:t>公开披露前，认真履行保密义务，不泄露内幕信息，</w:t>
      </w:r>
      <w:proofErr w:type="gramStart"/>
      <w:r>
        <w:rPr>
          <w:sz w:val="24"/>
        </w:rPr>
        <w:t>不</w:t>
      </w:r>
      <w:proofErr w:type="gramEnd"/>
      <w:r>
        <w:rPr>
          <w:sz w:val="24"/>
        </w:rPr>
        <w:t>买卖</w:t>
      </w:r>
      <w:r>
        <w:rPr>
          <w:rFonts w:hint="eastAsia"/>
          <w:sz w:val="24"/>
        </w:rPr>
        <w:t>山东龙大美食</w:t>
      </w:r>
      <w:r>
        <w:rPr>
          <w:sz w:val="24"/>
        </w:rPr>
        <w:t>股份有限公司股票，或者建议他人买卖</w:t>
      </w:r>
      <w:r>
        <w:rPr>
          <w:rFonts w:hint="eastAsia"/>
          <w:sz w:val="24"/>
        </w:rPr>
        <w:t>山东龙大美食</w:t>
      </w:r>
      <w:r>
        <w:rPr>
          <w:sz w:val="24"/>
        </w:rPr>
        <w:t>股份有限公司股票，不进行内幕交易或配合他人操纵</w:t>
      </w:r>
      <w:r>
        <w:rPr>
          <w:rFonts w:hint="eastAsia"/>
          <w:sz w:val="24"/>
        </w:rPr>
        <w:t>山东龙大美食</w:t>
      </w:r>
      <w:r>
        <w:rPr>
          <w:sz w:val="24"/>
        </w:rPr>
        <w:t>股份有限公司股票及其衍生品种交易价格。</w:t>
      </w:r>
    </w:p>
    <w:p w14:paraId="72F84529" w14:textId="77777777" w:rsidR="00EB6E50" w:rsidRDefault="00EB6E50">
      <w:pPr>
        <w:adjustRightInd w:val="0"/>
        <w:snapToGrid w:val="0"/>
        <w:spacing w:line="360" w:lineRule="auto"/>
        <w:rPr>
          <w:sz w:val="24"/>
        </w:rPr>
      </w:pPr>
    </w:p>
    <w:p w14:paraId="3982271D" w14:textId="77777777" w:rsidR="00EB6E50" w:rsidRDefault="00EB6E50">
      <w:pPr>
        <w:adjustRightInd w:val="0"/>
        <w:snapToGrid w:val="0"/>
        <w:spacing w:line="360" w:lineRule="auto"/>
        <w:rPr>
          <w:sz w:val="24"/>
        </w:rPr>
      </w:pPr>
    </w:p>
    <w:p w14:paraId="512348B1" w14:textId="77777777" w:rsidR="00EB6E50" w:rsidRDefault="00EB6E50">
      <w:pPr>
        <w:adjustRightInd w:val="0"/>
        <w:snapToGrid w:val="0"/>
        <w:spacing w:line="360" w:lineRule="auto"/>
        <w:jc w:val="right"/>
        <w:rPr>
          <w:sz w:val="24"/>
        </w:rPr>
      </w:pPr>
    </w:p>
    <w:p w14:paraId="51A8A13D" w14:textId="77777777" w:rsidR="00EB6E50" w:rsidRDefault="00000000">
      <w:pPr>
        <w:adjustRightInd w:val="0"/>
        <w:snapToGrid w:val="0"/>
        <w:spacing w:line="360" w:lineRule="auto"/>
        <w:jc w:val="right"/>
        <w:rPr>
          <w:sz w:val="24"/>
        </w:rPr>
      </w:pPr>
      <w:r>
        <w:rPr>
          <w:rFonts w:hint="eastAsia"/>
          <w:sz w:val="24"/>
        </w:rPr>
        <w:t xml:space="preserve">   </w:t>
      </w:r>
      <w:r>
        <w:rPr>
          <w:sz w:val="24"/>
        </w:rPr>
        <w:t>承诺人（签字）</w:t>
      </w:r>
      <w:r>
        <w:rPr>
          <w:rFonts w:hint="eastAsia"/>
          <w:sz w:val="24"/>
        </w:rPr>
        <w:t>：</w:t>
      </w:r>
    </w:p>
    <w:p w14:paraId="4D3E936D" w14:textId="77777777" w:rsidR="00EB6E50" w:rsidRDefault="00000000">
      <w:pPr>
        <w:adjustRightInd w:val="0"/>
        <w:snapToGrid w:val="0"/>
        <w:spacing w:line="360" w:lineRule="auto"/>
        <w:jc w:val="right"/>
        <w:rPr>
          <w:sz w:val="24"/>
        </w:rPr>
      </w:pPr>
      <w:r>
        <w:rPr>
          <w:rFonts w:hint="eastAsia"/>
          <w:sz w:val="24"/>
        </w:rPr>
        <w:t xml:space="preserve">   </w:t>
      </w:r>
      <w:r>
        <w:rPr>
          <w:sz w:val="24"/>
        </w:rPr>
        <w:t>年</w:t>
      </w:r>
      <w:r>
        <w:rPr>
          <w:sz w:val="24"/>
        </w:rPr>
        <w:t xml:space="preserve"> </w:t>
      </w:r>
      <w:r>
        <w:rPr>
          <w:rFonts w:hint="eastAsia"/>
          <w:sz w:val="24"/>
        </w:rPr>
        <w:t xml:space="preserve">  </w:t>
      </w:r>
      <w:r>
        <w:rPr>
          <w:sz w:val="24"/>
        </w:rPr>
        <w:t>月</w:t>
      </w:r>
      <w:r>
        <w:rPr>
          <w:rFonts w:hint="eastAsia"/>
          <w:sz w:val="24"/>
        </w:rPr>
        <w:t xml:space="preserve">  </w:t>
      </w:r>
      <w:r>
        <w:rPr>
          <w:sz w:val="24"/>
        </w:rPr>
        <w:t xml:space="preserve"> </w:t>
      </w:r>
      <w:r>
        <w:rPr>
          <w:sz w:val="24"/>
        </w:rPr>
        <w:t>日</w:t>
      </w:r>
    </w:p>
    <w:p w14:paraId="74AA9682" w14:textId="77777777" w:rsidR="00EB6E50" w:rsidRDefault="00EB6E50">
      <w:pPr>
        <w:adjustRightInd w:val="0"/>
        <w:snapToGrid w:val="0"/>
        <w:spacing w:line="360" w:lineRule="auto"/>
        <w:jc w:val="right"/>
        <w:rPr>
          <w:sz w:val="24"/>
        </w:rPr>
      </w:pPr>
    </w:p>
    <w:p w14:paraId="4F5CF83B" w14:textId="77777777" w:rsidR="00EB6E50" w:rsidRDefault="00EB6E50">
      <w:pPr>
        <w:adjustRightInd w:val="0"/>
        <w:snapToGrid w:val="0"/>
        <w:spacing w:line="360" w:lineRule="auto"/>
        <w:rPr>
          <w:sz w:val="24"/>
        </w:rPr>
      </w:pPr>
    </w:p>
    <w:p w14:paraId="3CABC4C7" w14:textId="77777777" w:rsidR="00EB6E50" w:rsidRDefault="00EB6E50">
      <w:pPr>
        <w:adjustRightInd w:val="0"/>
        <w:snapToGrid w:val="0"/>
        <w:spacing w:line="360" w:lineRule="auto"/>
        <w:rPr>
          <w:sz w:val="24"/>
        </w:rPr>
      </w:pPr>
    </w:p>
    <w:p w14:paraId="24A8DBDD" w14:textId="77777777" w:rsidR="00EB6E50" w:rsidRDefault="00EB6E50">
      <w:pPr>
        <w:spacing w:line="360" w:lineRule="auto"/>
        <w:ind w:firstLine="180"/>
        <w:rPr>
          <w:sz w:val="24"/>
        </w:rPr>
      </w:pPr>
    </w:p>
    <w:p w14:paraId="7D077164" w14:textId="77777777" w:rsidR="00EB6E50" w:rsidRDefault="00EB6E50">
      <w:pPr>
        <w:spacing w:line="360" w:lineRule="auto"/>
        <w:ind w:firstLine="180"/>
        <w:rPr>
          <w:sz w:val="24"/>
        </w:rPr>
      </w:pPr>
    </w:p>
    <w:p w14:paraId="21960DCE" w14:textId="77777777" w:rsidR="00EB6E50" w:rsidRDefault="00EB6E50">
      <w:pPr>
        <w:spacing w:line="360" w:lineRule="auto"/>
        <w:ind w:firstLine="180"/>
        <w:rPr>
          <w:sz w:val="24"/>
        </w:rPr>
      </w:pPr>
    </w:p>
    <w:p w14:paraId="149C50B6" w14:textId="77777777" w:rsidR="00EB6E50" w:rsidRDefault="00EB6E50">
      <w:pPr>
        <w:spacing w:line="360" w:lineRule="auto"/>
        <w:rPr>
          <w:sz w:val="24"/>
        </w:rPr>
      </w:pPr>
    </w:p>
    <w:p w14:paraId="4BD1046C" w14:textId="77777777" w:rsidR="00EB6E50" w:rsidRDefault="00EB6E50">
      <w:pPr>
        <w:spacing w:line="360" w:lineRule="auto"/>
        <w:rPr>
          <w:sz w:val="24"/>
        </w:rPr>
      </w:pPr>
    </w:p>
    <w:p w14:paraId="2CA386D1" w14:textId="77777777" w:rsidR="00EB6E50" w:rsidRDefault="00000000">
      <w:pPr>
        <w:spacing w:line="360" w:lineRule="auto"/>
        <w:rPr>
          <w:sz w:val="24"/>
        </w:rPr>
      </w:pPr>
      <w:r>
        <w:rPr>
          <w:rFonts w:hint="eastAsia"/>
          <w:sz w:val="24"/>
        </w:rPr>
        <w:br w:type="page"/>
      </w:r>
      <w:r>
        <w:rPr>
          <w:rFonts w:hint="eastAsia"/>
          <w:sz w:val="24"/>
        </w:rPr>
        <w:lastRenderedPageBreak/>
        <w:t>附件五</w:t>
      </w:r>
    </w:p>
    <w:p w14:paraId="1877C2C4" w14:textId="77777777" w:rsidR="00EB6E50" w:rsidRDefault="00EB6E50">
      <w:pPr>
        <w:spacing w:line="360" w:lineRule="auto"/>
        <w:ind w:firstLine="180"/>
        <w:rPr>
          <w:sz w:val="24"/>
        </w:rPr>
      </w:pPr>
    </w:p>
    <w:p w14:paraId="45778D94" w14:textId="77777777" w:rsidR="00EB6E50" w:rsidRDefault="00000000">
      <w:pPr>
        <w:autoSpaceDE w:val="0"/>
        <w:autoSpaceDN w:val="0"/>
        <w:adjustRightInd w:val="0"/>
        <w:jc w:val="center"/>
        <w:rPr>
          <w:rFonts w:cs="黑体"/>
          <w:kern w:val="0"/>
          <w:sz w:val="32"/>
          <w:szCs w:val="32"/>
        </w:rPr>
      </w:pPr>
      <w:r>
        <w:rPr>
          <w:rFonts w:cs="黑体" w:hint="eastAsia"/>
          <w:kern w:val="0"/>
          <w:sz w:val="32"/>
          <w:szCs w:val="32"/>
        </w:rPr>
        <w:t>关于内幕信息知情人防止内幕交易提醒的函</w:t>
      </w:r>
    </w:p>
    <w:p w14:paraId="167F3F55" w14:textId="77777777" w:rsidR="00EB6E50" w:rsidRDefault="00000000">
      <w:pPr>
        <w:autoSpaceDE w:val="0"/>
        <w:autoSpaceDN w:val="0"/>
        <w:adjustRightInd w:val="0"/>
        <w:jc w:val="left"/>
        <w:rPr>
          <w:rFonts w:cs="仿宋_GB2312"/>
          <w:kern w:val="0"/>
          <w:sz w:val="24"/>
        </w:rPr>
      </w:pPr>
      <w:r>
        <w:rPr>
          <w:rFonts w:cs="仿宋_GB2312"/>
          <w:kern w:val="0"/>
          <w:sz w:val="30"/>
          <w:szCs w:val="30"/>
        </w:rPr>
        <w:t>____</w:t>
      </w:r>
      <w:r>
        <w:rPr>
          <w:rFonts w:cs="仿宋_GB2312" w:hint="eastAsia"/>
          <w:kern w:val="0"/>
          <w:sz w:val="24"/>
        </w:rPr>
        <w:t>：</w:t>
      </w:r>
      <w:r>
        <w:rPr>
          <w:rFonts w:cs="仿宋_GB2312"/>
          <w:kern w:val="0"/>
          <w:sz w:val="24"/>
        </w:rPr>
        <w:t xml:space="preserve"> </w:t>
      </w:r>
    </w:p>
    <w:p w14:paraId="2AAD6E2E" w14:textId="77777777" w:rsidR="00EB6E50" w:rsidRDefault="00000000">
      <w:pPr>
        <w:autoSpaceDE w:val="0"/>
        <w:autoSpaceDN w:val="0"/>
        <w:adjustRightInd w:val="0"/>
        <w:spacing w:line="360" w:lineRule="auto"/>
        <w:ind w:firstLineChars="200" w:firstLine="480"/>
        <w:jc w:val="left"/>
        <w:rPr>
          <w:rFonts w:cs="仿宋_GB2312"/>
          <w:kern w:val="0"/>
          <w:sz w:val="24"/>
        </w:rPr>
      </w:pPr>
      <w:r>
        <w:rPr>
          <w:rFonts w:cs="仿宋_GB2312" w:hint="eastAsia"/>
          <w:kern w:val="0"/>
          <w:sz w:val="24"/>
        </w:rPr>
        <w:t>根据《中华人民共和国证券法》等规定，您属于本公司内幕信息知情人。内幕交易行为是证券监管机构的关注和监察的重点。为防止内幕交易行为对公司和个人的不利影响，特此提醒：</w:t>
      </w:r>
      <w:r>
        <w:rPr>
          <w:rFonts w:cs="仿宋_GB2312"/>
          <w:kern w:val="0"/>
          <w:sz w:val="24"/>
        </w:rPr>
        <w:t xml:space="preserve"> </w:t>
      </w:r>
    </w:p>
    <w:p w14:paraId="5A68AD6E" w14:textId="77777777" w:rsidR="00EB6E50" w:rsidRDefault="00000000">
      <w:pPr>
        <w:pStyle w:val="Default"/>
        <w:spacing w:line="360" w:lineRule="auto"/>
        <w:ind w:firstLineChars="200" w:firstLine="480"/>
        <w:rPr>
          <w:rFonts w:ascii="Times New Roman" w:eastAsia="宋体" w:hAnsi="Times New Roman" w:cs="仿宋_GB2312"/>
          <w:color w:val="auto"/>
        </w:rPr>
      </w:pPr>
      <w:r>
        <w:rPr>
          <w:rFonts w:ascii="Times New Roman" w:eastAsia="宋体" w:hAnsi="Times New Roman" w:cs="仿宋_GB2312" w:hint="eastAsia"/>
          <w:color w:val="auto"/>
        </w:rPr>
        <w:t>（一）</w:t>
      </w:r>
      <w:r>
        <w:rPr>
          <w:rFonts w:ascii="Times New Roman" w:eastAsia="宋体" w:hAnsi="Times New Roman" w:cs="仿宋_GB2312"/>
          <w:color w:val="auto"/>
        </w:rPr>
        <w:t xml:space="preserve"> </w:t>
      </w:r>
      <w:r>
        <w:rPr>
          <w:rFonts w:ascii="Times New Roman" w:eastAsia="宋体" w:hAnsi="Times New Roman" w:cs="仿宋_GB2312"/>
          <w:color w:val="auto"/>
          <w:u w:val="single"/>
        </w:rPr>
        <w:t xml:space="preserve">    </w:t>
      </w:r>
      <w:r>
        <w:rPr>
          <w:rFonts w:ascii="Times New Roman" w:eastAsia="宋体" w:hAnsi="Times New Roman" w:cs="仿宋_GB2312" w:hint="eastAsia"/>
          <w:color w:val="auto"/>
        </w:rPr>
        <w:t>年</w:t>
      </w:r>
      <w:r>
        <w:rPr>
          <w:rFonts w:ascii="Times New Roman" w:eastAsia="宋体" w:hAnsi="Times New Roman" w:cs="仿宋_GB2312"/>
          <w:color w:val="auto"/>
          <w:u w:val="single"/>
        </w:rPr>
        <w:t xml:space="preserve">   </w:t>
      </w:r>
      <w:r>
        <w:rPr>
          <w:rFonts w:ascii="Times New Roman" w:eastAsia="宋体" w:hAnsi="Times New Roman" w:cs="仿宋_GB2312" w:hint="eastAsia"/>
          <w:color w:val="auto"/>
        </w:rPr>
        <w:t>月</w:t>
      </w:r>
      <w:r>
        <w:rPr>
          <w:rFonts w:ascii="Times New Roman" w:eastAsia="宋体" w:hAnsi="Times New Roman" w:cs="仿宋_GB2312"/>
          <w:color w:val="auto"/>
          <w:u w:val="single"/>
        </w:rPr>
        <w:t xml:space="preserve">   </w:t>
      </w:r>
      <w:r>
        <w:rPr>
          <w:rFonts w:ascii="Times New Roman" w:eastAsia="宋体" w:hAnsi="Times New Roman" w:cs="仿宋_GB2312" w:hint="eastAsia"/>
          <w:color w:val="auto"/>
        </w:rPr>
        <w:t>日至</w:t>
      </w:r>
      <w:r>
        <w:rPr>
          <w:rFonts w:ascii="Times New Roman" w:eastAsia="宋体" w:hAnsi="Times New Roman" w:cs="仿宋_GB2312"/>
          <w:color w:val="auto"/>
          <w:u w:val="single"/>
        </w:rPr>
        <w:t xml:space="preserve">   </w:t>
      </w:r>
      <w:r>
        <w:rPr>
          <w:rFonts w:ascii="Times New Roman" w:eastAsia="宋体" w:hAnsi="Times New Roman" w:cs="仿宋_GB2312" w:hint="eastAsia"/>
          <w:color w:val="auto"/>
        </w:rPr>
        <w:t>年</w:t>
      </w:r>
      <w:r>
        <w:rPr>
          <w:rFonts w:ascii="Times New Roman" w:eastAsia="宋体" w:hAnsi="Times New Roman" w:cs="仿宋_GB2312"/>
          <w:color w:val="auto"/>
          <w:u w:val="single"/>
        </w:rPr>
        <w:t xml:space="preserve">   </w:t>
      </w:r>
      <w:r>
        <w:rPr>
          <w:rFonts w:ascii="Times New Roman" w:eastAsia="宋体" w:hAnsi="Times New Roman" w:cs="仿宋_GB2312" w:hint="eastAsia"/>
          <w:color w:val="auto"/>
        </w:rPr>
        <w:t>月</w:t>
      </w:r>
      <w:r>
        <w:rPr>
          <w:rFonts w:ascii="Times New Roman" w:eastAsia="宋体" w:hAnsi="Times New Roman" w:cs="仿宋_GB2312"/>
          <w:color w:val="auto"/>
          <w:u w:val="single"/>
        </w:rPr>
        <w:t xml:space="preserve">   </w:t>
      </w:r>
      <w:r>
        <w:rPr>
          <w:rFonts w:ascii="Times New Roman" w:eastAsia="宋体" w:hAnsi="Times New Roman" w:cs="仿宋_GB2312" w:hint="eastAsia"/>
          <w:color w:val="auto"/>
        </w:rPr>
        <w:t>日为内幕信息存续期间</w:t>
      </w:r>
      <w:r>
        <w:rPr>
          <w:rFonts w:ascii="Times New Roman" w:eastAsia="宋体" w:hAnsi="Times New Roman" w:cs="仿宋_GB2312"/>
          <w:color w:val="auto"/>
        </w:rPr>
        <w:t>(</w:t>
      </w:r>
      <w:r>
        <w:rPr>
          <w:rFonts w:ascii="Times New Roman" w:eastAsia="宋体" w:hAnsi="Times New Roman" w:cs="仿宋_GB2312" w:hint="eastAsia"/>
          <w:color w:val="auto"/>
        </w:rPr>
        <w:t>内幕信息存续期间的终止日期如暂时无法确定的，以该信息所涉全部内容的最后一次公开披露的临时公告之日为准</w:t>
      </w:r>
      <w:r>
        <w:rPr>
          <w:rFonts w:ascii="Times New Roman" w:eastAsia="宋体" w:hAnsi="Times New Roman" w:cs="仿宋_GB2312"/>
          <w:color w:val="auto"/>
        </w:rPr>
        <w:t>)</w:t>
      </w:r>
      <w:r>
        <w:rPr>
          <w:rFonts w:ascii="Times New Roman" w:eastAsia="宋体" w:hAnsi="Times New Roman" w:cs="仿宋_GB2312" w:hint="eastAsia"/>
          <w:color w:val="auto"/>
        </w:rPr>
        <w:t>；</w:t>
      </w:r>
      <w:r>
        <w:rPr>
          <w:rFonts w:ascii="Times New Roman" w:eastAsia="宋体" w:hAnsi="Times New Roman" w:cs="仿宋_GB2312"/>
          <w:color w:val="auto"/>
        </w:rPr>
        <w:t xml:space="preserve"> </w:t>
      </w:r>
    </w:p>
    <w:p w14:paraId="7CD2432D" w14:textId="77777777" w:rsidR="00EB6E50" w:rsidRDefault="00000000">
      <w:pPr>
        <w:autoSpaceDE w:val="0"/>
        <w:autoSpaceDN w:val="0"/>
        <w:adjustRightInd w:val="0"/>
        <w:spacing w:line="360" w:lineRule="auto"/>
        <w:ind w:firstLineChars="200" w:firstLine="480"/>
        <w:jc w:val="left"/>
        <w:rPr>
          <w:rFonts w:cs="仿宋_GB2312"/>
          <w:kern w:val="0"/>
          <w:sz w:val="24"/>
        </w:rPr>
      </w:pPr>
      <w:r>
        <w:rPr>
          <w:rFonts w:cs="仿宋_GB2312" w:hint="eastAsia"/>
          <w:kern w:val="0"/>
          <w:sz w:val="24"/>
        </w:rPr>
        <w:t>（二）请您在上述期间内严格遵守保密纪律，并请务必：</w:t>
      </w:r>
      <w:r>
        <w:rPr>
          <w:rFonts w:cs="仿宋_GB2312"/>
          <w:kern w:val="0"/>
          <w:sz w:val="24"/>
        </w:rPr>
        <w:t xml:space="preserve"> </w:t>
      </w:r>
    </w:p>
    <w:p w14:paraId="29681CF8" w14:textId="77777777" w:rsidR="00EB6E50" w:rsidRDefault="00000000">
      <w:pPr>
        <w:autoSpaceDE w:val="0"/>
        <w:autoSpaceDN w:val="0"/>
        <w:adjustRightInd w:val="0"/>
        <w:spacing w:line="360" w:lineRule="auto"/>
        <w:ind w:firstLineChars="200" w:firstLine="480"/>
        <w:jc w:val="left"/>
        <w:rPr>
          <w:rFonts w:cs="仿宋_GB2312"/>
          <w:kern w:val="0"/>
          <w:sz w:val="24"/>
        </w:rPr>
      </w:pPr>
      <w:r>
        <w:rPr>
          <w:rFonts w:cs="仿宋_GB2312"/>
          <w:kern w:val="0"/>
          <w:sz w:val="24"/>
        </w:rPr>
        <w:t>1</w:t>
      </w:r>
      <w:r>
        <w:rPr>
          <w:rFonts w:cs="仿宋_GB2312" w:hint="eastAsia"/>
          <w:kern w:val="0"/>
          <w:sz w:val="24"/>
        </w:rPr>
        <w:t>、不以个人账户或控制他人账户交易本公司股票；</w:t>
      </w:r>
      <w:r>
        <w:rPr>
          <w:rFonts w:cs="仿宋_GB2312"/>
          <w:kern w:val="0"/>
          <w:sz w:val="24"/>
        </w:rPr>
        <w:t xml:space="preserve"> </w:t>
      </w:r>
    </w:p>
    <w:p w14:paraId="1A2C273E" w14:textId="77777777" w:rsidR="00EB6E50" w:rsidRDefault="00000000">
      <w:pPr>
        <w:autoSpaceDE w:val="0"/>
        <w:autoSpaceDN w:val="0"/>
        <w:adjustRightInd w:val="0"/>
        <w:spacing w:line="360" w:lineRule="auto"/>
        <w:ind w:firstLineChars="200" w:firstLine="480"/>
        <w:jc w:val="left"/>
        <w:rPr>
          <w:rFonts w:cs="仿宋_GB2312"/>
          <w:kern w:val="0"/>
          <w:sz w:val="24"/>
        </w:rPr>
      </w:pPr>
      <w:r>
        <w:rPr>
          <w:rFonts w:cs="仿宋_GB2312"/>
          <w:kern w:val="0"/>
          <w:sz w:val="24"/>
        </w:rPr>
        <w:t>2</w:t>
      </w:r>
      <w:r>
        <w:rPr>
          <w:rFonts w:cs="仿宋_GB2312" w:hint="eastAsia"/>
          <w:kern w:val="0"/>
          <w:sz w:val="24"/>
        </w:rPr>
        <w:t>、不泄露或打听相关内幕信息，将信息控制在必要知悉范围内；</w:t>
      </w:r>
      <w:r>
        <w:rPr>
          <w:rFonts w:cs="仿宋_GB2312"/>
          <w:kern w:val="0"/>
          <w:sz w:val="24"/>
        </w:rPr>
        <w:t xml:space="preserve"> </w:t>
      </w:r>
    </w:p>
    <w:p w14:paraId="2AEA4480" w14:textId="77777777" w:rsidR="00EB6E50" w:rsidRDefault="00000000">
      <w:pPr>
        <w:autoSpaceDE w:val="0"/>
        <w:autoSpaceDN w:val="0"/>
        <w:adjustRightInd w:val="0"/>
        <w:spacing w:line="360" w:lineRule="auto"/>
        <w:ind w:firstLineChars="200" w:firstLine="480"/>
        <w:jc w:val="left"/>
        <w:rPr>
          <w:rFonts w:cs="仿宋_GB2312"/>
          <w:kern w:val="0"/>
          <w:sz w:val="24"/>
        </w:rPr>
      </w:pPr>
      <w:r>
        <w:rPr>
          <w:rFonts w:cs="仿宋_GB2312"/>
          <w:kern w:val="0"/>
          <w:sz w:val="24"/>
        </w:rPr>
        <w:t>3</w:t>
      </w:r>
      <w:r>
        <w:rPr>
          <w:rFonts w:cs="仿宋_GB2312" w:hint="eastAsia"/>
          <w:kern w:val="0"/>
          <w:sz w:val="24"/>
        </w:rPr>
        <w:t>、不建议他人交易本公司股票。</w:t>
      </w:r>
      <w:r>
        <w:rPr>
          <w:rFonts w:cs="仿宋_GB2312"/>
          <w:kern w:val="0"/>
          <w:sz w:val="24"/>
        </w:rPr>
        <w:t xml:space="preserve"> </w:t>
      </w:r>
    </w:p>
    <w:p w14:paraId="7852A735" w14:textId="77777777" w:rsidR="00EB6E50" w:rsidRDefault="00EB6E50">
      <w:pPr>
        <w:pStyle w:val="Default"/>
        <w:spacing w:line="360" w:lineRule="auto"/>
        <w:ind w:firstLineChars="200" w:firstLine="480"/>
        <w:rPr>
          <w:rFonts w:ascii="Times New Roman" w:eastAsia="宋体" w:hAnsi="Times New Roman" w:cs="仿宋_GB2312"/>
          <w:color w:val="auto"/>
        </w:rPr>
      </w:pPr>
    </w:p>
    <w:p w14:paraId="15E58BC0" w14:textId="77777777" w:rsidR="00EB6E50" w:rsidRDefault="00000000">
      <w:pPr>
        <w:pStyle w:val="Default"/>
        <w:spacing w:line="360" w:lineRule="auto"/>
        <w:ind w:firstLineChars="200" w:firstLine="480"/>
        <w:rPr>
          <w:rFonts w:ascii="Times New Roman" w:eastAsia="宋体" w:hAnsi="Times New Roman" w:cs="仿宋_GB2312"/>
          <w:color w:val="auto"/>
        </w:rPr>
      </w:pPr>
      <w:r>
        <w:rPr>
          <w:rFonts w:ascii="Times New Roman" w:eastAsia="宋体" w:hAnsi="Times New Roman" w:cs="仿宋_GB2312" w:hint="eastAsia"/>
          <w:color w:val="auto"/>
        </w:rPr>
        <w:t>特此函告。</w:t>
      </w:r>
    </w:p>
    <w:p w14:paraId="222F0304" w14:textId="77777777" w:rsidR="00EB6E50" w:rsidRDefault="00EB6E50">
      <w:pPr>
        <w:pStyle w:val="Default"/>
        <w:spacing w:line="360" w:lineRule="auto"/>
        <w:ind w:firstLineChars="200" w:firstLine="480"/>
        <w:rPr>
          <w:rFonts w:ascii="Times New Roman" w:eastAsia="宋体" w:hAnsi="Times New Roman" w:cs="仿宋_GB2312"/>
          <w:color w:val="auto"/>
        </w:rPr>
      </w:pPr>
    </w:p>
    <w:p w14:paraId="00938820" w14:textId="77777777" w:rsidR="00EB6E50" w:rsidRDefault="00EB6E50">
      <w:pPr>
        <w:pStyle w:val="Default"/>
        <w:spacing w:line="360" w:lineRule="auto"/>
        <w:ind w:firstLineChars="200" w:firstLine="480"/>
        <w:rPr>
          <w:rFonts w:ascii="Times New Roman" w:eastAsia="宋体" w:hAnsi="Times New Roman" w:cs="仿宋_GB2312"/>
          <w:color w:val="auto"/>
        </w:rPr>
      </w:pPr>
    </w:p>
    <w:p w14:paraId="36D9D4AB" w14:textId="77777777" w:rsidR="00EB6E50" w:rsidRDefault="00000000">
      <w:pPr>
        <w:pStyle w:val="Default"/>
        <w:spacing w:line="360" w:lineRule="auto"/>
        <w:ind w:firstLineChars="200" w:firstLine="480"/>
        <w:jc w:val="right"/>
        <w:rPr>
          <w:rFonts w:ascii="Times New Roman" w:eastAsia="宋体" w:hAnsi="Times New Roman" w:cs="仿宋_GB2312"/>
          <w:color w:val="auto"/>
        </w:rPr>
      </w:pPr>
      <w:r>
        <w:rPr>
          <w:rFonts w:ascii="Times New Roman" w:eastAsia="宋体" w:hAnsi="Times New Roman" w:cs="仿宋_GB2312" w:hint="eastAsia"/>
          <w:color w:val="auto"/>
        </w:rPr>
        <w:t>山东龙大美食股份有限公司</w:t>
      </w:r>
      <w:r>
        <w:rPr>
          <w:rFonts w:ascii="Times New Roman" w:eastAsia="宋体" w:hAnsi="Times New Roman" w:cs="仿宋_GB2312"/>
          <w:color w:val="auto"/>
        </w:rPr>
        <w:t xml:space="preserve"> </w:t>
      </w:r>
    </w:p>
    <w:p w14:paraId="5DC081EE" w14:textId="77777777" w:rsidR="00EB6E50" w:rsidRDefault="00000000">
      <w:pPr>
        <w:pStyle w:val="Default"/>
        <w:spacing w:line="360" w:lineRule="auto"/>
        <w:ind w:right="960" w:firstLineChars="200" w:firstLine="480"/>
        <w:jc w:val="right"/>
        <w:rPr>
          <w:rFonts w:ascii="Times New Roman" w:eastAsia="宋体" w:hAnsi="Times New Roman" w:cs="仿宋_GB2312"/>
          <w:color w:val="auto"/>
        </w:rPr>
      </w:pPr>
      <w:r>
        <w:rPr>
          <w:rFonts w:ascii="Times New Roman" w:eastAsia="宋体" w:hAnsi="Times New Roman" w:cs="仿宋_GB2312" w:hint="eastAsia"/>
          <w:color w:val="auto"/>
        </w:rPr>
        <w:t>董事会</w:t>
      </w:r>
    </w:p>
    <w:p w14:paraId="3D457CA6" w14:textId="77777777" w:rsidR="00EB6E50" w:rsidRDefault="00000000">
      <w:pPr>
        <w:wordWrap w:val="0"/>
        <w:jc w:val="right"/>
        <w:rPr>
          <w:sz w:val="24"/>
        </w:rPr>
      </w:pP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rFonts w:hint="eastAsia"/>
          <w:sz w:val="24"/>
        </w:rPr>
        <w:t xml:space="preserve"> </w:t>
      </w:r>
      <w:r>
        <w:rPr>
          <w:sz w:val="24"/>
        </w:rPr>
        <w:t xml:space="preserve"> </w:t>
      </w:r>
    </w:p>
    <w:p w14:paraId="2DCBC971" w14:textId="77777777" w:rsidR="00EB6E50" w:rsidRDefault="00000000">
      <w:pPr>
        <w:spacing w:line="360" w:lineRule="auto"/>
        <w:ind w:firstLine="180"/>
        <w:rPr>
          <w:sz w:val="24"/>
        </w:rPr>
      </w:pPr>
      <w:r>
        <w:rPr>
          <w:rFonts w:cs="仿宋_GB2312" w:hint="eastAsia"/>
          <w:kern w:val="0"/>
          <w:sz w:val="24"/>
        </w:rPr>
        <w:t>被告知人签字：</w:t>
      </w:r>
    </w:p>
    <w:sectPr w:rsidR="00EB6E50">
      <w:headerReference w:type="default" r:id="rId8"/>
      <w:footerReference w:type="even" r:id="rId9"/>
      <w:footerReference w:type="default" r:id="rId10"/>
      <w:pgSz w:w="11906" w:h="16838"/>
      <w:pgMar w:top="1359" w:right="1466" w:bottom="1558" w:left="1440" w:header="935" w:footer="14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F623" w14:textId="77777777" w:rsidR="00225855" w:rsidRDefault="00225855">
      <w:r>
        <w:separator/>
      </w:r>
    </w:p>
  </w:endnote>
  <w:endnote w:type="continuationSeparator" w:id="0">
    <w:p w14:paraId="73952907" w14:textId="77777777" w:rsidR="00225855" w:rsidRDefault="0022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_GB2312">
    <w:altName w:val="楷体"/>
    <w:charset w:val="86"/>
    <w:family w:val="moder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imSun-Identity-H">
    <w:altName w:val="方正姚体"/>
    <w:charset w:val="86"/>
    <w:family w:val="auto"/>
    <w:pitch w:val="default"/>
    <w:sig w:usb0="00000001" w:usb1="080E0000" w:usb2="00000010" w:usb3="00000000" w:csb0="00040000" w:csb1="00000000"/>
  </w:font>
  <w:font w:name="Damascus">
    <w:altName w:val="Segoe Print"/>
    <w:charset w:val="00"/>
    <w:family w:val="auto"/>
    <w:pitch w:val="default"/>
    <w:sig w:usb0="80002003" w:usb1="88000000" w:usb2="14000008" w:usb3="00000000" w:csb0="00000001"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CF44" w14:textId="77777777" w:rsidR="00EB6E50" w:rsidRDefault="0000000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0D81E4B" w14:textId="77777777" w:rsidR="00EB6E50" w:rsidRDefault="00EB6E5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01AF" w14:textId="77777777" w:rsidR="00EB6E50" w:rsidRDefault="0000000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15</w:t>
    </w:r>
    <w:r>
      <w:rPr>
        <w:rStyle w:val="af0"/>
      </w:rPr>
      <w:fldChar w:fldCharType="end"/>
    </w:r>
  </w:p>
  <w:p w14:paraId="58C042A2" w14:textId="77777777" w:rsidR="00EB6E50" w:rsidRDefault="00EB6E50">
    <w:pPr>
      <w:pStyle w:val="aa"/>
      <w:spacing w:line="300"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6752" w14:textId="77777777" w:rsidR="00225855" w:rsidRDefault="00225855">
      <w:r>
        <w:separator/>
      </w:r>
    </w:p>
  </w:footnote>
  <w:footnote w:type="continuationSeparator" w:id="0">
    <w:p w14:paraId="0D87F410" w14:textId="77777777" w:rsidR="00225855" w:rsidRDefault="0022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A915" w14:textId="77777777" w:rsidR="00EB6E50" w:rsidRDefault="00000000">
    <w:pPr>
      <w:pStyle w:val="ab"/>
      <w:ind w:firstLineChars="500" w:firstLine="900"/>
      <w:jc w:val="both"/>
    </w:pPr>
    <w:r>
      <w:rPr>
        <w:noProof/>
      </w:rPr>
      <w:drawing>
        <wp:anchor distT="0" distB="0" distL="114300" distR="114300" simplePos="0" relativeHeight="251659264" behindDoc="0" locked="0" layoutInCell="1" allowOverlap="1" wp14:anchorId="29FCD1C8" wp14:editId="6308B4C7">
          <wp:simplePos x="0" y="0"/>
          <wp:positionH relativeFrom="column">
            <wp:posOffset>15240</wp:posOffset>
          </wp:positionH>
          <wp:positionV relativeFrom="paragraph">
            <wp:posOffset>-93345</wp:posOffset>
          </wp:positionV>
          <wp:extent cx="561975" cy="248920"/>
          <wp:effectExtent l="0" t="0" r="0" b="8255"/>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bookmarkStart w:id="1" w:name="_Hlk110445608"/>
    <w:bookmarkStart w:id="2" w:name="_Hlk110445482"/>
    <w:bookmarkStart w:id="3" w:name="_Hlk110445576"/>
    <w:bookmarkStart w:id="4" w:name="_Hlk110445483"/>
    <w:bookmarkStart w:id="5" w:name="_Hlk110445577"/>
    <w:r>
      <w:rPr>
        <w:rFonts w:hint="eastAsia"/>
      </w:rPr>
      <w:t>山东龙大美食股份有限公司</w:t>
    </w:r>
    <w:r>
      <w:t xml:space="preserve">        </w:t>
    </w:r>
    <w:bookmarkEnd w:id="1"/>
    <w:r>
      <w:t xml:space="preserve">                        </w:t>
    </w:r>
    <w:bookmarkEnd w:id="2"/>
    <w:bookmarkEnd w:id="3"/>
    <w:bookmarkEnd w:id="4"/>
    <w:bookmarkEnd w:id="5"/>
    <w:r>
      <w:rPr>
        <w:rFonts w:hint="eastAsia"/>
      </w:rPr>
      <w:t>内幕信息知情人登记管理制度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FBF7" w14:textId="77777777" w:rsidR="00EB6E50" w:rsidRDefault="00000000">
    <w:pPr>
      <w:pStyle w:val="ab"/>
      <w:ind w:firstLineChars="500" w:firstLine="900"/>
      <w:jc w:val="both"/>
    </w:pPr>
    <w:r>
      <w:rPr>
        <w:noProof/>
      </w:rPr>
      <w:drawing>
        <wp:anchor distT="0" distB="0" distL="114300" distR="114300" simplePos="0" relativeHeight="251660288" behindDoc="0" locked="0" layoutInCell="1" allowOverlap="1" wp14:anchorId="600C2F4D" wp14:editId="4E7F8439">
          <wp:simplePos x="0" y="0"/>
          <wp:positionH relativeFrom="column">
            <wp:posOffset>15240</wp:posOffset>
          </wp:positionH>
          <wp:positionV relativeFrom="paragraph">
            <wp:posOffset>-93345</wp:posOffset>
          </wp:positionV>
          <wp:extent cx="561975" cy="248920"/>
          <wp:effectExtent l="0" t="0" r="0" b="8255"/>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r>
      <w:rPr>
        <w:rFonts w:hint="eastAsia"/>
      </w:rPr>
      <w:t>山东龙大美食股份有限公司</w:t>
    </w:r>
    <w:r>
      <w:t xml:space="preserve">                                                                                               </w:t>
    </w:r>
    <w:r>
      <w:rPr>
        <w:rFonts w:hint="eastAsia"/>
      </w:rPr>
      <w:t>内幕信息知情人登记管理制度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CA43" w14:textId="77777777" w:rsidR="00EB6E50" w:rsidRDefault="00000000">
    <w:pPr>
      <w:pStyle w:val="ab"/>
      <w:ind w:firstLineChars="500" w:firstLine="900"/>
      <w:jc w:val="both"/>
    </w:pPr>
    <w:r>
      <w:rPr>
        <w:noProof/>
      </w:rPr>
      <w:drawing>
        <wp:anchor distT="0" distB="0" distL="114300" distR="114300" simplePos="0" relativeHeight="251661312" behindDoc="0" locked="0" layoutInCell="1" allowOverlap="1" wp14:anchorId="0D006417" wp14:editId="630C709D">
          <wp:simplePos x="0" y="0"/>
          <wp:positionH relativeFrom="column">
            <wp:posOffset>15240</wp:posOffset>
          </wp:positionH>
          <wp:positionV relativeFrom="paragraph">
            <wp:posOffset>-93345</wp:posOffset>
          </wp:positionV>
          <wp:extent cx="561975" cy="248920"/>
          <wp:effectExtent l="0" t="0" r="0" b="8255"/>
          <wp:wrapNone/>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r>
      <w:rPr>
        <w:rFonts w:hint="eastAsia"/>
      </w:rPr>
      <w:t>山东龙大美食股份有限公司</w:t>
    </w:r>
    <w:r>
      <w:t xml:space="preserve">                                        </w:t>
    </w:r>
    <w:r>
      <w:rPr>
        <w:rFonts w:hint="eastAsia"/>
      </w:rPr>
      <w:t>内幕信息知情人登记管理制度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0NDAzNzA0ZDBmMGM5MmE3NmU3MzliOGJhODAxMTMifQ=="/>
  </w:docVars>
  <w:rsids>
    <w:rsidRoot w:val="0092456E"/>
    <w:rsid w:val="00011786"/>
    <w:rsid w:val="000137C7"/>
    <w:rsid w:val="000139CC"/>
    <w:rsid w:val="00016252"/>
    <w:rsid w:val="00021257"/>
    <w:rsid w:val="00024A43"/>
    <w:rsid w:val="00024C37"/>
    <w:rsid w:val="00032E02"/>
    <w:rsid w:val="00036C33"/>
    <w:rsid w:val="000376B0"/>
    <w:rsid w:val="0004048C"/>
    <w:rsid w:val="000424F4"/>
    <w:rsid w:val="000445FF"/>
    <w:rsid w:val="00047D8E"/>
    <w:rsid w:val="00054BE3"/>
    <w:rsid w:val="00057132"/>
    <w:rsid w:val="00061FC2"/>
    <w:rsid w:val="00070DFC"/>
    <w:rsid w:val="00071527"/>
    <w:rsid w:val="00072988"/>
    <w:rsid w:val="0007506F"/>
    <w:rsid w:val="00077405"/>
    <w:rsid w:val="00080D2C"/>
    <w:rsid w:val="00085B97"/>
    <w:rsid w:val="0008754A"/>
    <w:rsid w:val="000879B8"/>
    <w:rsid w:val="0009073A"/>
    <w:rsid w:val="00093655"/>
    <w:rsid w:val="000A0299"/>
    <w:rsid w:val="000A0E07"/>
    <w:rsid w:val="000A15CF"/>
    <w:rsid w:val="000A70B2"/>
    <w:rsid w:val="000B5643"/>
    <w:rsid w:val="000C3FC5"/>
    <w:rsid w:val="000D03D3"/>
    <w:rsid w:val="000D0B96"/>
    <w:rsid w:val="000D3E4D"/>
    <w:rsid w:val="000D3F67"/>
    <w:rsid w:val="000D6B65"/>
    <w:rsid w:val="000D74AD"/>
    <w:rsid w:val="000E2DBC"/>
    <w:rsid w:val="000E36EB"/>
    <w:rsid w:val="000E4262"/>
    <w:rsid w:val="000E70C0"/>
    <w:rsid w:val="000E7320"/>
    <w:rsid w:val="000F39A3"/>
    <w:rsid w:val="00101B3D"/>
    <w:rsid w:val="001136C3"/>
    <w:rsid w:val="001146D6"/>
    <w:rsid w:val="00115F34"/>
    <w:rsid w:val="001174BC"/>
    <w:rsid w:val="001224C9"/>
    <w:rsid w:val="001266AA"/>
    <w:rsid w:val="00134113"/>
    <w:rsid w:val="00141D13"/>
    <w:rsid w:val="00145C89"/>
    <w:rsid w:val="00152614"/>
    <w:rsid w:val="0016275D"/>
    <w:rsid w:val="0016406D"/>
    <w:rsid w:val="0017221F"/>
    <w:rsid w:val="00173D0A"/>
    <w:rsid w:val="0017464A"/>
    <w:rsid w:val="00175994"/>
    <w:rsid w:val="0017656D"/>
    <w:rsid w:val="00183510"/>
    <w:rsid w:val="00184AA7"/>
    <w:rsid w:val="00185D34"/>
    <w:rsid w:val="00187CC3"/>
    <w:rsid w:val="001923FD"/>
    <w:rsid w:val="00193352"/>
    <w:rsid w:val="00193984"/>
    <w:rsid w:val="001945C7"/>
    <w:rsid w:val="00194A7F"/>
    <w:rsid w:val="00195C03"/>
    <w:rsid w:val="001A3349"/>
    <w:rsid w:val="001B1F1B"/>
    <w:rsid w:val="001B26C4"/>
    <w:rsid w:val="001B3D05"/>
    <w:rsid w:val="001C046F"/>
    <w:rsid w:val="001C0C43"/>
    <w:rsid w:val="001C4776"/>
    <w:rsid w:val="001C689D"/>
    <w:rsid w:val="001D07D7"/>
    <w:rsid w:val="001D0920"/>
    <w:rsid w:val="001D13DB"/>
    <w:rsid w:val="001D3E5B"/>
    <w:rsid w:val="001D772D"/>
    <w:rsid w:val="001E17AB"/>
    <w:rsid w:val="001E5962"/>
    <w:rsid w:val="001F13B6"/>
    <w:rsid w:val="001F2B04"/>
    <w:rsid w:val="002027CA"/>
    <w:rsid w:val="00203BBF"/>
    <w:rsid w:val="002047B0"/>
    <w:rsid w:val="00205A5B"/>
    <w:rsid w:val="00222772"/>
    <w:rsid w:val="00225855"/>
    <w:rsid w:val="002260D4"/>
    <w:rsid w:val="002277A7"/>
    <w:rsid w:val="0023471A"/>
    <w:rsid w:val="00240F47"/>
    <w:rsid w:val="00241660"/>
    <w:rsid w:val="00243D59"/>
    <w:rsid w:val="00251706"/>
    <w:rsid w:val="00254392"/>
    <w:rsid w:val="00254FBA"/>
    <w:rsid w:val="00260271"/>
    <w:rsid w:val="002639B1"/>
    <w:rsid w:val="002663CC"/>
    <w:rsid w:val="00271220"/>
    <w:rsid w:val="002716D6"/>
    <w:rsid w:val="002716F2"/>
    <w:rsid w:val="0027254B"/>
    <w:rsid w:val="00273721"/>
    <w:rsid w:val="00275302"/>
    <w:rsid w:val="00277541"/>
    <w:rsid w:val="0028352D"/>
    <w:rsid w:val="002853F8"/>
    <w:rsid w:val="00291646"/>
    <w:rsid w:val="002966C5"/>
    <w:rsid w:val="002979EB"/>
    <w:rsid w:val="002A26D4"/>
    <w:rsid w:val="002A288D"/>
    <w:rsid w:val="002B2D0C"/>
    <w:rsid w:val="002B328A"/>
    <w:rsid w:val="002B47C2"/>
    <w:rsid w:val="002B53C3"/>
    <w:rsid w:val="002D076A"/>
    <w:rsid w:val="002D31CA"/>
    <w:rsid w:val="002D79D5"/>
    <w:rsid w:val="002D7E7D"/>
    <w:rsid w:val="002E0A57"/>
    <w:rsid w:val="002E3ECE"/>
    <w:rsid w:val="002E4109"/>
    <w:rsid w:val="002E5361"/>
    <w:rsid w:val="002E588F"/>
    <w:rsid w:val="002F0357"/>
    <w:rsid w:val="002F1ECD"/>
    <w:rsid w:val="002F4663"/>
    <w:rsid w:val="0030190E"/>
    <w:rsid w:val="00306190"/>
    <w:rsid w:val="0030665B"/>
    <w:rsid w:val="00307668"/>
    <w:rsid w:val="003159C7"/>
    <w:rsid w:val="00315C91"/>
    <w:rsid w:val="00321650"/>
    <w:rsid w:val="00341E62"/>
    <w:rsid w:val="00342CAD"/>
    <w:rsid w:val="003432E5"/>
    <w:rsid w:val="003545C6"/>
    <w:rsid w:val="003575AA"/>
    <w:rsid w:val="003614D0"/>
    <w:rsid w:val="00366556"/>
    <w:rsid w:val="0037540B"/>
    <w:rsid w:val="00381D22"/>
    <w:rsid w:val="0038491F"/>
    <w:rsid w:val="00390AE0"/>
    <w:rsid w:val="00390EC8"/>
    <w:rsid w:val="00391166"/>
    <w:rsid w:val="003923E2"/>
    <w:rsid w:val="0039246B"/>
    <w:rsid w:val="0039295D"/>
    <w:rsid w:val="00394C6A"/>
    <w:rsid w:val="003969A7"/>
    <w:rsid w:val="003A0DE5"/>
    <w:rsid w:val="003A2E1A"/>
    <w:rsid w:val="003B25FB"/>
    <w:rsid w:val="003B66D4"/>
    <w:rsid w:val="003B6DF1"/>
    <w:rsid w:val="003C4209"/>
    <w:rsid w:val="003C5D16"/>
    <w:rsid w:val="003C7B3F"/>
    <w:rsid w:val="003C7CFB"/>
    <w:rsid w:val="003D698A"/>
    <w:rsid w:val="003E3E47"/>
    <w:rsid w:val="003E5A00"/>
    <w:rsid w:val="003E72E8"/>
    <w:rsid w:val="003F16CF"/>
    <w:rsid w:val="003F4521"/>
    <w:rsid w:val="004072F8"/>
    <w:rsid w:val="004129A0"/>
    <w:rsid w:val="004158E4"/>
    <w:rsid w:val="004219CB"/>
    <w:rsid w:val="00424EBE"/>
    <w:rsid w:val="0042670F"/>
    <w:rsid w:val="004350E8"/>
    <w:rsid w:val="0043592E"/>
    <w:rsid w:val="00436530"/>
    <w:rsid w:val="00446740"/>
    <w:rsid w:val="004508F0"/>
    <w:rsid w:val="00451A5F"/>
    <w:rsid w:val="0045535A"/>
    <w:rsid w:val="00455E7E"/>
    <w:rsid w:val="004639AB"/>
    <w:rsid w:val="004642B5"/>
    <w:rsid w:val="00471091"/>
    <w:rsid w:val="00475E75"/>
    <w:rsid w:val="00476CA3"/>
    <w:rsid w:val="0047761F"/>
    <w:rsid w:val="004832B6"/>
    <w:rsid w:val="00485722"/>
    <w:rsid w:val="00485730"/>
    <w:rsid w:val="00487E6B"/>
    <w:rsid w:val="0049065C"/>
    <w:rsid w:val="00493B9B"/>
    <w:rsid w:val="00494445"/>
    <w:rsid w:val="004A0AC9"/>
    <w:rsid w:val="004A4155"/>
    <w:rsid w:val="004A6D68"/>
    <w:rsid w:val="004B3720"/>
    <w:rsid w:val="004B7F15"/>
    <w:rsid w:val="004C386C"/>
    <w:rsid w:val="004D151B"/>
    <w:rsid w:val="004D16B6"/>
    <w:rsid w:val="004D5BAB"/>
    <w:rsid w:val="004E1A52"/>
    <w:rsid w:val="004E44AF"/>
    <w:rsid w:val="004F3A45"/>
    <w:rsid w:val="004F5B21"/>
    <w:rsid w:val="004F6B19"/>
    <w:rsid w:val="00501BFC"/>
    <w:rsid w:val="00501D9E"/>
    <w:rsid w:val="0050350C"/>
    <w:rsid w:val="0051016D"/>
    <w:rsid w:val="00517C49"/>
    <w:rsid w:val="005206BA"/>
    <w:rsid w:val="005262E9"/>
    <w:rsid w:val="00527909"/>
    <w:rsid w:val="00532133"/>
    <w:rsid w:val="0053304F"/>
    <w:rsid w:val="00534F07"/>
    <w:rsid w:val="005365DD"/>
    <w:rsid w:val="00543D01"/>
    <w:rsid w:val="0054465A"/>
    <w:rsid w:val="005453D2"/>
    <w:rsid w:val="00545E55"/>
    <w:rsid w:val="00561F66"/>
    <w:rsid w:val="00564AFC"/>
    <w:rsid w:val="0056624E"/>
    <w:rsid w:val="00566F57"/>
    <w:rsid w:val="005745AA"/>
    <w:rsid w:val="005749DE"/>
    <w:rsid w:val="00574D2A"/>
    <w:rsid w:val="00580056"/>
    <w:rsid w:val="0058529C"/>
    <w:rsid w:val="005869B7"/>
    <w:rsid w:val="00591CE3"/>
    <w:rsid w:val="00593EEF"/>
    <w:rsid w:val="0059539A"/>
    <w:rsid w:val="005A5C59"/>
    <w:rsid w:val="005B52BA"/>
    <w:rsid w:val="005C06EC"/>
    <w:rsid w:val="005C1782"/>
    <w:rsid w:val="005C2AE5"/>
    <w:rsid w:val="005C3B79"/>
    <w:rsid w:val="005D142B"/>
    <w:rsid w:val="005D3741"/>
    <w:rsid w:val="005D51D9"/>
    <w:rsid w:val="005D63CA"/>
    <w:rsid w:val="005E5F05"/>
    <w:rsid w:val="005E7456"/>
    <w:rsid w:val="005F3A08"/>
    <w:rsid w:val="00605102"/>
    <w:rsid w:val="00605D46"/>
    <w:rsid w:val="0061597E"/>
    <w:rsid w:val="006202A5"/>
    <w:rsid w:val="006205DF"/>
    <w:rsid w:val="0062451B"/>
    <w:rsid w:val="006251B5"/>
    <w:rsid w:val="006322C4"/>
    <w:rsid w:val="006327BB"/>
    <w:rsid w:val="00635F04"/>
    <w:rsid w:val="00642553"/>
    <w:rsid w:val="00642C8A"/>
    <w:rsid w:val="00642F20"/>
    <w:rsid w:val="006431A4"/>
    <w:rsid w:val="0065309A"/>
    <w:rsid w:val="00656020"/>
    <w:rsid w:val="006577A9"/>
    <w:rsid w:val="00663FCB"/>
    <w:rsid w:val="006652B1"/>
    <w:rsid w:val="00670515"/>
    <w:rsid w:val="00683BE3"/>
    <w:rsid w:val="006863A6"/>
    <w:rsid w:val="006877B9"/>
    <w:rsid w:val="006878C8"/>
    <w:rsid w:val="00687E7E"/>
    <w:rsid w:val="006914B8"/>
    <w:rsid w:val="0069164F"/>
    <w:rsid w:val="00696EDD"/>
    <w:rsid w:val="006A0120"/>
    <w:rsid w:val="006A2027"/>
    <w:rsid w:val="006A5F7D"/>
    <w:rsid w:val="006B034E"/>
    <w:rsid w:val="006B1447"/>
    <w:rsid w:val="006B6666"/>
    <w:rsid w:val="006B743E"/>
    <w:rsid w:val="006C7B11"/>
    <w:rsid w:val="006D319E"/>
    <w:rsid w:val="006D32AC"/>
    <w:rsid w:val="006D5C26"/>
    <w:rsid w:val="006E2B44"/>
    <w:rsid w:val="006E3FEE"/>
    <w:rsid w:val="006F4398"/>
    <w:rsid w:val="00713305"/>
    <w:rsid w:val="00715870"/>
    <w:rsid w:val="00720FB4"/>
    <w:rsid w:val="00722E0D"/>
    <w:rsid w:val="00727ECC"/>
    <w:rsid w:val="00735230"/>
    <w:rsid w:val="00737B2A"/>
    <w:rsid w:val="00737C8D"/>
    <w:rsid w:val="00747D72"/>
    <w:rsid w:val="00751C34"/>
    <w:rsid w:val="00755D1A"/>
    <w:rsid w:val="00761AA7"/>
    <w:rsid w:val="00761F42"/>
    <w:rsid w:val="00762633"/>
    <w:rsid w:val="00773A98"/>
    <w:rsid w:val="00773A9A"/>
    <w:rsid w:val="00776DCD"/>
    <w:rsid w:val="00776EEA"/>
    <w:rsid w:val="0077797C"/>
    <w:rsid w:val="00786A46"/>
    <w:rsid w:val="00790F93"/>
    <w:rsid w:val="0079599A"/>
    <w:rsid w:val="007A0B39"/>
    <w:rsid w:val="007A1A8C"/>
    <w:rsid w:val="007A37B8"/>
    <w:rsid w:val="007A79FE"/>
    <w:rsid w:val="007B0B80"/>
    <w:rsid w:val="007B2A2E"/>
    <w:rsid w:val="007B2C3A"/>
    <w:rsid w:val="007B325B"/>
    <w:rsid w:val="007B56E5"/>
    <w:rsid w:val="007B7200"/>
    <w:rsid w:val="007C03B7"/>
    <w:rsid w:val="007C17D4"/>
    <w:rsid w:val="007C1EDA"/>
    <w:rsid w:val="007C4801"/>
    <w:rsid w:val="007C5EDC"/>
    <w:rsid w:val="007D42A8"/>
    <w:rsid w:val="007D6740"/>
    <w:rsid w:val="007D6786"/>
    <w:rsid w:val="007E253E"/>
    <w:rsid w:val="007E2832"/>
    <w:rsid w:val="007E6DD6"/>
    <w:rsid w:val="007E7613"/>
    <w:rsid w:val="007F1C79"/>
    <w:rsid w:val="007F6CDF"/>
    <w:rsid w:val="007F6F4D"/>
    <w:rsid w:val="007F727A"/>
    <w:rsid w:val="0080045A"/>
    <w:rsid w:val="00802A43"/>
    <w:rsid w:val="00802B32"/>
    <w:rsid w:val="00803191"/>
    <w:rsid w:val="00806190"/>
    <w:rsid w:val="00807868"/>
    <w:rsid w:val="00811CBD"/>
    <w:rsid w:val="008155C5"/>
    <w:rsid w:val="0081771F"/>
    <w:rsid w:val="008234CC"/>
    <w:rsid w:val="008305DB"/>
    <w:rsid w:val="00830911"/>
    <w:rsid w:val="0084323D"/>
    <w:rsid w:val="0084559F"/>
    <w:rsid w:val="00847B66"/>
    <w:rsid w:val="00847E80"/>
    <w:rsid w:val="0085121A"/>
    <w:rsid w:val="00854BD7"/>
    <w:rsid w:val="008632F1"/>
    <w:rsid w:val="008678BE"/>
    <w:rsid w:val="0086791E"/>
    <w:rsid w:val="008717ED"/>
    <w:rsid w:val="008722DB"/>
    <w:rsid w:val="00872897"/>
    <w:rsid w:val="0087611E"/>
    <w:rsid w:val="00876729"/>
    <w:rsid w:val="008776E2"/>
    <w:rsid w:val="0088197A"/>
    <w:rsid w:val="00883A28"/>
    <w:rsid w:val="00884CF8"/>
    <w:rsid w:val="00884E58"/>
    <w:rsid w:val="008900C4"/>
    <w:rsid w:val="008945D3"/>
    <w:rsid w:val="008978BF"/>
    <w:rsid w:val="008A1700"/>
    <w:rsid w:val="008A4200"/>
    <w:rsid w:val="008B2531"/>
    <w:rsid w:val="008B25C8"/>
    <w:rsid w:val="008B4640"/>
    <w:rsid w:val="008B69A2"/>
    <w:rsid w:val="008C1F1C"/>
    <w:rsid w:val="008C48DD"/>
    <w:rsid w:val="008D2244"/>
    <w:rsid w:val="008D7203"/>
    <w:rsid w:val="008D76EA"/>
    <w:rsid w:val="008D7F4A"/>
    <w:rsid w:val="008E03F1"/>
    <w:rsid w:val="008E4B7D"/>
    <w:rsid w:val="008E6CA7"/>
    <w:rsid w:val="008E79D3"/>
    <w:rsid w:val="008F016B"/>
    <w:rsid w:val="008F0C8B"/>
    <w:rsid w:val="008F46FE"/>
    <w:rsid w:val="0091511B"/>
    <w:rsid w:val="00916652"/>
    <w:rsid w:val="00921821"/>
    <w:rsid w:val="00922B80"/>
    <w:rsid w:val="00924154"/>
    <w:rsid w:val="0092456E"/>
    <w:rsid w:val="00933E13"/>
    <w:rsid w:val="00934FBF"/>
    <w:rsid w:val="00936923"/>
    <w:rsid w:val="009439F1"/>
    <w:rsid w:val="00945655"/>
    <w:rsid w:val="00946A7C"/>
    <w:rsid w:val="00947465"/>
    <w:rsid w:val="00947953"/>
    <w:rsid w:val="009512C7"/>
    <w:rsid w:val="009553D7"/>
    <w:rsid w:val="00957A46"/>
    <w:rsid w:val="00957DF1"/>
    <w:rsid w:val="009620AD"/>
    <w:rsid w:val="009715F8"/>
    <w:rsid w:val="00972326"/>
    <w:rsid w:val="00972376"/>
    <w:rsid w:val="00973D0D"/>
    <w:rsid w:val="009779B4"/>
    <w:rsid w:val="0098120A"/>
    <w:rsid w:val="00982D93"/>
    <w:rsid w:val="00984258"/>
    <w:rsid w:val="00984A31"/>
    <w:rsid w:val="00985330"/>
    <w:rsid w:val="00990D8F"/>
    <w:rsid w:val="00991046"/>
    <w:rsid w:val="00995204"/>
    <w:rsid w:val="009A7397"/>
    <w:rsid w:val="009A798C"/>
    <w:rsid w:val="009B5A40"/>
    <w:rsid w:val="009C0CAB"/>
    <w:rsid w:val="009C28EE"/>
    <w:rsid w:val="009C533C"/>
    <w:rsid w:val="009C77C1"/>
    <w:rsid w:val="009D1B6A"/>
    <w:rsid w:val="009D7FE7"/>
    <w:rsid w:val="009E213D"/>
    <w:rsid w:val="009E25E2"/>
    <w:rsid w:val="009E32ED"/>
    <w:rsid w:val="009E3B46"/>
    <w:rsid w:val="009E578A"/>
    <w:rsid w:val="009E7DB6"/>
    <w:rsid w:val="009F702D"/>
    <w:rsid w:val="009F7438"/>
    <w:rsid w:val="00A04C6B"/>
    <w:rsid w:val="00A104F8"/>
    <w:rsid w:val="00A10DE1"/>
    <w:rsid w:val="00A142D5"/>
    <w:rsid w:val="00A17264"/>
    <w:rsid w:val="00A2406B"/>
    <w:rsid w:val="00A324C1"/>
    <w:rsid w:val="00A458C8"/>
    <w:rsid w:val="00A46011"/>
    <w:rsid w:val="00A47D3E"/>
    <w:rsid w:val="00A55E14"/>
    <w:rsid w:val="00A60631"/>
    <w:rsid w:val="00A668E4"/>
    <w:rsid w:val="00A726C4"/>
    <w:rsid w:val="00A741CC"/>
    <w:rsid w:val="00A7707C"/>
    <w:rsid w:val="00A84F2A"/>
    <w:rsid w:val="00A877F9"/>
    <w:rsid w:val="00A9538B"/>
    <w:rsid w:val="00AA3B1A"/>
    <w:rsid w:val="00AA58E2"/>
    <w:rsid w:val="00AB12E9"/>
    <w:rsid w:val="00AC0A35"/>
    <w:rsid w:val="00AC3A48"/>
    <w:rsid w:val="00AC5BC4"/>
    <w:rsid w:val="00AD1313"/>
    <w:rsid w:val="00AD39B5"/>
    <w:rsid w:val="00AD4222"/>
    <w:rsid w:val="00AE18A3"/>
    <w:rsid w:val="00AE4C23"/>
    <w:rsid w:val="00AE74E6"/>
    <w:rsid w:val="00AE774E"/>
    <w:rsid w:val="00AF4E14"/>
    <w:rsid w:val="00AF5910"/>
    <w:rsid w:val="00AF683B"/>
    <w:rsid w:val="00AF779A"/>
    <w:rsid w:val="00B13313"/>
    <w:rsid w:val="00B1540C"/>
    <w:rsid w:val="00B16C0F"/>
    <w:rsid w:val="00B172DF"/>
    <w:rsid w:val="00B236B9"/>
    <w:rsid w:val="00B421F1"/>
    <w:rsid w:val="00B43790"/>
    <w:rsid w:val="00B4577E"/>
    <w:rsid w:val="00B466CD"/>
    <w:rsid w:val="00B50AFD"/>
    <w:rsid w:val="00B546EC"/>
    <w:rsid w:val="00B557A0"/>
    <w:rsid w:val="00B66BF9"/>
    <w:rsid w:val="00B72080"/>
    <w:rsid w:val="00B72166"/>
    <w:rsid w:val="00B739FE"/>
    <w:rsid w:val="00B76352"/>
    <w:rsid w:val="00B77EA3"/>
    <w:rsid w:val="00B8063C"/>
    <w:rsid w:val="00B84E2D"/>
    <w:rsid w:val="00B909DB"/>
    <w:rsid w:val="00B930B4"/>
    <w:rsid w:val="00B9793C"/>
    <w:rsid w:val="00BA32E2"/>
    <w:rsid w:val="00BA656F"/>
    <w:rsid w:val="00BB03C8"/>
    <w:rsid w:val="00BB48F6"/>
    <w:rsid w:val="00BB6165"/>
    <w:rsid w:val="00BC041C"/>
    <w:rsid w:val="00BC2C51"/>
    <w:rsid w:val="00BC6CB1"/>
    <w:rsid w:val="00BC6F8D"/>
    <w:rsid w:val="00BD1877"/>
    <w:rsid w:val="00BD4B3C"/>
    <w:rsid w:val="00BE224E"/>
    <w:rsid w:val="00BE2415"/>
    <w:rsid w:val="00BE4430"/>
    <w:rsid w:val="00BE4A0F"/>
    <w:rsid w:val="00BE7428"/>
    <w:rsid w:val="00BF015F"/>
    <w:rsid w:val="00BF2BDB"/>
    <w:rsid w:val="00BF5BD8"/>
    <w:rsid w:val="00BF62A7"/>
    <w:rsid w:val="00C05716"/>
    <w:rsid w:val="00C12EE3"/>
    <w:rsid w:val="00C17217"/>
    <w:rsid w:val="00C17265"/>
    <w:rsid w:val="00C20364"/>
    <w:rsid w:val="00C21795"/>
    <w:rsid w:val="00C22DE4"/>
    <w:rsid w:val="00C23305"/>
    <w:rsid w:val="00C26045"/>
    <w:rsid w:val="00C30232"/>
    <w:rsid w:val="00C31866"/>
    <w:rsid w:val="00C32E0E"/>
    <w:rsid w:val="00C33BA5"/>
    <w:rsid w:val="00C362D6"/>
    <w:rsid w:val="00C37ADD"/>
    <w:rsid w:val="00C4410E"/>
    <w:rsid w:val="00C44A70"/>
    <w:rsid w:val="00C47036"/>
    <w:rsid w:val="00C47C44"/>
    <w:rsid w:val="00C50B9D"/>
    <w:rsid w:val="00C51C4B"/>
    <w:rsid w:val="00C535EC"/>
    <w:rsid w:val="00C661EC"/>
    <w:rsid w:val="00C81D87"/>
    <w:rsid w:val="00C90E3A"/>
    <w:rsid w:val="00C92BC6"/>
    <w:rsid w:val="00C94DB4"/>
    <w:rsid w:val="00CA1615"/>
    <w:rsid w:val="00CA2E58"/>
    <w:rsid w:val="00CA3273"/>
    <w:rsid w:val="00CA3AEA"/>
    <w:rsid w:val="00CA42E6"/>
    <w:rsid w:val="00CA49E3"/>
    <w:rsid w:val="00CA59A9"/>
    <w:rsid w:val="00CB6DDC"/>
    <w:rsid w:val="00CC30AB"/>
    <w:rsid w:val="00CD0D54"/>
    <w:rsid w:val="00CE0704"/>
    <w:rsid w:val="00CF1160"/>
    <w:rsid w:val="00CF3073"/>
    <w:rsid w:val="00CF39F6"/>
    <w:rsid w:val="00D01125"/>
    <w:rsid w:val="00D11E2F"/>
    <w:rsid w:val="00D13427"/>
    <w:rsid w:val="00D16920"/>
    <w:rsid w:val="00D17C98"/>
    <w:rsid w:val="00D25FAB"/>
    <w:rsid w:val="00D3119D"/>
    <w:rsid w:val="00D41469"/>
    <w:rsid w:val="00D53977"/>
    <w:rsid w:val="00D63961"/>
    <w:rsid w:val="00D64DF4"/>
    <w:rsid w:val="00D70536"/>
    <w:rsid w:val="00D754AF"/>
    <w:rsid w:val="00D7733C"/>
    <w:rsid w:val="00D77988"/>
    <w:rsid w:val="00D77A19"/>
    <w:rsid w:val="00D811F9"/>
    <w:rsid w:val="00D82B80"/>
    <w:rsid w:val="00D848B4"/>
    <w:rsid w:val="00DA0E24"/>
    <w:rsid w:val="00DA1D87"/>
    <w:rsid w:val="00DA2CB8"/>
    <w:rsid w:val="00DA43F1"/>
    <w:rsid w:val="00DA46A5"/>
    <w:rsid w:val="00DB1512"/>
    <w:rsid w:val="00DB429C"/>
    <w:rsid w:val="00DB66C5"/>
    <w:rsid w:val="00DB7465"/>
    <w:rsid w:val="00DD0147"/>
    <w:rsid w:val="00DD325D"/>
    <w:rsid w:val="00DD52A3"/>
    <w:rsid w:val="00DD5385"/>
    <w:rsid w:val="00DD5937"/>
    <w:rsid w:val="00DD70B5"/>
    <w:rsid w:val="00DF12CF"/>
    <w:rsid w:val="00DF2129"/>
    <w:rsid w:val="00E01648"/>
    <w:rsid w:val="00E046B7"/>
    <w:rsid w:val="00E04C1B"/>
    <w:rsid w:val="00E11BF8"/>
    <w:rsid w:val="00E470F7"/>
    <w:rsid w:val="00E5095B"/>
    <w:rsid w:val="00E56E58"/>
    <w:rsid w:val="00E57EC3"/>
    <w:rsid w:val="00E60BB0"/>
    <w:rsid w:val="00E6257B"/>
    <w:rsid w:val="00E64E3D"/>
    <w:rsid w:val="00E71250"/>
    <w:rsid w:val="00E7261A"/>
    <w:rsid w:val="00E76DD4"/>
    <w:rsid w:val="00E77A1C"/>
    <w:rsid w:val="00E8559D"/>
    <w:rsid w:val="00E8618F"/>
    <w:rsid w:val="00E9375E"/>
    <w:rsid w:val="00E93BBE"/>
    <w:rsid w:val="00E969D2"/>
    <w:rsid w:val="00EA3F9A"/>
    <w:rsid w:val="00EA5C50"/>
    <w:rsid w:val="00EA6C98"/>
    <w:rsid w:val="00EB040A"/>
    <w:rsid w:val="00EB1163"/>
    <w:rsid w:val="00EB322A"/>
    <w:rsid w:val="00EB6E50"/>
    <w:rsid w:val="00EC3D05"/>
    <w:rsid w:val="00ED17F2"/>
    <w:rsid w:val="00ED3459"/>
    <w:rsid w:val="00EE2AC0"/>
    <w:rsid w:val="00EE5A21"/>
    <w:rsid w:val="00EF23D9"/>
    <w:rsid w:val="00EF262B"/>
    <w:rsid w:val="00EF370C"/>
    <w:rsid w:val="00EF5C3B"/>
    <w:rsid w:val="00EF6951"/>
    <w:rsid w:val="00F00F9A"/>
    <w:rsid w:val="00F113CE"/>
    <w:rsid w:val="00F11A3F"/>
    <w:rsid w:val="00F13718"/>
    <w:rsid w:val="00F21DEF"/>
    <w:rsid w:val="00F251FA"/>
    <w:rsid w:val="00F32F35"/>
    <w:rsid w:val="00F36737"/>
    <w:rsid w:val="00F36D82"/>
    <w:rsid w:val="00F377A1"/>
    <w:rsid w:val="00F40783"/>
    <w:rsid w:val="00F42FBD"/>
    <w:rsid w:val="00F46C3E"/>
    <w:rsid w:val="00F51CB0"/>
    <w:rsid w:val="00F544E7"/>
    <w:rsid w:val="00F5593B"/>
    <w:rsid w:val="00F57A20"/>
    <w:rsid w:val="00F600F3"/>
    <w:rsid w:val="00F61D8A"/>
    <w:rsid w:val="00F639FF"/>
    <w:rsid w:val="00F64DBA"/>
    <w:rsid w:val="00F6545C"/>
    <w:rsid w:val="00F66CA0"/>
    <w:rsid w:val="00F73D61"/>
    <w:rsid w:val="00F74477"/>
    <w:rsid w:val="00F74CFA"/>
    <w:rsid w:val="00F75B3D"/>
    <w:rsid w:val="00F81571"/>
    <w:rsid w:val="00F8678C"/>
    <w:rsid w:val="00F9651A"/>
    <w:rsid w:val="00FA1576"/>
    <w:rsid w:val="00FA477B"/>
    <w:rsid w:val="00FA6644"/>
    <w:rsid w:val="00FA6D1A"/>
    <w:rsid w:val="00FA7A93"/>
    <w:rsid w:val="00FA7F91"/>
    <w:rsid w:val="00FB29F6"/>
    <w:rsid w:val="00FB434E"/>
    <w:rsid w:val="00FB4AAE"/>
    <w:rsid w:val="00FB4BE1"/>
    <w:rsid w:val="00FC19A9"/>
    <w:rsid w:val="00FC4C8E"/>
    <w:rsid w:val="00FC7996"/>
    <w:rsid w:val="00FD0CB2"/>
    <w:rsid w:val="00FD5C4E"/>
    <w:rsid w:val="00FD67C7"/>
    <w:rsid w:val="00FD69AF"/>
    <w:rsid w:val="00FD6AD7"/>
    <w:rsid w:val="00FE198D"/>
    <w:rsid w:val="00FE68FF"/>
    <w:rsid w:val="00FE770C"/>
    <w:rsid w:val="00FF2661"/>
    <w:rsid w:val="26C300A8"/>
    <w:rsid w:val="31296EB6"/>
    <w:rsid w:val="46875294"/>
    <w:rsid w:val="54F91418"/>
    <w:rsid w:val="566F4305"/>
    <w:rsid w:val="58712F34"/>
    <w:rsid w:val="679C2480"/>
    <w:rsid w:val="7EF72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14B87"/>
  <w15:docId w15:val="{BD4A41F2-A3B2-47BF-A50F-02EFFEBC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440" w:lineRule="exact"/>
      <w:jc w:val="center"/>
      <w:outlineLvl w:val="0"/>
    </w:pPr>
    <w:rPr>
      <w:b/>
      <w:bCs/>
      <w:kern w:val="44"/>
      <w:sz w:val="2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Indent"/>
    <w:basedOn w:val="a"/>
    <w:pPr>
      <w:spacing w:after="120"/>
      <w:ind w:leftChars="200" w:left="420"/>
    </w:pPr>
  </w:style>
  <w:style w:type="paragraph" w:styleId="a6">
    <w:name w:val="Plain Text"/>
    <w:basedOn w:val="a"/>
    <w:rPr>
      <w:rFonts w:ascii="宋体" w:hAnsi="Courier New" w:cs="Courier New"/>
      <w:szCs w:val="21"/>
    </w:rPr>
  </w:style>
  <w:style w:type="paragraph" w:styleId="a7">
    <w:name w:val="Date"/>
    <w:basedOn w:val="a"/>
    <w:next w:val="a"/>
    <w:link w:val="a8"/>
    <w:pPr>
      <w:ind w:leftChars="2500" w:left="100"/>
    </w:pPr>
  </w:style>
  <w:style w:type="paragraph" w:styleId="21">
    <w:name w:val="Body Text Indent 2"/>
    <w:basedOn w:val="a"/>
    <w:pPr>
      <w:spacing w:line="460" w:lineRule="exact"/>
      <w:ind w:firstLineChars="200" w:firstLine="560"/>
    </w:pPr>
    <w:rPr>
      <w:rFonts w:hAnsi="宋体"/>
      <w:sz w:val="28"/>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rPr>
      <w:b/>
      <w:bCs/>
    </w:rPr>
  </w:style>
  <w:style w:type="table" w:styleId="a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style>
  <w:style w:type="character" w:styleId="af1">
    <w:name w:val="Hyperlink"/>
    <w:uiPriority w:val="99"/>
    <w:unhideWhenUsed/>
    <w:rPr>
      <w:color w:val="864654"/>
      <w:u w:val="single"/>
    </w:rPr>
  </w:style>
  <w:style w:type="character" w:styleId="af2">
    <w:name w:val="annotation reference"/>
    <w:rPr>
      <w:sz w:val="21"/>
      <w:szCs w:val="21"/>
    </w:rPr>
  </w:style>
  <w:style w:type="character" w:customStyle="1" w:styleId="20">
    <w:name w:val="标题 2 字符"/>
    <w:link w:val="2"/>
    <w:semiHidden/>
    <w:rPr>
      <w:rFonts w:ascii="等线 Light" w:eastAsia="等线 Light" w:hAnsi="等线 Light" w:cs="Times New Roman"/>
      <w:b/>
      <w:bCs/>
      <w:kern w:val="2"/>
      <w:sz w:val="32"/>
      <w:szCs w:val="32"/>
    </w:rPr>
  </w:style>
  <w:style w:type="character" w:customStyle="1" w:styleId="a4">
    <w:name w:val="批注文字 字符"/>
    <w:link w:val="a3"/>
    <w:rPr>
      <w:kern w:val="2"/>
      <w:sz w:val="21"/>
      <w:szCs w:val="24"/>
    </w:rPr>
  </w:style>
  <w:style w:type="character" w:customStyle="1" w:styleId="a8">
    <w:name w:val="日期 字符"/>
    <w:link w:val="a7"/>
    <w:rPr>
      <w:kern w:val="2"/>
      <w:sz w:val="21"/>
      <w:szCs w:val="24"/>
    </w:rPr>
  </w:style>
  <w:style w:type="character" w:customStyle="1" w:styleId="ac">
    <w:name w:val="页眉 字符"/>
    <w:link w:val="ab"/>
    <w:locked/>
    <w:rPr>
      <w:kern w:val="2"/>
      <w:sz w:val="18"/>
      <w:szCs w:val="18"/>
    </w:rPr>
  </w:style>
  <w:style w:type="character" w:customStyle="1" w:styleId="ae">
    <w:name w:val="批注主题 字符"/>
    <w:link w:val="ad"/>
    <w:rPr>
      <w:b/>
      <w:bCs/>
      <w:kern w:val="2"/>
      <w:sz w:val="21"/>
      <w:szCs w:val="24"/>
    </w:rPr>
  </w:style>
  <w:style w:type="paragraph" w:customStyle="1" w:styleId="Default">
    <w:name w:val="Default"/>
    <w:pPr>
      <w:widowControl w:val="0"/>
      <w:autoSpaceDE w:val="0"/>
      <w:autoSpaceDN w:val="0"/>
      <w:adjustRightInd w:val="0"/>
    </w:pPr>
    <w:rPr>
      <w:rFonts w:ascii="楷体_GB2312" w:eastAsia="楷体_GB2312" w:hAnsi="等线" w:cs="楷体_GB2312"/>
      <w:color w:val="000000"/>
      <w:sz w:val="24"/>
      <w:szCs w:val="24"/>
    </w:rPr>
  </w:style>
  <w:style w:type="paragraph" w:customStyle="1" w:styleId="af3">
    <w:uiPriority w:val="99"/>
    <w:semiHidden/>
    <w:rPr>
      <w:kern w:val="2"/>
      <w:sz w:val="21"/>
      <w:szCs w:val="24"/>
    </w:rPr>
  </w:style>
  <w:style w:type="character" w:customStyle="1" w:styleId="hitclass">
    <w:name w:val="hitclass"/>
  </w:style>
  <w:style w:type="paragraph" w:styleId="af4">
    <w:name w:val="Revision"/>
    <w:hidden/>
    <w:uiPriority w:val="99"/>
    <w:unhideWhenUsed/>
    <w:rsid w:val="00DD53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4617</Words>
  <Characters>4618</Characters>
  <Application>Microsoft Office Word</Application>
  <DocSecurity>0</DocSecurity>
  <Lines>355</Lines>
  <Paragraphs>196</Paragraphs>
  <ScaleCrop>false</ScaleCrop>
  <Company>微软中国</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山东龙大肉食品股份有限公司</dc:title>
  <dc:creator>微软用户</dc:creator>
  <cp:lastModifiedBy>WJ 王静</cp:lastModifiedBy>
  <cp:revision>7</cp:revision>
  <cp:lastPrinted>2010-03-14T06:17:00Z</cp:lastPrinted>
  <dcterms:created xsi:type="dcterms:W3CDTF">2025-09-02T08:21:00Z</dcterms:created>
  <dcterms:modified xsi:type="dcterms:W3CDTF">2025-10-30T09:05:00Z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73B61C7310604BDC9F19483E01FEB8CE</vt:lpwstr>
  </property>
</Properties>
</file>