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山东龙大美食股份有限公司</w:t>
      </w:r>
    </w:p>
    <w:p>
      <w:pPr>
        <w:spacing w:line="360" w:lineRule="auto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董事会提名委员会工作制度</w:t>
      </w:r>
    </w:p>
    <w:p>
      <w:pPr>
        <w:pStyle w:val="6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第一章　总 则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</w:rPr>
        <w:t>第一条　为完善公司治理结构，规范公司董事、总经理以及其他高级管理人员（以下简称“高级管理人员”）提名程序，为公司选拔合格的董事、高级管理人员，根据《中华人民共和国公司法》《上市公司治理准则》《上市公司独立董事管理办法》</w:t>
      </w:r>
      <w:r>
        <w:rPr>
          <w:rFonts w:hint="eastAsia" w:ascii="Times New Roman" w:hAnsi="Times New Roman"/>
          <w:sz w:val="24"/>
          <w:szCs w:val="24"/>
          <w:highlight w:val="none"/>
        </w:rPr>
        <w:t>《深圳证券交易所上市公司自律监管指引第1号——主板上市公司规范运作》等有关法律、行政法规、规范性文件和《山东龙大美食股份有限公司章程》（以下简称“《公司章程》”）的规定，结合公司实际情况，制定本工作制度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  <w:highlight w:val="none"/>
        </w:rPr>
        <w:t>第二条　提名委员会为董事会下设的专门委员会，对董事会负责。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  <w:highlight w:val="none"/>
        </w:rPr>
        <w:t>第三条　提名委员会负责研究董事、高级管理人员的选择标准和程序并提出建议；遴选合格的董事和高级管理人员的人选；对董事人选和高级管理人员人选进行审查并提出建议。</w:t>
      </w:r>
    </w:p>
    <w:p>
      <w:pPr>
        <w:pStyle w:val="6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第二章　提名委员会委员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第四条　提名委员会由3名公司董事组成，其中独立董事过半数。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第五条　提名委员会委员由董事长、二分之一以上独立董事或者全体董事的三分之一提名，并由董事会选举产生。提名委员会设召集人一名，召集人由独立董事担任，在委员内选举并报董事会批准产生，负责主持提名委员会工作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第六条　提名委员会任期与董事会任期一致，委员任期届满，可连选连任。期间如有委员不再担任公司董事职务，自动失去委员资格，为使提名委员会的人员组成符合本工作制度的要求，董事会应根据本工作制度及时补足委员人数。在董事会根据本工作制度及时补足委员人数之前，原委员仍按本工作制度履行相关职权。</w:t>
      </w:r>
    </w:p>
    <w:p>
      <w:pPr>
        <w:pStyle w:val="6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第三章　职责权限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第七条　公司董事会提名委员会负责拟定董事、高级管理人员的选择标准和程序，对董事、高级管理人员人选及其任职资格进行遴选、审核，并就下列事项向董事会提出建议：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（一）提名或者任免董事；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（二）聘任或者解聘高级管理人员；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</w:rPr>
        <w:t>（三）对独立董事候选人的任职资格进行审查</w:t>
      </w:r>
      <w:r>
        <w:rPr>
          <w:rFonts w:hint="eastAsia" w:ascii="Times New Roman" w:hAnsi="Times New Roman"/>
          <w:sz w:val="24"/>
          <w:szCs w:val="24"/>
          <w:highlight w:val="none"/>
        </w:rPr>
        <w:t>，并形成明确的审查意见；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highlight w:val="none"/>
        </w:rPr>
        <w:t>（四）法律法规、中国证监会、深圳证券交易所和《公司章程》规定的其他</w:t>
      </w:r>
      <w:r>
        <w:rPr>
          <w:rFonts w:hint="eastAsia" w:ascii="Times New Roman" w:hAnsi="Times New Roman"/>
          <w:sz w:val="24"/>
          <w:szCs w:val="24"/>
        </w:rPr>
        <w:t>事项。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董事会对提名委员会的建议未采纳或者未完全采纳的，应当在董事会决议中记载提名委员会的意见及未采纳的具体理由，并进行披露。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第八条　提名委员会应当被赋予充分的资源以行使其职权。提名委员会有权要求公司董事会、高级管理人员对提名委员会的工作提供充分的支持，并对其提出的问题尽快作出回答。高级管理人员应支持提名委员会工作，及时向提名委员会提供为履行其职责所必需的信息。</w:t>
      </w:r>
    </w:p>
    <w:p>
      <w:pPr>
        <w:pStyle w:val="6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第四章　议事规则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第九条　</w:t>
      </w:r>
      <w:r>
        <w:rPr>
          <w:rFonts w:ascii="Times New Roman" w:hAnsi="Times New Roman"/>
          <w:sz w:val="24"/>
          <w:szCs w:val="24"/>
        </w:rPr>
        <w:t>提名委员会会议</w:t>
      </w:r>
      <w:r>
        <w:rPr>
          <w:rFonts w:hint="eastAsia" w:ascii="Times New Roman" w:hAnsi="Times New Roman"/>
          <w:sz w:val="24"/>
          <w:szCs w:val="24"/>
        </w:rPr>
        <w:t>按需召开</w:t>
      </w:r>
      <w:r>
        <w:rPr>
          <w:rFonts w:ascii="Times New Roman" w:hAnsi="Times New Roman"/>
          <w:sz w:val="24"/>
          <w:szCs w:val="24"/>
        </w:rPr>
        <w:t>，于会议召开前</w:t>
      </w:r>
      <w:r>
        <w:rPr>
          <w:rFonts w:hint="eastAsia" w:ascii="Times New Roman" w:hAnsi="Times New Roman"/>
          <w:sz w:val="24"/>
          <w:szCs w:val="24"/>
        </w:rPr>
        <w:t>五</w:t>
      </w:r>
      <w:r>
        <w:rPr>
          <w:rFonts w:ascii="Times New Roman" w:hAnsi="Times New Roman"/>
          <w:sz w:val="24"/>
          <w:szCs w:val="24"/>
        </w:rPr>
        <w:t>日通知全体委员</w:t>
      </w:r>
      <w:r>
        <w:rPr>
          <w:rFonts w:hint="eastAsia" w:ascii="Times New Roman" w:hAnsi="Times New Roman"/>
          <w:sz w:val="24"/>
          <w:szCs w:val="24"/>
        </w:rPr>
        <w:t>并提供相关资料和信息。若出现紧急情况需即刻作出决议的，为公司利益之目的，召开临时会议可不受本款通知方式及通知时限的限制，但召集人应当在会议上作出说明。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第十条　提名委员会会议由召集人主持，召集人不能出席时可委托其他一名委员（独立董事）主持。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第十一条　会议通知应至少包括以下内容：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（一）会议召开时间、地点；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（二）会议期限；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（三）会议需要讨论的议题；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（四）会议联系人及联系方式；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（五）会议通知的日期。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第十二条　提名委员会会议应由三分之二以上的委员出席方可举行；每一名委员有一票表决权；会议作出的决议，必须经全体委员的过半数通过。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第十三条　提名委员会委员可以亲自出席会议，也可以委托其他委员代为出席会议并行使表决权。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委托其他委员代为出席会议并行使表决权的，应向会议主持人提交授权委托书，授权委托书应不迟于会议表决前提交给会议主持人。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第十四条　授权委托书应由委托人和被委托人签名，应至少包括以下内容：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（一）委托人姓名；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（二）被委托人姓名；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（三）代理委托事项；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（四）对会议议题行使投票权的指示（赞成、反对、弃权）以及未作具体指示时，被委托人是否可按自己意思表决的说明；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（五）授权委托的期限；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（六）授权委托书签署日期。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第十五条　提名委员会委员既不亲自出席会议，也未委托其他委员代为出席会议的，视为未出席相关会议。委员连续两次不出席会议的，视为不能适当履行职权，公司董事会可以撤销其委员职务。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第十六条　提名委员会会议表决方式为举手或投票表决。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第十七条　提名委员会会议以现场召开为原则。在保证全体参会董事能够充分沟通并表达意见的前提下，必要时可以依照程序采用视频、电话、书面议案会议或者其他方式召开。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第十八条　提名委员会会议以书面议案的方式召开时，书面议案以传真、电子邮件、特快专递或专人送达等方式送达全体委员，委员对议案进行表决后，将原件寄回公司存档。如果签字同意的委员符合本工作制度规定的人数，该议案即成为委员会决议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第十九条　提名委员会召开会议，必要时亦可邀请公司其他董事、审计委员会委员、总经理和其他高级管理人员列席会议。如有必要，提名委员会可以聘请中介机构为其决策提供专业意见，费用由公司支付。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第二十条　提名委员会会议应有会议记录，并在会后形成呈报董事会的会议记录以及会议决议并向董事会呈报（除非受法律或监管限制所限而不能作此呈报外）。与会全体委员在会议记录和决议上签字。与会委员对会议决议持异议的，应在会议记录上予以注明。会议记录由公司董事会秘书保存，在公司存续期间，保存期不得少于十年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第二十一条　会议记录应至少包括以下内容：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（一）会议召开的日期、地点和召集人姓名；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（二）出席会议人员的姓名，受他人委托出席会议的应特别注明；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（三）会议议程；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（四）委员发言要点；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（五）每一决议事项或议案的表决方式和载明赞成、反对或弃权的票数的表决结果；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（六）其他应当在会议记录中说明和记载的事项。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第二十二条　提名委员会会议通过的议案及表决结果，委员会委员应不迟于会议决议生效之次日向公司董事会通报（除非因法律或监管所限而无法作此汇报外）。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第二十三条　出席会议的人员均对会议所议事项有保密义务，不得擅自披露有关信息。</w:t>
      </w:r>
    </w:p>
    <w:p>
      <w:pPr>
        <w:pStyle w:val="6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第五章　附 则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第二十四条　</w:t>
      </w:r>
      <w:r>
        <w:rPr>
          <w:rFonts w:ascii="Times New Roman" w:hAnsi="Times New Roman" w:cs="Arial"/>
          <w:sz w:val="24"/>
          <w:szCs w:val="24"/>
        </w:rPr>
        <w:t>本</w:t>
      </w:r>
      <w:r>
        <w:rPr>
          <w:rFonts w:hint="eastAsia" w:ascii="Times New Roman" w:hAnsi="Times New Roman" w:cs="Arial"/>
          <w:sz w:val="24"/>
          <w:szCs w:val="24"/>
        </w:rPr>
        <w:t>工作制度</w:t>
      </w:r>
      <w:r>
        <w:rPr>
          <w:rFonts w:ascii="Times New Roman" w:hAnsi="Times New Roman" w:cs="Arial"/>
          <w:sz w:val="24"/>
          <w:szCs w:val="24"/>
        </w:rPr>
        <w:t>自公司董事会审议通过后生效。</w:t>
      </w:r>
    </w:p>
    <w:p>
      <w:pPr>
        <w:widowControl/>
        <w:shd w:val="clear" w:color="auto" w:fill="FFFFFF"/>
        <w:spacing w:before="15" w:line="360" w:lineRule="auto"/>
        <w:ind w:firstLine="480" w:firstLineChars="200"/>
        <w:jc w:val="left"/>
        <w:rPr>
          <w:rFonts w:ascii="Times New Roman" w:hAnsi="Times New Roman" w:cs="Arial"/>
          <w:sz w:val="36"/>
          <w:szCs w:val="36"/>
        </w:rPr>
      </w:pPr>
      <w:r>
        <w:rPr>
          <w:rFonts w:hint="eastAsia" w:ascii="Times New Roman" w:hAnsi="Times New Roman"/>
          <w:sz w:val="24"/>
          <w:szCs w:val="24"/>
        </w:rPr>
        <w:t>第二十五条</w:t>
      </w:r>
      <w:r>
        <w:rPr>
          <w:rFonts w:hint="eastAsia" w:ascii="Times New Roman" w:hAnsi="Times New Roman" w:cs="Arial"/>
          <w:sz w:val="36"/>
          <w:szCs w:val="36"/>
        </w:rPr>
        <w:t xml:space="preserve"> </w:t>
      </w:r>
      <w:r>
        <w:rPr>
          <w:rFonts w:ascii="Times New Roman" w:hAnsi="Times New Roman"/>
          <w:sz w:val="24"/>
          <w:szCs w:val="24"/>
        </w:rPr>
        <w:t>本</w:t>
      </w:r>
      <w:r>
        <w:rPr>
          <w:rFonts w:hint="eastAsia" w:ascii="Times New Roman" w:hAnsi="Times New Roman"/>
          <w:sz w:val="24"/>
          <w:szCs w:val="24"/>
        </w:rPr>
        <w:t>工作</w:t>
      </w:r>
      <w:r>
        <w:rPr>
          <w:rFonts w:ascii="Times New Roman" w:hAnsi="Times New Roman"/>
          <w:sz w:val="24"/>
          <w:szCs w:val="24"/>
        </w:rPr>
        <w:t>制度未尽事宜</w:t>
      </w:r>
      <w:r>
        <w:rPr>
          <w:rFonts w:hint="eastAsia" w:ascii="Times New Roman" w:hAnsi="Times New Roman"/>
          <w:sz w:val="24"/>
          <w:szCs w:val="24"/>
        </w:rPr>
        <w:t>，按相关法律、法规和《公司章程》的规定执行；本工作制度如</w:t>
      </w:r>
      <w:r>
        <w:rPr>
          <w:rFonts w:ascii="Times New Roman" w:hAnsi="Times New Roman"/>
          <w:sz w:val="24"/>
          <w:szCs w:val="24"/>
        </w:rPr>
        <w:t>与法律、行政法规、部门规章、规范性文件、中国</w:t>
      </w:r>
      <w:r>
        <w:rPr>
          <w:rFonts w:hint="eastAsia" w:ascii="Times New Roman" w:hAnsi="Times New Roman"/>
          <w:sz w:val="24"/>
          <w:szCs w:val="24"/>
        </w:rPr>
        <w:t>证券监督管理委</w:t>
      </w:r>
      <w:r>
        <w:rPr>
          <w:rFonts w:hint="eastAsia" w:ascii="Times New Roman" w:hAnsi="Times New Roman"/>
          <w:sz w:val="24"/>
          <w:szCs w:val="24"/>
          <w:highlight w:val="none"/>
        </w:rPr>
        <w:t>员会</w:t>
      </w:r>
      <w:r>
        <w:rPr>
          <w:rFonts w:ascii="Times New Roman" w:hAnsi="Times New Roman"/>
          <w:sz w:val="24"/>
          <w:szCs w:val="24"/>
          <w:highlight w:val="none"/>
        </w:rPr>
        <w:t>或深圳证券交易所制定的规则和《公司章程》不一致的，以有效的法律、行政法规、部门规章、规范性文件、中国</w:t>
      </w:r>
      <w:r>
        <w:rPr>
          <w:rFonts w:hint="eastAsia" w:ascii="Times New Roman" w:hAnsi="Times New Roman"/>
          <w:sz w:val="24"/>
          <w:szCs w:val="24"/>
          <w:highlight w:val="none"/>
        </w:rPr>
        <w:t>证券监督管理委员会</w:t>
      </w:r>
      <w:r>
        <w:rPr>
          <w:rFonts w:ascii="Times New Roman" w:hAnsi="Times New Roman"/>
          <w:sz w:val="24"/>
          <w:szCs w:val="24"/>
          <w:highlight w:val="none"/>
        </w:rPr>
        <w:t>或深圳证券交易所制定的规则和《公司章程》为准</w:t>
      </w:r>
      <w:r>
        <w:rPr>
          <w:rFonts w:hint="eastAsia" w:ascii="Times New Roman" w:hAnsi="Times New Roman"/>
          <w:sz w:val="24"/>
          <w:szCs w:val="24"/>
          <w:highlight w:val="none"/>
        </w:rPr>
        <w:t>，并立即修订本工作制度，报董事会审议</w:t>
      </w:r>
      <w:r>
        <w:rPr>
          <w:rFonts w:hint="eastAsia" w:ascii="Times New Roman" w:hAnsi="Times New Roman"/>
          <w:sz w:val="24"/>
          <w:szCs w:val="24"/>
        </w:rPr>
        <w:t>通过。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第二十六条　本工作制度由董事会负责解释。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/>
          <w:b/>
          <w:bCs/>
          <w:sz w:val="24"/>
          <w:szCs w:val="24"/>
        </w:rPr>
      </w:pPr>
    </w:p>
    <w:p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山东龙大美食股份有限公司</w:t>
      </w:r>
    </w:p>
    <w:p>
      <w:pPr>
        <w:spacing w:line="360" w:lineRule="auto"/>
        <w:ind w:right="240"/>
        <w:jc w:val="center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hint="eastAsia" w:ascii="Times New Roman" w:hAnsi="Times New Roman"/>
          <w:b/>
          <w:bCs/>
          <w:sz w:val="24"/>
          <w:szCs w:val="24"/>
        </w:rPr>
        <w:t>5年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/>
          <w:b/>
          <w:bCs/>
          <w:sz w:val="24"/>
          <w:szCs w:val="24"/>
        </w:rPr>
        <w:t>月</w:t>
      </w:r>
    </w:p>
    <w:p>
      <w:pPr>
        <w:spacing w:line="360" w:lineRule="auto"/>
        <w:jc w:val="right"/>
        <w:rPr>
          <w:rFonts w:hint="eastAsia" w:ascii="Times New Roman" w:hAnsi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4</w:t>
    </w:r>
    <w:r>
      <w:rPr>
        <w:rFonts w:ascii="Times New Roman" w:hAnsi="Times New Roman" w:cs="Times New Roma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900" w:firstLineChars="500"/>
      <w:jc w:val="both"/>
      <w:rPr>
        <w:rFonts w:hint="eastAsia"/>
      </w:rPr>
    </w:pPr>
    <w:r>
      <w:rPr>
        <w:rFonts w:hint="eastAsia"/>
        <w:lang w:val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-88265</wp:posOffset>
          </wp:positionV>
          <wp:extent cx="561975" cy="248920"/>
          <wp:effectExtent l="0" t="0" r="0" b="825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7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山东龙大美食股份有限公司 </w:t>
    </w:r>
    <w:r>
      <w:t xml:space="preserve">                                </w:t>
    </w:r>
    <w:r>
      <w:rPr>
        <w:rFonts w:hint="eastAsia"/>
      </w:rPr>
      <w:t>董事会提名委员会工作制度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NDAzNzA0ZDBmMGM5MmE3NmU3MzliOGJhODAxMTMifQ=="/>
  </w:docVars>
  <w:rsids>
    <w:rsidRoot w:val="00F42F22"/>
    <w:rsid w:val="000115EA"/>
    <w:rsid w:val="000149E4"/>
    <w:rsid w:val="00026457"/>
    <w:rsid w:val="000556CA"/>
    <w:rsid w:val="00071783"/>
    <w:rsid w:val="00073BD5"/>
    <w:rsid w:val="00094730"/>
    <w:rsid w:val="0009676F"/>
    <w:rsid w:val="000A246F"/>
    <w:rsid w:val="000A690C"/>
    <w:rsid w:val="000C5BE0"/>
    <w:rsid w:val="000D36AE"/>
    <w:rsid w:val="00124CA5"/>
    <w:rsid w:val="001252F7"/>
    <w:rsid w:val="00166D45"/>
    <w:rsid w:val="00172952"/>
    <w:rsid w:val="001963DB"/>
    <w:rsid w:val="001A7EBB"/>
    <w:rsid w:val="001B45F1"/>
    <w:rsid w:val="001C1FE5"/>
    <w:rsid w:val="001D0E1E"/>
    <w:rsid w:val="00205341"/>
    <w:rsid w:val="00205AB9"/>
    <w:rsid w:val="002307F6"/>
    <w:rsid w:val="00242F35"/>
    <w:rsid w:val="00251621"/>
    <w:rsid w:val="002A1E53"/>
    <w:rsid w:val="002E5F94"/>
    <w:rsid w:val="003032EC"/>
    <w:rsid w:val="0030757D"/>
    <w:rsid w:val="00326DF4"/>
    <w:rsid w:val="00330A06"/>
    <w:rsid w:val="00332048"/>
    <w:rsid w:val="003343B2"/>
    <w:rsid w:val="00347DB9"/>
    <w:rsid w:val="0036423D"/>
    <w:rsid w:val="003D252C"/>
    <w:rsid w:val="003D58B9"/>
    <w:rsid w:val="003E1EB5"/>
    <w:rsid w:val="004267AD"/>
    <w:rsid w:val="00435DA4"/>
    <w:rsid w:val="0046295E"/>
    <w:rsid w:val="00477294"/>
    <w:rsid w:val="00485530"/>
    <w:rsid w:val="004B1F09"/>
    <w:rsid w:val="004D1DE7"/>
    <w:rsid w:val="004D2B68"/>
    <w:rsid w:val="004E15B8"/>
    <w:rsid w:val="004F0778"/>
    <w:rsid w:val="004F7F3E"/>
    <w:rsid w:val="005105A6"/>
    <w:rsid w:val="00551AE0"/>
    <w:rsid w:val="005657BE"/>
    <w:rsid w:val="00585262"/>
    <w:rsid w:val="00595951"/>
    <w:rsid w:val="005A3B95"/>
    <w:rsid w:val="005B3D56"/>
    <w:rsid w:val="005C16CB"/>
    <w:rsid w:val="005C1FB2"/>
    <w:rsid w:val="005E4A8D"/>
    <w:rsid w:val="005F3B83"/>
    <w:rsid w:val="0061052A"/>
    <w:rsid w:val="0061375A"/>
    <w:rsid w:val="00620737"/>
    <w:rsid w:val="006672A1"/>
    <w:rsid w:val="00682D87"/>
    <w:rsid w:val="00694035"/>
    <w:rsid w:val="006A51CE"/>
    <w:rsid w:val="006B1D7E"/>
    <w:rsid w:val="006B4D84"/>
    <w:rsid w:val="006C2C37"/>
    <w:rsid w:val="006C7976"/>
    <w:rsid w:val="006E5D83"/>
    <w:rsid w:val="00717167"/>
    <w:rsid w:val="00723274"/>
    <w:rsid w:val="0072569D"/>
    <w:rsid w:val="007510E9"/>
    <w:rsid w:val="00765B63"/>
    <w:rsid w:val="00792F58"/>
    <w:rsid w:val="007A024C"/>
    <w:rsid w:val="007C3AEA"/>
    <w:rsid w:val="007E236B"/>
    <w:rsid w:val="007E4FAD"/>
    <w:rsid w:val="007E7153"/>
    <w:rsid w:val="007F5CD3"/>
    <w:rsid w:val="00842F61"/>
    <w:rsid w:val="00857A9E"/>
    <w:rsid w:val="008703EA"/>
    <w:rsid w:val="008811CA"/>
    <w:rsid w:val="00883B9D"/>
    <w:rsid w:val="008A1F23"/>
    <w:rsid w:val="008B11C8"/>
    <w:rsid w:val="008E04CA"/>
    <w:rsid w:val="008E55BA"/>
    <w:rsid w:val="00913CF5"/>
    <w:rsid w:val="00913EBF"/>
    <w:rsid w:val="009210BD"/>
    <w:rsid w:val="0092745E"/>
    <w:rsid w:val="009303A9"/>
    <w:rsid w:val="009304D3"/>
    <w:rsid w:val="0096325B"/>
    <w:rsid w:val="00975A9F"/>
    <w:rsid w:val="009B495B"/>
    <w:rsid w:val="009D3EE5"/>
    <w:rsid w:val="00A111F9"/>
    <w:rsid w:val="00A13758"/>
    <w:rsid w:val="00A16E5C"/>
    <w:rsid w:val="00A224E6"/>
    <w:rsid w:val="00A570ED"/>
    <w:rsid w:val="00A70E77"/>
    <w:rsid w:val="00A70FFA"/>
    <w:rsid w:val="00A83CE0"/>
    <w:rsid w:val="00A9147B"/>
    <w:rsid w:val="00AC4B43"/>
    <w:rsid w:val="00AD0154"/>
    <w:rsid w:val="00AE7FDB"/>
    <w:rsid w:val="00AF6D82"/>
    <w:rsid w:val="00B00205"/>
    <w:rsid w:val="00B063EB"/>
    <w:rsid w:val="00B06F36"/>
    <w:rsid w:val="00B1345A"/>
    <w:rsid w:val="00B40C29"/>
    <w:rsid w:val="00B448F9"/>
    <w:rsid w:val="00B5123C"/>
    <w:rsid w:val="00B60915"/>
    <w:rsid w:val="00B63E0B"/>
    <w:rsid w:val="00B77BE9"/>
    <w:rsid w:val="00B8114B"/>
    <w:rsid w:val="00B9009A"/>
    <w:rsid w:val="00BA5488"/>
    <w:rsid w:val="00BA5B0F"/>
    <w:rsid w:val="00BB66E4"/>
    <w:rsid w:val="00BC5668"/>
    <w:rsid w:val="00BD6D69"/>
    <w:rsid w:val="00BD7820"/>
    <w:rsid w:val="00BE373E"/>
    <w:rsid w:val="00C02CA6"/>
    <w:rsid w:val="00C675FF"/>
    <w:rsid w:val="00C8119A"/>
    <w:rsid w:val="00C82098"/>
    <w:rsid w:val="00C83B9B"/>
    <w:rsid w:val="00C930ED"/>
    <w:rsid w:val="00C96BA7"/>
    <w:rsid w:val="00CA64BB"/>
    <w:rsid w:val="00CB4448"/>
    <w:rsid w:val="00CC054E"/>
    <w:rsid w:val="00CC13FB"/>
    <w:rsid w:val="00CC7CFF"/>
    <w:rsid w:val="00CD11F3"/>
    <w:rsid w:val="00CD2718"/>
    <w:rsid w:val="00D4042A"/>
    <w:rsid w:val="00D40851"/>
    <w:rsid w:val="00D42357"/>
    <w:rsid w:val="00D52E78"/>
    <w:rsid w:val="00D53746"/>
    <w:rsid w:val="00D62A75"/>
    <w:rsid w:val="00D7386A"/>
    <w:rsid w:val="00D76A7B"/>
    <w:rsid w:val="00D842D9"/>
    <w:rsid w:val="00DB7BD9"/>
    <w:rsid w:val="00E239B9"/>
    <w:rsid w:val="00E43AA5"/>
    <w:rsid w:val="00E60041"/>
    <w:rsid w:val="00E61B4B"/>
    <w:rsid w:val="00E82EAC"/>
    <w:rsid w:val="00E91E69"/>
    <w:rsid w:val="00EA1937"/>
    <w:rsid w:val="00EA37AA"/>
    <w:rsid w:val="00EA7953"/>
    <w:rsid w:val="00EB621E"/>
    <w:rsid w:val="00ED50AE"/>
    <w:rsid w:val="00F0782F"/>
    <w:rsid w:val="00F42F22"/>
    <w:rsid w:val="00F76534"/>
    <w:rsid w:val="00F91478"/>
    <w:rsid w:val="00F93DDA"/>
    <w:rsid w:val="00FC4E51"/>
    <w:rsid w:val="00FD71C1"/>
    <w:rsid w:val="05B942B5"/>
    <w:rsid w:val="5B7D5820"/>
    <w:rsid w:val="62DC6A8A"/>
    <w:rsid w:val="6AAF407E"/>
    <w:rsid w:val="7E9E0F71"/>
    <w:rsid w:val="7EBA2F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99"/>
    <w:pPr>
      <w:jc w:val="left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28"/>
      <w:szCs w:val="32"/>
    </w:rPr>
  </w:style>
  <w:style w:type="paragraph" w:styleId="7">
    <w:name w:val="annotation subject"/>
    <w:basedOn w:val="2"/>
    <w:next w:val="2"/>
    <w:link w:val="16"/>
    <w:unhideWhenUsed/>
    <w:uiPriority w:val="99"/>
    <w:rPr>
      <w:b/>
      <w:bCs/>
    </w:rPr>
  </w:style>
  <w:style w:type="character" w:styleId="10">
    <w:name w:val="annotation reference"/>
    <w:unhideWhenUsed/>
    <w:uiPriority w:val="99"/>
    <w:rPr>
      <w:sz w:val="21"/>
      <w:szCs w:val="21"/>
    </w:rPr>
  </w:style>
  <w:style w:type="character" w:customStyle="1" w:styleId="11">
    <w:name w:val="批注文字 字符"/>
    <w:link w:val="2"/>
    <w:uiPriority w:val="99"/>
    <w:rPr>
      <w:kern w:val="2"/>
      <w:sz w:val="21"/>
      <w:szCs w:val="22"/>
    </w:rPr>
  </w:style>
  <w:style w:type="character" w:customStyle="1" w:styleId="12">
    <w:name w:val="批注框文本 字符"/>
    <w:link w:val="3"/>
    <w:semiHidden/>
    <w:uiPriority w:val="99"/>
    <w:rPr>
      <w:kern w:val="2"/>
      <w:sz w:val="18"/>
      <w:szCs w:val="18"/>
    </w:rPr>
  </w:style>
  <w:style w:type="character" w:customStyle="1" w:styleId="13">
    <w:name w:val="页脚 字符"/>
    <w:link w:val="4"/>
    <w:uiPriority w:val="99"/>
    <w:rPr>
      <w:kern w:val="2"/>
      <w:sz w:val="18"/>
      <w:szCs w:val="18"/>
    </w:rPr>
  </w:style>
  <w:style w:type="character" w:customStyle="1" w:styleId="14">
    <w:name w:val="页眉 字符1"/>
    <w:link w:val="5"/>
    <w:uiPriority w:val="99"/>
    <w:rPr>
      <w:kern w:val="2"/>
      <w:sz w:val="18"/>
      <w:szCs w:val="18"/>
    </w:rPr>
  </w:style>
  <w:style w:type="character" w:customStyle="1" w:styleId="15">
    <w:name w:val="标题 字符"/>
    <w:link w:val="6"/>
    <w:uiPriority w:val="10"/>
    <w:rPr>
      <w:rFonts w:ascii="等线 Light" w:hAnsi="等线 Light" w:cs="Times New Roman"/>
      <w:b/>
      <w:bCs/>
      <w:kern w:val="2"/>
      <w:sz w:val="28"/>
      <w:szCs w:val="32"/>
    </w:rPr>
  </w:style>
  <w:style w:type="character" w:customStyle="1" w:styleId="16">
    <w:name w:val="批注主题 字符"/>
    <w:link w:val="7"/>
    <w:semiHidden/>
    <w:uiPriority w:val="99"/>
    <w:rPr>
      <w:b/>
      <w:bCs/>
      <w:kern w:val="2"/>
      <w:sz w:val="21"/>
      <w:szCs w:val="22"/>
    </w:rPr>
  </w:style>
  <w:style w:type="character" w:customStyle="1" w:styleId="17">
    <w:name w:val="页眉 字符"/>
    <w:uiPriority w:val="0"/>
  </w:style>
  <w:style w:type="paragraph" w:styleId="18">
    <w:name w:val=""/>
    <w:unhideWhenUsed/>
    <w:uiPriority w:val="99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2535</Words>
  <Characters>2539</Characters>
  <Lines>19</Lines>
  <Paragraphs>5</Paragraphs>
  <TotalTime>3</TotalTime>
  <ScaleCrop>false</ScaleCrop>
  <LinksUpToDate>false</LinksUpToDate>
  <CharactersWithSpaces>2619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2025-08-29T04:01:00Z</dcterms:created>
  <dc:creator>Administrator</dc:creator>
  <cp:lastModifiedBy>WangJ</cp:lastModifiedBy>
  <dcterms:modified xsi:type="dcterms:W3CDTF">2025-10-29T09:15:22Z</dcterms:modified>
  <dc:title>顺峰饮食酒店管理股份有限公司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3FB4720116054BC48FFC4E57250C4024</vt:lpwstr>
  </property>
</Properties>
</file>