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86CB7" w14:textId="77777777" w:rsidR="00C90E60" w:rsidRDefault="00C90E60">
      <w:pPr>
        <w:widowControl/>
        <w:shd w:val="clear" w:color="auto" w:fill="FFFFFF"/>
        <w:spacing w:line="360" w:lineRule="auto"/>
        <w:jc w:val="center"/>
        <w:rPr>
          <w:rFonts w:cs="宋体"/>
          <w:kern w:val="0"/>
          <w:sz w:val="24"/>
        </w:rPr>
      </w:pPr>
    </w:p>
    <w:p w14:paraId="2C2F7895" w14:textId="77777777" w:rsidR="00C90E60" w:rsidRDefault="00000000">
      <w:pPr>
        <w:jc w:val="center"/>
        <w:rPr>
          <w:b/>
          <w:sz w:val="32"/>
          <w:szCs w:val="32"/>
        </w:rPr>
      </w:pPr>
      <w:r>
        <w:rPr>
          <w:rFonts w:hint="eastAsia"/>
          <w:b/>
          <w:sz w:val="32"/>
          <w:szCs w:val="32"/>
        </w:rPr>
        <w:t>山东龙大美食股份有限公司</w:t>
      </w:r>
    </w:p>
    <w:p w14:paraId="3431A646" w14:textId="77777777" w:rsidR="00C90E60" w:rsidRDefault="00000000">
      <w:pPr>
        <w:jc w:val="center"/>
        <w:rPr>
          <w:b/>
          <w:sz w:val="32"/>
          <w:szCs w:val="32"/>
        </w:rPr>
      </w:pPr>
      <w:r>
        <w:rPr>
          <w:b/>
          <w:sz w:val="32"/>
          <w:szCs w:val="32"/>
        </w:rPr>
        <w:t>关联交易管理制度</w:t>
      </w:r>
    </w:p>
    <w:p w14:paraId="6FC4A378" w14:textId="77777777" w:rsidR="00C90E60" w:rsidRDefault="00000000" w:rsidP="00175AB1">
      <w:pPr>
        <w:pStyle w:val="ab"/>
        <w:spacing w:beforeLines="100" w:before="312" w:afterLines="100" w:after="312"/>
        <w:rPr>
          <w:rFonts w:ascii="Times New Roman" w:hAnsi="Times New Roman"/>
        </w:rPr>
      </w:pPr>
      <w:r>
        <w:rPr>
          <w:rFonts w:ascii="Times New Roman" w:hAnsi="Times New Roman"/>
        </w:rPr>
        <w:t>第一章</w:t>
      </w:r>
      <w:r>
        <w:rPr>
          <w:rFonts w:ascii="Times New Roman" w:hAnsi="Times New Roman" w:hint="eastAsia"/>
        </w:rPr>
        <w:t xml:space="preserve"> </w:t>
      </w:r>
      <w:r>
        <w:rPr>
          <w:rFonts w:ascii="Times New Roman" w:hAnsi="Times New Roman"/>
        </w:rPr>
        <w:t xml:space="preserve"> </w:t>
      </w:r>
      <w:r>
        <w:rPr>
          <w:rFonts w:ascii="Times New Roman" w:hAnsi="Times New Roman"/>
        </w:rPr>
        <w:t>总</w:t>
      </w:r>
      <w:r>
        <w:rPr>
          <w:rFonts w:ascii="Times New Roman" w:hAnsi="Times New Roman"/>
        </w:rPr>
        <w:t xml:space="preserve"> </w:t>
      </w:r>
      <w:r>
        <w:rPr>
          <w:rFonts w:ascii="Times New Roman" w:hAnsi="Times New Roman"/>
        </w:rPr>
        <w:t>则</w:t>
      </w:r>
    </w:p>
    <w:p w14:paraId="65C01CD7" w14:textId="77777777" w:rsidR="00C90E60" w:rsidRDefault="00000000">
      <w:pPr>
        <w:spacing w:line="360" w:lineRule="auto"/>
        <w:ind w:firstLineChars="200" w:firstLine="480"/>
        <w:rPr>
          <w:sz w:val="24"/>
        </w:rPr>
      </w:pPr>
      <w:r>
        <w:rPr>
          <w:sz w:val="24"/>
        </w:rPr>
        <w:t>第一条</w:t>
      </w:r>
      <w:r>
        <w:rPr>
          <w:sz w:val="24"/>
        </w:rPr>
        <w:t xml:space="preserve">  </w:t>
      </w:r>
      <w:r>
        <w:rPr>
          <w:sz w:val="24"/>
        </w:rPr>
        <w:t>为保证</w:t>
      </w:r>
      <w:r>
        <w:rPr>
          <w:rFonts w:hint="eastAsia"/>
          <w:sz w:val="24"/>
        </w:rPr>
        <w:t>山东龙大美食</w:t>
      </w:r>
      <w:r>
        <w:rPr>
          <w:sz w:val="24"/>
        </w:rPr>
        <w:t>股份有限公司（以下简称</w:t>
      </w:r>
      <w:r>
        <w:rPr>
          <w:sz w:val="24"/>
        </w:rPr>
        <w:t>“</w:t>
      </w:r>
      <w:r>
        <w:rPr>
          <w:sz w:val="24"/>
        </w:rPr>
        <w:t>公司</w:t>
      </w:r>
      <w:r>
        <w:rPr>
          <w:sz w:val="24"/>
        </w:rPr>
        <w:t>”</w:t>
      </w:r>
      <w:r>
        <w:rPr>
          <w:sz w:val="24"/>
        </w:rPr>
        <w:t>）与关联</w:t>
      </w:r>
      <w:r>
        <w:rPr>
          <w:rFonts w:hint="eastAsia"/>
          <w:sz w:val="24"/>
        </w:rPr>
        <w:t>方</w:t>
      </w:r>
      <w:r>
        <w:rPr>
          <w:sz w:val="24"/>
        </w:rPr>
        <w:t>之间发生的关联交易符合公平、公正、公开的原则，确保公司关联交易行为不损害公司和股东的利益，特别是中小投资者的合法利益，根据《中华人民共和国公司法》《中华人民共和国证券法》《深圳证券交易所股票上市规则》</w:t>
      </w:r>
      <w:r>
        <w:rPr>
          <w:rFonts w:hint="eastAsia"/>
          <w:sz w:val="24"/>
        </w:rPr>
        <w:t>（以下简称“《上市规则》”）《山东龙大美食</w:t>
      </w:r>
      <w:r>
        <w:rPr>
          <w:sz w:val="24"/>
        </w:rPr>
        <w:t>股份有限公司</w:t>
      </w:r>
      <w:r>
        <w:rPr>
          <w:rFonts w:hint="eastAsia"/>
          <w:sz w:val="24"/>
        </w:rPr>
        <w:t>章程》（以下简称“《公司章程》”）</w:t>
      </w:r>
      <w:r>
        <w:rPr>
          <w:sz w:val="24"/>
        </w:rPr>
        <w:t>及其他有关法律、法规和规范性文件的规定，特制定本制度。</w:t>
      </w:r>
    </w:p>
    <w:p w14:paraId="161F53D4" w14:textId="77777777" w:rsidR="00C90E60" w:rsidRDefault="00000000">
      <w:pPr>
        <w:spacing w:line="360" w:lineRule="auto"/>
        <w:ind w:firstLineChars="200" w:firstLine="480"/>
        <w:rPr>
          <w:sz w:val="24"/>
        </w:rPr>
      </w:pPr>
      <w:r>
        <w:rPr>
          <w:sz w:val="24"/>
        </w:rPr>
        <w:t>第二条</w:t>
      </w:r>
      <w:r>
        <w:rPr>
          <w:sz w:val="24"/>
        </w:rPr>
        <w:t xml:space="preserve">  </w:t>
      </w:r>
      <w:r>
        <w:rPr>
          <w:sz w:val="24"/>
        </w:rPr>
        <w:t>公司</w:t>
      </w:r>
      <w:r>
        <w:rPr>
          <w:rFonts w:hint="eastAsia"/>
          <w:sz w:val="24"/>
        </w:rPr>
        <w:t>在确认关联关系和处理关联交易时，</w:t>
      </w:r>
      <w:r>
        <w:rPr>
          <w:sz w:val="24"/>
        </w:rPr>
        <w:t>应当遵循以下基本原则：</w:t>
      </w:r>
    </w:p>
    <w:p w14:paraId="4ADF98D3" w14:textId="77777777" w:rsidR="00C90E60" w:rsidRDefault="00000000">
      <w:pPr>
        <w:spacing w:line="360" w:lineRule="auto"/>
        <w:ind w:firstLineChars="200" w:firstLine="480"/>
        <w:rPr>
          <w:sz w:val="24"/>
        </w:rPr>
      </w:pPr>
      <w:r>
        <w:rPr>
          <w:rFonts w:hint="eastAsia"/>
          <w:sz w:val="24"/>
        </w:rPr>
        <w:t>（一）尽量避免或减少与关联人之间的关联交易；</w:t>
      </w:r>
    </w:p>
    <w:p w14:paraId="7EF6A1F4" w14:textId="77777777" w:rsidR="00C90E60" w:rsidRDefault="00000000">
      <w:pPr>
        <w:spacing w:line="360" w:lineRule="auto"/>
        <w:ind w:firstLineChars="200" w:firstLine="480"/>
        <w:rPr>
          <w:sz w:val="24"/>
        </w:rPr>
      </w:pPr>
      <w:r>
        <w:rPr>
          <w:rFonts w:hint="eastAsia"/>
          <w:sz w:val="24"/>
        </w:rPr>
        <w:t>（二）公司关联交易行为应当合法合</w:t>
      </w:r>
      <w:proofErr w:type="gramStart"/>
      <w:r>
        <w:rPr>
          <w:rFonts w:hint="eastAsia"/>
          <w:sz w:val="24"/>
        </w:rPr>
        <w:t>规</w:t>
      </w:r>
      <w:proofErr w:type="gramEnd"/>
      <w:r>
        <w:rPr>
          <w:rFonts w:hint="eastAsia"/>
          <w:sz w:val="24"/>
        </w:rPr>
        <w:t>，不得隐瞒关联关系，不得将关联交易非关联化；</w:t>
      </w:r>
    </w:p>
    <w:p w14:paraId="56AFFC89" w14:textId="77777777" w:rsidR="00C90E60" w:rsidRDefault="00000000">
      <w:pPr>
        <w:spacing w:line="360" w:lineRule="auto"/>
        <w:ind w:firstLineChars="200" w:firstLine="480"/>
        <w:rPr>
          <w:sz w:val="24"/>
        </w:rPr>
      </w:pPr>
      <w:r>
        <w:rPr>
          <w:rFonts w:hint="eastAsia"/>
          <w:sz w:val="24"/>
        </w:rPr>
        <w:t>（三）相关关联交易不得存在导致或者可能导致公司出现被控股股东、实际控制人及其关联人资金占用、为关联人违规提供担保或者其他被关联人侵占利益的情形；</w:t>
      </w:r>
    </w:p>
    <w:p w14:paraId="3877E704" w14:textId="77777777" w:rsidR="00C90E60" w:rsidRDefault="00000000">
      <w:pPr>
        <w:spacing w:line="360" w:lineRule="auto"/>
        <w:ind w:firstLineChars="200" w:firstLine="480"/>
        <w:rPr>
          <w:sz w:val="24"/>
        </w:rPr>
      </w:pPr>
      <w:r>
        <w:rPr>
          <w:rFonts w:hint="eastAsia"/>
          <w:sz w:val="24"/>
        </w:rPr>
        <w:t>（四）确定关联交易价格时，应遵循</w:t>
      </w:r>
      <w:r>
        <w:rPr>
          <w:sz w:val="24"/>
        </w:rPr>
        <w:t>“</w:t>
      </w:r>
      <w:r>
        <w:rPr>
          <w:rFonts w:hint="eastAsia"/>
          <w:sz w:val="24"/>
        </w:rPr>
        <w:t>公平、公正、公开、等价有偿</w:t>
      </w:r>
      <w:r>
        <w:rPr>
          <w:sz w:val="24"/>
        </w:rPr>
        <w:t>”</w:t>
      </w:r>
      <w:r>
        <w:rPr>
          <w:rFonts w:hint="eastAsia"/>
          <w:sz w:val="24"/>
        </w:rPr>
        <w:t>原则，原则上不偏离市场</w:t>
      </w:r>
      <w:proofErr w:type="gramStart"/>
      <w:r>
        <w:rPr>
          <w:rFonts w:hint="eastAsia"/>
          <w:sz w:val="24"/>
        </w:rPr>
        <w:t>独立第三</w:t>
      </w:r>
      <w:proofErr w:type="gramEnd"/>
      <w:r>
        <w:rPr>
          <w:rFonts w:hint="eastAsia"/>
          <w:sz w:val="24"/>
        </w:rPr>
        <w:t>方的标准，对于难以比较市场价格或定价受到限制的关联交易，应以成本加合理利润的标准确定关联交易价格；</w:t>
      </w:r>
    </w:p>
    <w:p w14:paraId="6AE656B9" w14:textId="77777777" w:rsidR="00C90E60" w:rsidRDefault="00000000">
      <w:pPr>
        <w:spacing w:line="360" w:lineRule="auto"/>
        <w:ind w:firstLineChars="200" w:firstLine="480"/>
        <w:rPr>
          <w:sz w:val="24"/>
        </w:rPr>
      </w:pPr>
      <w:r>
        <w:rPr>
          <w:rFonts w:hint="eastAsia"/>
          <w:sz w:val="24"/>
        </w:rPr>
        <w:t>（五）关联董事和关联股东回避表决；</w:t>
      </w:r>
    </w:p>
    <w:p w14:paraId="2199E1FB" w14:textId="77777777" w:rsidR="00C90E60" w:rsidRDefault="00000000">
      <w:pPr>
        <w:spacing w:line="360" w:lineRule="auto"/>
        <w:ind w:firstLineChars="200" w:firstLine="480"/>
        <w:rPr>
          <w:sz w:val="24"/>
        </w:rPr>
      </w:pPr>
      <w:r>
        <w:rPr>
          <w:rFonts w:hint="eastAsia"/>
          <w:sz w:val="24"/>
        </w:rPr>
        <w:t>（六）必要时可聘请独立财务顾问或专业评估机构发表意见和报告；</w:t>
      </w:r>
    </w:p>
    <w:p w14:paraId="277F2DE1" w14:textId="77777777" w:rsidR="00C90E60" w:rsidRDefault="00000000">
      <w:pPr>
        <w:spacing w:line="360" w:lineRule="auto"/>
        <w:ind w:firstLineChars="200" w:firstLine="480"/>
        <w:rPr>
          <w:sz w:val="24"/>
        </w:rPr>
      </w:pPr>
      <w:r>
        <w:rPr>
          <w:rFonts w:hint="eastAsia"/>
          <w:sz w:val="24"/>
        </w:rPr>
        <w:t>（七）对于必须发生的关联交易，应切实履行信息披露的有关规定。</w:t>
      </w:r>
    </w:p>
    <w:p w14:paraId="550FE675" w14:textId="77777777" w:rsidR="00C90E60" w:rsidRDefault="00000000" w:rsidP="00175AB1">
      <w:pPr>
        <w:pStyle w:val="ab"/>
        <w:spacing w:beforeLines="100" w:before="312" w:afterLines="100" w:after="312"/>
        <w:rPr>
          <w:rFonts w:ascii="Times New Roman" w:hAnsi="Times New Roman"/>
        </w:rPr>
      </w:pPr>
      <w:r>
        <w:rPr>
          <w:rFonts w:ascii="Times New Roman" w:hAnsi="Times New Roman"/>
        </w:rPr>
        <w:t>第二章</w:t>
      </w:r>
      <w:r>
        <w:rPr>
          <w:rFonts w:ascii="Times New Roman" w:hAnsi="Times New Roman"/>
        </w:rPr>
        <w:t xml:space="preserve">  </w:t>
      </w:r>
      <w:r>
        <w:rPr>
          <w:rFonts w:ascii="Times New Roman" w:hAnsi="Times New Roman"/>
        </w:rPr>
        <w:t>关联</w:t>
      </w:r>
      <w:r>
        <w:rPr>
          <w:rFonts w:ascii="Times New Roman" w:hAnsi="Times New Roman" w:hint="eastAsia"/>
        </w:rPr>
        <w:t>方与</w:t>
      </w:r>
      <w:r>
        <w:rPr>
          <w:rFonts w:ascii="Times New Roman" w:hAnsi="Times New Roman"/>
        </w:rPr>
        <w:t>关联交易</w:t>
      </w:r>
    </w:p>
    <w:p w14:paraId="5E08E88D" w14:textId="77777777" w:rsidR="00C90E60" w:rsidRDefault="00000000">
      <w:pPr>
        <w:spacing w:line="360" w:lineRule="auto"/>
        <w:ind w:firstLineChars="200" w:firstLine="480"/>
        <w:rPr>
          <w:sz w:val="24"/>
        </w:rPr>
      </w:pPr>
      <w:r>
        <w:rPr>
          <w:rFonts w:hint="eastAsia"/>
          <w:sz w:val="24"/>
        </w:rPr>
        <w:t>第三条</w:t>
      </w:r>
      <w:r>
        <w:rPr>
          <w:sz w:val="24"/>
        </w:rPr>
        <w:t xml:space="preserve">  </w:t>
      </w:r>
      <w:r>
        <w:rPr>
          <w:rFonts w:hint="eastAsia"/>
          <w:sz w:val="24"/>
        </w:rPr>
        <w:t>关联交易是指公司或者其控股子公司与公司关联人之间发生的转移资源或者义务的事项，包括：</w:t>
      </w:r>
    </w:p>
    <w:p w14:paraId="16CE3F18" w14:textId="77777777" w:rsidR="00C90E60" w:rsidRDefault="00000000">
      <w:pPr>
        <w:spacing w:line="360" w:lineRule="auto"/>
        <w:ind w:firstLineChars="200" w:firstLine="480"/>
        <w:rPr>
          <w:sz w:val="24"/>
        </w:rPr>
      </w:pPr>
      <w:r>
        <w:rPr>
          <w:rFonts w:hint="eastAsia"/>
          <w:sz w:val="24"/>
        </w:rPr>
        <w:lastRenderedPageBreak/>
        <w:t>（一）购买或出售资产；</w:t>
      </w:r>
    </w:p>
    <w:p w14:paraId="01573558" w14:textId="77777777" w:rsidR="00C90E60" w:rsidRDefault="00000000">
      <w:pPr>
        <w:spacing w:line="360" w:lineRule="auto"/>
        <w:ind w:firstLineChars="200" w:firstLine="480"/>
        <w:rPr>
          <w:sz w:val="24"/>
        </w:rPr>
      </w:pPr>
      <w:r>
        <w:rPr>
          <w:rFonts w:hint="eastAsia"/>
          <w:sz w:val="24"/>
        </w:rPr>
        <w:t>（二）对外投资（含委托理财、对子公司投资等）；</w:t>
      </w:r>
    </w:p>
    <w:p w14:paraId="09A6183C" w14:textId="77777777" w:rsidR="00C90E60" w:rsidRDefault="00000000">
      <w:pPr>
        <w:spacing w:line="360" w:lineRule="auto"/>
        <w:ind w:firstLineChars="200" w:firstLine="480"/>
        <w:rPr>
          <w:sz w:val="24"/>
        </w:rPr>
      </w:pPr>
      <w:r>
        <w:rPr>
          <w:rFonts w:hint="eastAsia"/>
          <w:sz w:val="24"/>
        </w:rPr>
        <w:t>（三）提供财务资助（含委托贷款等）；</w:t>
      </w:r>
    </w:p>
    <w:p w14:paraId="43FC702B" w14:textId="77777777" w:rsidR="00C90E60" w:rsidRDefault="00000000">
      <w:pPr>
        <w:spacing w:line="360" w:lineRule="auto"/>
        <w:ind w:firstLineChars="200" w:firstLine="480"/>
        <w:rPr>
          <w:sz w:val="24"/>
        </w:rPr>
      </w:pPr>
      <w:r>
        <w:rPr>
          <w:rFonts w:hint="eastAsia"/>
          <w:sz w:val="24"/>
        </w:rPr>
        <w:t>（四）提供担保（含对控股子公司担保等）；</w:t>
      </w:r>
    </w:p>
    <w:p w14:paraId="4667F3B4" w14:textId="77777777" w:rsidR="00C90E60" w:rsidRDefault="00000000">
      <w:pPr>
        <w:spacing w:line="360" w:lineRule="auto"/>
        <w:ind w:firstLineChars="200" w:firstLine="480"/>
        <w:rPr>
          <w:sz w:val="24"/>
        </w:rPr>
      </w:pPr>
      <w:r>
        <w:rPr>
          <w:rFonts w:hint="eastAsia"/>
          <w:sz w:val="24"/>
        </w:rPr>
        <w:t>（五）租入或租出资产；</w:t>
      </w:r>
    </w:p>
    <w:p w14:paraId="1CFD2CE4" w14:textId="77777777" w:rsidR="00C90E60" w:rsidRDefault="00000000">
      <w:pPr>
        <w:spacing w:line="360" w:lineRule="auto"/>
        <w:ind w:firstLineChars="200" w:firstLine="480"/>
        <w:rPr>
          <w:sz w:val="24"/>
        </w:rPr>
      </w:pPr>
      <w:r>
        <w:rPr>
          <w:rFonts w:hint="eastAsia"/>
          <w:sz w:val="24"/>
        </w:rPr>
        <w:t>（六）委托或者受托管理资产和业务；</w:t>
      </w:r>
    </w:p>
    <w:p w14:paraId="37AFDAE7" w14:textId="77777777" w:rsidR="00C90E60" w:rsidRDefault="00000000">
      <w:pPr>
        <w:spacing w:line="360" w:lineRule="auto"/>
        <w:ind w:firstLineChars="200" w:firstLine="480"/>
        <w:rPr>
          <w:sz w:val="24"/>
        </w:rPr>
      </w:pPr>
      <w:r>
        <w:rPr>
          <w:rFonts w:hint="eastAsia"/>
          <w:sz w:val="24"/>
        </w:rPr>
        <w:t>（七）赠与或受赠资产；</w:t>
      </w:r>
    </w:p>
    <w:p w14:paraId="706DB2F8" w14:textId="77777777" w:rsidR="00C90E60" w:rsidRDefault="00000000">
      <w:pPr>
        <w:spacing w:line="360" w:lineRule="auto"/>
        <w:ind w:firstLineChars="200" w:firstLine="480"/>
        <w:rPr>
          <w:sz w:val="24"/>
        </w:rPr>
      </w:pPr>
      <w:r>
        <w:rPr>
          <w:rFonts w:hint="eastAsia"/>
          <w:sz w:val="24"/>
        </w:rPr>
        <w:t>（八）债权或债务重组；</w:t>
      </w:r>
    </w:p>
    <w:p w14:paraId="3B77D93E" w14:textId="77777777" w:rsidR="00C90E60" w:rsidRDefault="00000000">
      <w:pPr>
        <w:spacing w:line="360" w:lineRule="auto"/>
        <w:ind w:firstLineChars="200" w:firstLine="480"/>
        <w:rPr>
          <w:sz w:val="24"/>
        </w:rPr>
      </w:pPr>
      <w:r>
        <w:rPr>
          <w:rFonts w:hint="eastAsia"/>
          <w:sz w:val="24"/>
        </w:rPr>
        <w:t>（九）转让或者受让研发项目；</w:t>
      </w:r>
    </w:p>
    <w:p w14:paraId="7FD5F0D1" w14:textId="77777777" w:rsidR="00C90E60" w:rsidRDefault="00000000">
      <w:pPr>
        <w:spacing w:line="360" w:lineRule="auto"/>
        <w:ind w:firstLineChars="200" w:firstLine="480"/>
        <w:rPr>
          <w:sz w:val="24"/>
        </w:rPr>
      </w:pPr>
      <w:r>
        <w:rPr>
          <w:rFonts w:hint="eastAsia"/>
          <w:sz w:val="24"/>
        </w:rPr>
        <w:t>（十）签订许可协议；</w:t>
      </w:r>
    </w:p>
    <w:p w14:paraId="4D848533" w14:textId="77777777" w:rsidR="00C90E60" w:rsidRDefault="00000000">
      <w:pPr>
        <w:spacing w:line="360" w:lineRule="auto"/>
        <w:ind w:firstLineChars="200" w:firstLine="480"/>
        <w:rPr>
          <w:sz w:val="24"/>
        </w:rPr>
      </w:pPr>
      <w:r>
        <w:rPr>
          <w:rFonts w:hint="eastAsia"/>
          <w:sz w:val="24"/>
        </w:rPr>
        <w:t>（十一）放弃权利（</w:t>
      </w:r>
      <w:proofErr w:type="gramStart"/>
      <w:r>
        <w:rPr>
          <w:rFonts w:hint="eastAsia"/>
          <w:sz w:val="24"/>
        </w:rPr>
        <w:t>含放弃</w:t>
      </w:r>
      <w:proofErr w:type="gramEnd"/>
      <w:r>
        <w:rPr>
          <w:rFonts w:hint="eastAsia"/>
          <w:sz w:val="24"/>
        </w:rPr>
        <w:t>优先购买权、优先认缴出资权利等）；</w:t>
      </w:r>
    </w:p>
    <w:p w14:paraId="6FF6D85B" w14:textId="77777777" w:rsidR="00C90E60" w:rsidRDefault="00000000">
      <w:pPr>
        <w:spacing w:line="360" w:lineRule="auto"/>
        <w:ind w:firstLineChars="200" w:firstLine="480"/>
        <w:rPr>
          <w:sz w:val="24"/>
        </w:rPr>
      </w:pPr>
      <w:r>
        <w:rPr>
          <w:rFonts w:hint="eastAsia"/>
          <w:sz w:val="24"/>
        </w:rPr>
        <w:t>（十二）购买原材料、燃料、动力；</w:t>
      </w:r>
    </w:p>
    <w:p w14:paraId="6BD70B4D" w14:textId="77777777" w:rsidR="00C90E60" w:rsidRDefault="00000000">
      <w:pPr>
        <w:spacing w:line="360" w:lineRule="auto"/>
        <w:ind w:firstLineChars="200" w:firstLine="480"/>
        <w:rPr>
          <w:sz w:val="24"/>
        </w:rPr>
      </w:pPr>
      <w:r>
        <w:rPr>
          <w:rFonts w:hint="eastAsia"/>
          <w:sz w:val="24"/>
        </w:rPr>
        <w:t>（十三）销售产品、商品；</w:t>
      </w:r>
    </w:p>
    <w:p w14:paraId="33D966B6" w14:textId="77777777" w:rsidR="00C90E60" w:rsidRDefault="00000000">
      <w:pPr>
        <w:spacing w:line="360" w:lineRule="auto"/>
        <w:ind w:firstLineChars="200" w:firstLine="480"/>
        <w:rPr>
          <w:sz w:val="24"/>
        </w:rPr>
      </w:pPr>
      <w:r>
        <w:rPr>
          <w:rFonts w:hint="eastAsia"/>
          <w:sz w:val="24"/>
        </w:rPr>
        <w:t>（十四）提供或者接受劳务；</w:t>
      </w:r>
    </w:p>
    <w:p w14:paraId="36461096" w14:textId="77777777" w:rsidR="00C90E60" w:rsidRDefault="00000000">
      <w:pPr>
        <w:spacing w:line="360" w:lineRule="auto"/>
        <w:ind w:firstLineChars="200" w:firstLine="480"/>
        <w:rPr>
          <w:sz w:val="24"/>
        </w:rPr>
      </w:pPr>
      <w:r>
        <w:rPr>
          <w:rFonts w:hint="eastAsia"/>
          <w:sz w:val="24"/>
        </w:rPr>
        <w:t>（十五）委托或者受托销售；</w:t>
      </w:r>
    </w:p>
    <w:p w14:paraId="38F7145F" w14:textId="77777777" w:rsidR="00C90E60" w:rsidRDefault="00000000">
      <w:pPr>
        <w:spacing w:line="360" w:lineRule="auto"/>
        <w:ind w:firstLineChars="200" w:firstLine="480"/>
        <w:rPr>
          <w:sz w:val="24"/>
        </w:rPr>
      </w:pPr>
      <w:r>
        <w:rPr>
          <w:rFonts w:hint="eastAsia"/>
          <w:sz w:val="24"/>
        </w:rPr>
        <w:t>（十六）存贷款业务；</w:t>
      </w:r>
    </w:p>
    <w:p w14:paraId="79D55E18" w14:textId="77777777" w:rsidR="00C90E60" w:rsidRDefault="00000000">
      <w:pPr>
        <w:spacing w:line="360" w:lineRule="auto"/>
        <w:ind w:firstLineChars="200" w:firstLine="480"/>
        <w:rPr>
          <w:sz w:val="24"/>
        </w:rPr>
      </w:pPr>
      <w:r>
        <w:rPr>
          <w:rFonts w:hint="eastAsia"/>
          <w:sz w:val="24"/>
        </w:rPr>
        <w:t>（十七）关联人共同投资；</w:t>
      </w:r>
    </w:p>
    <w:p w14:paraId="0987B9E8" w14:textId="77777777" w:rsidR="00C90E60" w:rsidRDefault="00000000">
      <w:pPr>
        <w:spacing w:line="360" w:lineRule="auto"/>
        <w:ind w:firstLineChars="200" w:firstLine="480"/>
        <w:rPr>
          <w:sz w:val="24"/>
        </w:rPr>
      </w:pPr>
      <w:r>
        <w:rPr>
          <w:rFonts w:hint="eastAsia"/>
          <w:sz w:val="24"/>
        </w:rPr>
        <w:t>（十八）其他通过约定可能造成资源或者义务转移的事项；</w:t>
      </w:r>
    </w:p>
    <w:p w14:paraId="36F39E12" w14:textId="77777777" w:rsidR="00C90E60" w:rsidRDefault="00000000">
      <w:pPr>
        <w:spacing w:line="360" w:lineRule="auto"/>
        <w:ind w:firstLineChars="200" w:firstLine="480"/>
        <w:rPr>
          <w:sz w:val="24"/>
        </w:rPr>
      </w:pPr>
      <w:r>
        <w:rPr>
          <w:rFonts w:hint="eastAsia"/>
          <w:sz w:val="24"/>
        </w:rPr>
        <w:t>（十九）中国证券监督管理委员会（以下简称“中国证监会”）、深圳证券交易所认定的其他交易。</w:t>
      </w:r>
    </w:p>
    <w:p w14:paraId="3B03F97F" w14:textId="77777777" w:rsidR="00C90E60" w:rsidRDefault="00000000">
      <w:pPr>
        <w:spacing w:line="360" w:lineRule="auto"/>
        <w:ind w:firstLineChars="200" w:firstLine="480"/>
        <w:rPr>
          <w:sz w:val="24"/>
        </w:rPr>
      </w:pPr>
      <w:r>
        <w:rPr>
          <w:rFonts w:hint="eastAsia"/>
          <w:sz w:val="24"/>
        </w:rPr>
        <w:t>第四条</w:t>
      </w:r>
      <w:r>
        <w:rPr>
          <w:sz w:val="24"/>
        </w:rPr>
        <w:t xml:space="preserve">  </w:t>
      </w:r>
      <w:r>
        <w:rPr>
          <w:rFonts w:hint="eastAsia"/>
          <w:sz w:val="24"/>
        </w:rPr>
        <w:t>公司的关联人包括关联法人（或其他组织）和关联自然人。</w:t>
      </w:r>
    </w:p>
    <w:p w14:paraId="228758A0" w14:textId="77777777" w:rsidR="00C90E60" w:rsidRDefault="00000000">
      <w:pPr>
        <w:spacing w:line="360" w:lineRule="auto"/>
        <w:ind w:firstLineChars="200" w:firstLine="480"/>
        <w:rPr>
          <w:sz w:val="24"/>
        </w:rPr>
      </w:pPr>
      <w:r>
        <w:rPr>
          <w:rFonts w:hint="eastAsia"/>
          <w:sz w:val="24"/>
        </w:rPr>
        <w:t>第五条</w:t>
      </w:r>
      <w:r>
        <w:rPr>
          <w:sz w:val="24"/>
        </w:rPr>
        <w:t xml:space="preserve">  </w:t>
      </w:r>
      <w:r>
        <w:rPr>
          <w:rFonts w:hint="eastAsia"/>
          <w:sz w:val="24"/>
        </w:rPr>
        <w:t>具有下列情形之一的法人或者其他组织，为公司的关联法人（或其他组织）：</w:t>
      </w:r>
    </w:p>
    <w:p w14:paraId="3D5FC3A6" w14:textId="77777777" w:rsidR="00C90E60" w:rsidRDefault="00000000">
      <w:pPr>
        <w:spacing w:line="360" w:lineRule="auto"/>
        <w:ind w:firstLineChars="200" w:firstLine="480"/>
        <w:rPr>
          <w:sz w:val="24"/>
        </w:rPr>
      </w:pPr>
      <w:r>
        <w:rPr>
          <w:rFonts w:hint="eastAsia"/>
          <w:sz w:val="24"/>
        </w:rPr>
        <w:t>（一）直接或者间接地控制公司的法人或者其他组织；</w:t>
      </w:r>
    </w:p>
    <w:p w14:paraId="1DE182C3" w14:textId="77777777" w:rsidR="00C90E60" w:rsidRDefault="00000000">
      <w:pPr>
        <w:spacing w:line="360" w:lineRule="auto"/>
        <w:ind w:firstLineChars="200" w:firstLine="480"/>
        <w:rPr>
          <w:sz w:val="24"/>
        </w:rPr>
      </w:pPr>
      <w:r>
        <w:rPr>
          <w:rFonts w:hint="eastAsia"/>
          <w:sz w:val="24"/>
        </w:rPr>
        <w:t>（二）由前项所述法人（或者其他组织）直接或者间接控制的除公司及其控股子公司以外的法人或者其他组织；</w:t>
      </w:r>
    </w:p>
    <w:p w14:paraId="6F6222F1" w14:textId="77777777" w:rsidR="00C90E60" w:rsidRDefault="00000000">
      <w:pPr>
        <w:spacing w:line="360" w:lineRule="auto"/>
        <w:ind w:firstLineChars="200" w:firstLine="480"/>
        <w:rPr>
          <w:sz w:val="24"/>
        </w:rPr>
      </w:pPr>
      <w:r>
        <w:rPr>
          <w:rFonts w:hint="eastAsia"/>
          <w:sz w:val="24"/>
        </w:rPr>
        <w:t>（三）持有公司</w:t>
      </w:r>
      <w:r>
        <w:rPr>
          <w:rFonts w:hint="eastAsia"/>
          <w:sz w:val="24"/>
        </w:rPr>
        <w:t>5%</w:t>
      </w:r>
      <w:r>
        <w:rPr>
          <w:rFonts w:hint="eastAsia"/>
          <w:sz w:val="24"/>
        </w:rPr>
        <w:t>以上股份的法人（或者其他组织）及其一致行动人；</w:t>
      </w:r>
    </w:p>
    <w:p w14:paraId="22E368EB" w14:textId="77777777" w:rsidR="00C90E60" w:rsidRDefault="00000000">
      <w:pPr>
        <w:spacing w:line="360" w:lineRule="auto"/>
        <w:ind w:firstLineChars="200" w:firstLine="480"/>
        <w:rPr>
          <w:sz w:val="24"/>
        </w:rPr>
      </w:pPr>
      <w:r>
        <w:rPr>
          <w:rFonts w:hint="eastAsia"/>
          <w:sz w:val="24"/>
        </w:rPr>
        <w:t>（四）由公司的关联自然人直接或者间接控制的，或者担任董事（不含同为双方的独立董事）、高级管理人员的，除公司及其控股子公司以外的法人或者其他组织；</w:t>
      </w:r>
    </w:p>
    <w:p w14:paraId="093CD278" w14:textId="77777777" w:rsidR="00C90E60" w:rsidRDefault="00000000">
      <w:pPr>
        <w:spacing w:line="360" w:lineRule="auto"/>
        <w:ind w:firstLineChars="200" w:firstLine="480"/>
        <w:rPr>
          <w:sz w:val="24"/>
        </w:rPr>
      </w:pPr>
      <w:r>
        <w:rPr>
          <w:rFonts w:hint="eastAsia"/>
          <w:sz w:val="24"/>
        </w:rPr>
        <w:t>（五）中国证监会、深圳证券交易所或者公司根据实质重于形式的原则认定的其他</w:t>
      </w:r>
      <w:r>
        <w:rPr>
          <w:rFonts w:hint="eastAsia"/>
          <w:sz w:val="24"/>
        </w:rPr>
        <w:lastRenderedPageBreak/>
        <w:t>与公司有特殊关系，可能或者已经造成公司对其利益倾斜的法人或者其他组织。</w:t>
      </w:r>
    </w:p>
    <w:p w14:paraId="7D6309ED" w14:textId="77777777" w:rsidR="00C90E60" w:rsidRDefault="00000000">
      <w:pPr>
        <w:spacing w:line="360" w:lineRule="auto"/>
        <w:ind w:firstLineChars="200" w:firstLine="480"/>
        <w:rPr>
          <w:sz w:val="24"/>
        </w:rPr>
      </w:pPr>
      <w:r>
        <w:rPr>
          <w:rFonts w:hint="eastAsia"/>
          <w:sz w:val="24"/>
        </w:rPr>
        <w:t>第六条</w:t>
      </w:r>
      <w:r>
        <w:rPr>
          <w:rFonts w:hint="eastAsia"/>
          <w:sz w:val="24"/>
        </w:rPr>
        <w:t xml:space="preserve"> </w:t>
      </w:r>
      <w:r>
        <w:rPr>
          <w:sz w:val="24"/>
        </w:rPr>
        <w:t xml:space="preserve"> </w:t>
      </w:r>
      <w:r>
        <w:rPr>
          <w:rFonts w:hint="eastAsia"/>
          <w:sz w:val="24"/>
        </w:rPr>
        <w:t>具有下列情形之一的自然人，为公司的关联自然人：</w:t>
      </w:r>
    </w:p>
    <w:p w14:paraId="5B80BC1C" w14:textId="77777777" w:rsidR="00C90E60" w:rsidRDefault="00000000">
      <w:pPr>
        <w:spacing w:line="360" w:lineRule="auto"/>
        <w:ind w:firstLineChars="200" w:firstLine="480"/>
        <w:rPr>
          <w:sz w:val="24"/>
        </w:rPr>
      </w:pPr>
      <w:r>
        <w:rPr>
          <w:rFonts w:hint="eastAsia"/>
          <w:sz w:val="24"/>
        </w:rPr>
        <w:t>（一）直接或者间接持有公司</w:t>
      </w:r>
      <w:r>
        <w:rPr>
          <w:sz w:val="24"/>
        </w:rPr>
        <w:t>5</w:t>
      </w:r>
      <w:r>
        <w:rPr>
          <w:rFonts w:hint="eastAsia"/>
          <w:sz w:val="24"/>
        </w:rPr>
        <w:t>％以上股份的自然人；</w:t>
      </w:r>
    </w:p>
    <w:p w14:paraId="74BD777A" w14:textId="77777777" w:rsidR="00C90E60" w:rsidRDefault="00000000">
      <w:pPr>
        <w:spacing w:line="360" w:lineRule="auto"/>
        <w:ind w:firstLineChars="200" w:firstLine="480"/>
        <w:rPr>
          <w:sz w:val="24"/>
        </w:rPr>
      </w:pPr>
      <w:r>
        <w:rPr>
          <w:rFonts w:hint="eastAsia"/>
          <w:sz w:val="24"/>
        </w:rPr>
        <w:t>（二）公司董事、高级管理人员；</w:t>
      </w:r>
    </w:p>
    <w:p w14:paraId="239D8672" w14:textId="77777777" w:rsidR="00C90E60" w:rsidRDefault="00000000">
      <w:pPr>
        <w:spacing w:line="360" w:lineRule="auto"/>
        <w:ind w:firstLineChars="200" w:firstLine="480"/>
        <w:rPr>
          <w:sz w:val="24"/>
        </w:rPr>
      </w:pPr>
      <w:r>
        <w:rPr>
          <w:rFonts w:hint="eastAsia"/>
          <w:sz w:val="24"/>
        </w:rPr>
        <w:t>（三）直接或者间接地控制公司的法人（或者其他组织）的董事、高级管理人员；</w:t>
      </w:r>
    </w:p>
    <w:p w14:paraId="6D3B9875" w14:textId="77777777" w:rsidR="00C90E60" w:rsidRDefault="00000000">
      <w:pPr>
        <w:spacing w:line="360" w:lineRule="auto"/>
        <w:ind w:firstLineChars="200" w:firstLine="480"/>
        <w:rPr>
          <w:sz w:val="24"/>
        </w:rPr>
      </w:pPr>
      <w:r>
        <w:rPr>
          <w:rFonts w:hint="eastAsia"/>
          <w:sz w:val="24"/>
        </w:rPr>
        <w:t>（四）本条第（一）项、第（二）项所述人士的关系密切的家庭成员，包括配偶、父母及配偶的父母、兄弟姐妹及其配偶、年满十八周岁的子女及其配偶、配偶的兄弟姐妹和子女配偶的父母；</w:t>
      </w:r>
    </w:p>
    <w:p w14:paraId="2254A090" w14:textId="77777777" w:rsidR="00C90E60" w:rsidRDefault="00000000">
      <w:pPr>
        <w:spacing w:line="360" w:lineRule="auto"/>
        <w:ind w:firstLineChars="200" w:firstLine="480"/>
        <w:rPr>
          <w:sz w:val="24"/>
        </w:rPr>
      </w:pPr>
      <w:r>
        <w:rPr>
          <w:rFonts w:hint="eastAsia"/>
          <w:sz w:val="24"/>
        </w:rPr>
        <w:t>（五）中国证监会、深圳证券交易所或者公司根据实质重于形式的原则认定的其他与公司有特殊关系，可能或者已经造成公司对其利益倾斜的自然人。</w:t>
      </w:r>
    </w:p>
    <w:p w14:paraId="23A0890F" w14:textId="77777777" w:rsidR="00C90E60" w:rsidRDefault="00000000">
      <w:pPr>
        <w:spacing w:line="360" w:lineRule="auto"/>
        <w:ind w:firstLineChars="200" w:firstLine="480"/>
        <w:rPr>
          <w:sz w:val="24"/>
        </w:rPr>
      </w:pPr>
      <w:r>
        <w:rPr>
          <w:rFonts w:hint="eastAsia"/>
          <w:sz w:val="24"/>
        </w:rPr>
        <w:t>第七条</w:t>
      </w:r>
      <w:r>
        <w:rPr>
          <w:sz w:val="24"/>
        </w:rPr>
        <w:t xml:space="preserve">  </w:t>
      </w:r>
      <w:r>
        <w:rPr>
          <w:rFonts w:hint="eastAsia"/>
          <w:sz w:val="24"/>
        </w:rPr>
        <w:t>具有下列情形之一的法人（或者其他组织）或者自然人，视同为公司的关联人：</w:t>
      </w:r>
    </w:p>
    <w:p w14:paraId="60B6C8A2" w14:textId="77777777" w:rsidR="00C90E60" w:rsidRDefault="00000000">
      <w:pPr>
        <w:spacing w:line="360" w:lineRule="auto"/>
        <w:ind w:firstLineChars="200" w:firstLine="480"/>
        <w:rPr>
          <w:sz w:val="24"/>
        </w:rPr>
      </w:pPr>
      <w:r>
        <w:rPr>
          <w:rFonts w:hint="eastAsia"/>
          <w:sz w:val="24"/>
        </w:rPr>
        <w:t>（一）因与公司或者其关联人签署协议或者</w:t>
      </w:r>
      <w:proofErr w:type="gramStart"/>
      <w:r>
        <w:rPr>
          <w:rFonts w:hint="eastAsia"/>
          <w:sz w:val="24"/>
        </w:rPr>
        <w:t>作出</w:t>
      </w:r>
      <w:proofErr w:type="gramEnd"/>
      <w:r>
        <w:rPr>
          <w:rFonts w:hint="eastAsia"/>
          <w:sz w:val="24"/>
        </w:rPr>
        <w:t>安排，在未来十二个月内，具有本制度第五条或第六条规定情形之一的；</w:t>
      </w:r>
    </w:p>
    <w:p w14:paraId="5F3BD3EE" w14:textId="77777777" w:rsidR="00C90E60" w:rsidRDefault="00000000">
      <w:pPr>
        <w:spacing w:line="360" w:lineRule="auto"/>
        <w:ind w:firstLineChars="200" w:firstLine="480"/>
        <w:rPr>
          <w:sz w:val="24"/>
        </w:rPr>
      </w:pPr>
      <w:r>
        <w:rPr>
          <w:rFonts w:hint="eastAsia"/>
          <w:sz w:val="24"/>
        </w:rPr>
        <w:t>（二）过去十二个月内，曾经具有本制度第五条或第六条规定情形之一的。</w:t>
      </w:r>
    </w:p>
    <w:p w14:paraId="153E2C94" w14:textId="77777777" w:rsidR="00C90E60" w:rsidRDefault="00000000">
      <w:pPr>
        <w:spacing w:line="360" w:lineRule="auto"/>
        <w:ind w:firstLineChars="200" w:firstLine="480"/>
        <w:rPr>
          <w:sz w:val="24"/>
        </w:rPr>
      </w:pPr>
      <w:r>
        <w:rPr>
          <w:rFonts w:hint="eastAsia"/>
          <w:sz w:val="24"/>
        </w:rPr>
        <w:t>第八条</w:t>
      </w:r>
      <w:r>
        <w:rPr>
          <w:sz w:val="24"/>
        </w:rPr>
        <w:t xml:space="preserve">  </w:t>
      </w:r>
      <w:r>
        <w:rPr>
          <w:rFonts w:hint="eastAsia"/>
          <w:sz w:val="24"/>
        </w:rPr>
        <w:t>公司董事、高级管理人员、持股</w:t>
      </w:r>
      <w:r>
        <w:rPr>
          <w:sz w:val="24"/>
        </w:rPr>
        <w:t>5%</w:t>
      </w:r>
      <w:r>
        <w:rPr>
          <w:rFonts w:hint="eastAsia"/>
          <w:sz w:val="24"/>
        </w:rPr>
        <w:t>以上的股东及其一致行动人、实际控制人，应当将与其存在关联关系的关联人情况及说明及时告知公司董事会，由公司做好登记管理工作。</w:t>
      </w:r>
    </w:p>
    <w:p w14:paraId="0D40D873" w14:textId="77777777" w:rsidR="00C90E60" w:rsidRDefault="00000000">
      <w:pPr>
        <w:spacing w:line="360" w:lineRule="auto"/>
        <w:ind w:firstLineChars="200" w:firstLine="480"/>
        <w:rPr>
          <w:sz w:val="24"/>
        </w:rPr>
      </w:pPr>
      <w:r>
        <w:rPr>
          <w:rFonts w:hint="eastAsia"/>
          <w:sz w:val="24"/>
        </w:rPr>
        <w:t>公司应当及时将上述关联人情况报深圳证券交易所备案。</w:t>
      </w:r>
    </w:p>
    <w:p w14:paraId="0BBC6D7A" w14:textId="77777777" w:rsidR="00C90E60" w:rsidRDefault="00000000" w:rsidP="00175AB1">
      <w:pPr>
        <w:pStyle w:val="ab"/>
        <w:spacing w:beforeLines="100" w:before="312" w:afterLines="100" w:after="312"/>
        <w:rPr>
          <w:rFonts w:ascii="Times New Roman" w:hAnsi="Times New Roman"/>
        </w:rPr>
      </w:pPr>
      <w:r>
        <w:rPr>
          <w:rFonts w:ascii="Times New Roman" w:hAnsi="Times New Roman"/>
        </w:rPr>
        <w:t>第三章</w:t>
      </w:r>
      <w:r>
        <w:rPr>
          <w:rFonts w:ascii="Times New Roman" w:hAnsi="Times New Roman"/>
        </w:rPr>
        <w:t xml:space="preserve">  </w:t>
      </w:r>
      <w:r>
        <w:rPr>
          <w:rFonts w:ascii="Times New Roman" w:hAnsi="Times New Roman"/>
        </w:rPr>
        <w:t>关联交易</w:t>
      </w:r>
      <w:r>
        <w:rPr>
          <w:rFonts w:ascii="Times New Roman" w:hAnsi="Times New Roman" w:hint="eastAsia"/>
        </w:rPr>
        <w:t>决策程序</w:t>
      </w:r>
    </w:p>
    <w:p w14:paraId="56C08F8D" w14:textId="77777777" w:rsidR="00C90E60" w:rsidRDefault="00000000">
      <w:pPr>
        <w:spacing w:line="360" w:lineRule="auto"/>
        <w:ind w:firstLineChars="200" w:firstLine="480"/>
        <w:rPr>
          <w:sz w:val="24"/>
        </w:rPr>
      </w:pPr>
      <w:r>
        <w:rPr>
          <w:sz w:val="24"/>
        </w:rPr>
        <w:t>第</w:t>
      </w:r>
      <w:r>
        <w:rPr>
          <w:rFonts w:hint="eastAsia"/>
          <w:sz w:val="24"/>
        </w:rPr>
        <w:t>九</w:t>
      </w:r>
      <w:r>
        <w:rPr>
          <w:sz w:val="24"/>
        </w:rPr>
        <w:t>条</w:t>
      </w:r>
      <w:r>
        <w:rPr>
          <w:sz w:val="24"/>
        </w:rPr>
        <w:t xml:space="preserve">  </w:t>
      </w:r>
      <w:r>
        <w:rPr>
          <w:rFonts w:hint="eastAsia"/>
          <w:sz w:val="24"/>
        </w:rPr>
        <w:t>公司依据《上市规则》《公司章程》并参照《企业会计准则——关联方关系及其交易的披露》等法律、法规和规范性文件中的规定对关联交易进行判断和认定，并按照关联交易审议权限分别提交公司经营管理层、董事会或股东会进行审议。</w:t>
      </w:r>
    </w:p>
    <w:p w14:paraId="344FF0D6" w14:textId="77777777" w:rsidR="00C90E60" w:rsidRDefault="00000000">
      <w:pPr>
        <w:spacing w:line="360" w:lineRule="auto"/>
        <w:ind w:firstLineChars="200" w:firstLine="480"/>
        <w:rPr>
          <w:sz w:val="24"/>
        </w:rPr>
      </w:pPr>
      <w:r>
        <w:rPr>
          <w:rFonts w:hint="eastAsia"/>
          <w:sz w:val="24"/>
        </w:rPr>
        <w:t>第十条</w:t>
      </w:r>
      <w:r>
        <w:rPr>
          <w:sz w:val="24"/>
        </w:rPr>
        <w:t xml:space="preserve">  </w:t>
      </w:r>
      <w:r>
        <w:rPr>
          <w:rFonts w:hint="eastAsia"/>
          <w:sz w:val="24"/>
        </w:rPr>
        <w:t>经营管理层应将日常生产经营活动中，涉及董事会审议的可能的关联交易信息及资料充分披露给董事会并告知审计委员会，由董事会依据本制度审议。</w:t>
      </w:r>
    </w:p>
    <w:p w14:paraId="79D708B2" w14:textId="77777777" w:rsidR="00C90E60" w:rsidRDefault="00000000">
      <w:pPr>
        <w:spacing w:line="360" w:lineRule="auto"/>
        <w:ind w:firstLineChars="200" w:firstLine="480"/>
        <w:rPr>
          <w:sz w:val="24"/>
        </w:rPr>
      </w:pPr>
      <w:r>
        <w:rPr>
          <w:rFonts w:hint="eastAsia"/>
          <w:sz w:val="24"/>
        </w:rPr>
        <w:t>第十一条</w:t>
      </w:r>
      <w:r>
        <w:rPr>
          <w:sz w:val="24"/>
        </w:rPr>
        <w:t xml:space="preserve">  </w:t>
      </w:r>
      <w:r>
        <w:rPr>
          <w:rFonts w:hint="eastAsia"/>
          <w:sz w:val="24"/>
        </w:rPr>
        <w:t>董事会应将日常生产经营活动中，涉及股东会审议的可能的关联交易信息及资料充分披露给股东会并告知审计委员会，由股东会依据本制度审议。</w:t>
      </w:r>
    </w:p>
    <w:p w14:paraId="49759564" w14:textId="77777777" w:rsidR="00C90E60" w:rsidRDefault="00000000">
      <w:pPr>
        <w:spacing w:line="360" w:lineRule="auto"/>
        <w:ind w:firstLineChars="200" w:firstLine="480"/>
        <w:rPr>
          <w:sz w:val="24"/>
        </w:rPr>
      </w:pPr>
      <w:r>
        <w:rPr>
          <w:rFonts w:hint="eastAsia"/>
          <w:sz w:val="24"/>
        </w:rPr>
        <w:lastRenderedPageBreak/>
        <w:t>第十二条</w:t>
      </w:r>
      <w:r>
        <w:rPr>
          <w:sz w:val="24"/>
        </w:rPr>
        <w:t xml:space="preserve"> </w:t>
      </w:r>
      <w:r>
        <w:rPr>
          <w:rFonts w:hint="eastAsia"/>
          <w:sz w:val="24"/>
        </w:rPr>
        <w:t xml:space="preserve"> </w:t>
      </w:r>
      <w:r>
        <w:rPr>
          <w:sz w:val="24"/>
        </w:rPr>
        <w:t>关联交易的决策权限：</w:t>
      </w:r>
    </w:p>
    <w:p w14:paraId="3EF0F991" w14:textId="77777777" w:rsidR="00C90E60" w:rsidRDefault="00000000">
      <w:pPr>
        <w:spacing w:line="360" w:lineRule="auto"/>
        <w:ind w:firstLineChars="200" w:firstLine="480"/>
        <w:rPr>
          <w:sz w:val="24"/>
        </w:rPr>
      </w:pPr>
      <w:r>
        <w:rPr>
          <w:rFonts w:hint="eastAsia"/>
          <w:sz w:val="24"/>
        </w:rPr>
        <w:t>（一）公司与关联自然人发生的成交金额超过</w:t>
      </w:r>
      <w:r>
        <w:rPr>
          <w:sz w:val="24"/>
        </w:rPr>
        <w:t>30</w:t>
      </w:r>
      <w:r>
        <w:rPr>
          <w:rFonts w:hint="eastAsia"/>
          <w:sz w:val="24"/>
        </w:rPr>
        <w:t>万元的关联交易，应当提交董事会审议并及时披露。公司不得直接或者通过子公司向董事、高级管理人员提供借款。</w:t>
      </w:r>
    </w:p>
    <w:p w14:paraId="3DA2FA28" w14:textId="77777777" w:rsidR="00C90E60" w:rsidRDefault="00000000">
      <w:pPr>
        <w:spacing w:line="360" w:lineRule="auto"/>
        <w:ind w:firstLineChars="200" w:firstLine="480"/>
        <w:rPr>
          <w:sz w:val="24"/>
        </w:rPr>
      </w:pPr>
      <w:r>
        <w:rPr>
          <w:rFonts w:hint="eastAsia"/>
          <w:sz w:val="24"/>
        </w:rPr>
        <w:t>（二）公司与关联法人发生的交易金额在</w:t>
      </w:r>
      <w:r>
        <w:rPr>
          <w:sz w:val="24"/>
        </w:rPr>
        <w:t>300</w:t>
      </w:r>
      <w:r>
        <w:rPr>
          <w:rFonts w:hint="eastAsia"/>
          <w:sz w:val="24"/>
        </w:rPr>
        <w:t>万元以上，且占公司最近一期经审计净资产绝对值</w:t>
      </w:r>
      <w:r>
        <w:rPr>
          <w:sz w:val="24"/>
        </w:rPr>
        <w:t>0.5%</w:t>
      </w:r>
      <w:r>
        <w:rPr>
          <w:rFonts w:hint="eastAsia"/>
          <w:sz w:val="24"/>
        </w:rPr>
        <w:t>以上的关联交易，应当提交董事会审议并及时披露，</w:t>
      </w:r>
      <w:r>
        <w:rPr>
          <w:sz w:val="24"/>
        </w:rPr>
        <w:t>如达到股东会审议标准的，</w:t>
      </w:r>
      <w:r>
        <w:rPr>
          <w:rFonts w:hint="eastAsia"/>
          <w:sz w:val="24"/>
        </w:rPr>
        <w:t>须经</w:t>
      </w:r>
      <w:r>
        <w:rPr>
          <w:sz w:val="24"/>
        </w:rPr>
        <w:t>股东会审议通过</w:t>
      </w:r>
      <w:r>
        <w:rPr>
          <w:rFonts w:hint="eastAsia"/>
          <w:sz w:val="24"/>
        </w:rPr>
        <w:t>。</w:t>
      </w:r>
    </w:p>
    <w:p w14:paraId="30639923" w14:textId="77777777" w:rsidR="00C90E60" w:rsidRDefault="00000000">
      <w:pPr>
        <w:spacing w:line="360" w:lineRule="auto"/>
        <w:ind w:firstLineChars="200" w:firstLine="480"/>
        <w:rPr>
          <w:sz w:val="24"/>
        </w:rPr>
      </w:pPr>
      <w:r>
        <w:rPr>
          <w:rFonts w:hint="eastAsia"/>
          <w:sz w:val="24"/>
        </w:rPr>
        <w:t>（三）公司与关联人发生的交易（公司获赠现金资产和提供担保除外）金额在</w:t>
      </w:r>
      <w:r>
        <w:rPr>
          <w:sz w:val="24"/>
        </w:rPr>
        <w:t>3000</w:t>
      </w:r>
      <w:r>
        <w:rPr>
          <w:rFonts w:hint="eastAsia"/>
          <w:sz w:val="24"/>
        </w:rPr>
        <w:t>万元以上，且占公司最近一期经审计净资产绝对值</w:t>
      </w:r>
      <w:r>
        <w:rPr>
          <w:sz w:val="24"/>
        </w:rPr>
        <w:t>5%</w:t>
      </w:r>
      <w:r>
        <w:rPr>
          <w:rFonts w:hint="eastAsia"/>
          <w:sz w:val="24"/>
        </w:rPr>
        <w:t>以上的关联交易，由公司董事会审议后提请股东会审议批准。</w:t>
      </w:r>
    </w:p>
    <w:p w14:paraId="77F6ADED" w14:textId="77777777" w:rsidR="00C90E60" w:rsidRDefault="00000000">
      <w:pPr>
        <w:spacing w:line="360" w:lineRule="auto"/>
        <w:ind w:firstLineChars="200" w:firstLine="480"/>
        <w:rPr>
          <w:sz w:val="24"/>
        </w:rPr>
      </w:pPr>
      <w:r>
        <w:rPr>
          <w:rFonts w:hint="eastAsia"/>
          <w:sz w:val="24"/>
        </w:rPr>
        <w:t>第十三条</w:t>
      </w:r>
      <w:r>
        <w:rPr>
          <w:rFonts w:hint="eastAsia"/>
          <w:sz w:val="24"/>
        </w:rPr>
        <w:t xml:space="preserve">  </w:t>
      </w:r>
      <w:r>
        <w:rPr>
          <w:rFonts w:hint="eastAsia"/>
          <w:sz w:val="24"/>
        </w:rPr>
        <w:t>公司为关联人提供担保的，不论数额大小，均应当在董事会审议通过后及时披露，并提交股东会审议。</w:t>
      </w:r>
    </w:p>
    <w:p w14:paraId="4D7B519C" w14:textId="77777777" w:rsidR="00C90E60" w:rsidRDefault="00000000">
      <w:pPr>
        <w:spacing w:line="360" w:lineRule="auto"/>
        <w:ind w:firstLineChars="200" w:firstLine="480"/>
        <w:rPr>
          <w:sz w:val="24"/>
        </w:rPr>
      </w:pPr>
      <w:r>
        <w:rPr>
          <w:rFonts w:hint="eastAsia"/>
          <w:sz w:val="24"/>
        </w:rPr>
        <w:t>第十四条</w:t>
      </w:r>
      <w:r>
        <w:rPr>
          <w:rFonts w:hint="eastAsia"/>
          <w:sz w:val="24"/>
        </w:rPr>
        <w:t xml:space="preserve"> </w:t>
      </w:r>
      <w:r>
        <w:rPr>
          <w:sz w:val="24"/>
        </w:rPr>
        <w:t xml:space="preserve"> </w:t>
      </w:r>
      <w:r>
        <w:rPr>
          <w:rFonts w:hint="eastAsia"/>
          <w:sz w:val="24"/>
        </w:rPr>
        <w:t>关联交易涉及提供财务资助、委托理财等事项时，应当以发生额作为计算标准，并按交易事项的类型在连续十二个月内累计计算；经累计计算达到本章标准的，适用本章规定。若单项交易已按照本章规定履行相关义务的，不再纳入相关的累计计算范围。</w:t>
      </w:r>
    </w:p>
    <w:p w14:paraId="0EF6B8E6" w14:textId="77777777" w:rsidR="00C90E60" w:rsidRDefault="00000000">
      <w:pPr>
        <w:spacing w:line="360" w:lineRule="auto"/>
        <w:ind w:firstLineChars="200" w:firstLine="480"/>
        <w:rPr>
          <w:sz w:val="24"/>
        </w:rPr>
      </w:pPr>
      <w:r>
        <w:rPr>
          <w:rFonts w:hint="eastAsia"/>
          <w:sz w:val="24"/>
        </w:rPr>
        <w:t>第十五条</w:t>
      </w:r>
      <w:r>
        <w:rPr>
          <w:rFonts w:hint="eastAsia"/>
          <w:sz w:val="24"/>
        </w:rPr>
        <w:t xml:space="preserve"> </w:t>
      </w:r>
      <w:r>
        <w:rPr>
          <w:sz w:val="24"/>
        </w:rPr>
        <w:t xml:space="preserve"> </w:t>
      </w:r>
      <w:r>
        <w:rPr>
          <w:rFonts w:hint="eastAsia"/>
          <w:sz w:val="24"/>
        </w:rPr>
        <w:t>公司在连续十二个月内发生的以下关联交易，应当按照累计计算的原则适用本制度：</w:t>
      </w:r>
    </w:p>
    <w:p w14:paraId="2A200042" w14:textId="77777777" w:rsidR="00C90E60" w:rsidRDefault="00000000">
      <w:pPr>
        <w:spacing w:line="360" w:lineRule="auto"/>
        <w:ind w:firstLineChars="200" w:firstLine="480"/>
        <w:rPr>
          <w:sz w:val="24"/>
        </w:rPr>
      </w:pPr>
      <w:r>
        <w:rPr>
          <w:rFonts w:hint="eastAsia"/>
          <w:sz w:val="24"/>
        </w:rPr>
        <w:t>（一）与同一关联人进行的交易；</w:t>
      </w:r>
    </w:p>
    <w:p w14:paraId="28B6C05D" w14:textId="77777777" w:rsidR="00C90E60" w:rsidRDefault="00000000">
      <w:pPr>
        <w:spacing w:line="360" w:lineRule="auto"/>
        <w:ind w:firstLineChars="200" w:firstLine="480"/>
        <w:rPr>
          <w:sz w:val="24"/>
        </w:rPr>
      </w:pPr>
      <w:r>
        <w:rPr>
          <w:rFonts w:hint="eastAsia"/>
          <w:sz w:val="24"/>
        </w:rPr>
        <w:t>（二）与不同关联人进行的与同一交易标的相关的交易。</w:t>
      </w:r>
    </w:p>
    <w:p w14:paraId="05FE8834" w14:textId="77777777" w:rsidR="00C90E60" w:rsidRDefault="00000000">
      <w:pPr>
        <w:spacing w:line="360" w:lineRule="auto"/>
        <w:ind w:firstLineChars="200" w:firstLine="480"/>
        <w:rPr>
          <w:sz w:val="24"/>
        </w:rPr>
      </w:pPr>
      <w:r>
        <w:rPr>
          <w:rFonts w:hint="eastAsia"/>
          <w:sz w:val="24"/>
        </w:rPr>
        <w:t>上述同一关联人包括与该关联人受同一主体控制或者相互存在股权控制关系的其他关联人。已经按照规定履行相关义务的，不再纳入相关的累计计算范围。</w:t>
      </w:r>
    </w:p>
    <w:p w14:paraId="10BBF342" w14:textId="77777777" w:rsidR="00C90E60" w:rsidRDefault="00000000">
      <w:pPr>
        <w:spacing w:line="360" w:lineRule="auto"/>
        <w:ind w:firstLineChars="200" w:firstLine="480"/>
        <w:rPr>
          <w:rFonts w:cs="宋体"/>
          <w:sz w:val="24"/>
        </w:rPr>
      </w:pPr>
      <w:r>
        <w:rPr>
          <w:rFonts w:hint="eastAsia"/>
          <w:sz w:val="24"/>
        </w:rPr>
        <w:t>第十六条</w:t>
      </w:r>
      <w:r>
        <w:rPr>
          <w:rFonts w:hint="eastAsia"/>
          <w:sz w:val="24"/>
        </w:rPr>
        <w:t xml:space="preserve"> </w:t>
      </w:r>
      <w:r>
        <w:rPr>
          <w:sz w:val="24"/>
        </w:rPr>
        <w:t xml:space="preserve"> </w:t>
      </w:r>
      <w:r>
        <w:rPr>
          <w:rFonts w:cs="宋体"/>
          <w:sz w:val="24"/>
        </w:rPr>
        <w:t>公司不得为本</w:t>
      </w:r>
      <w:r>
        <w:rPr>
          <w:rFonts w:cs="宋体" w:hint="eastAsia"/>
          <w:sz w:val="24"/>
        </w:rPr>
        <w:t>制度第五、六、七</w:t>
      </w:r>
      <w:r>
        <w:rPr>
          <w:rFonts w:cs="宋体"/>
          <w:sz w:val="24"/>
        </w:rPr>
        <w:t>条规定的关联人提供财务资助，但向关联参股公司（不包括由公司控股股东、实际控制人控制的主体）提供财务资助，且该参股公司的其他股东按出资比例提供同等条件财务资助的情形除外。</w:t>
      </w:r>
    </w:p>
    <w:p w14:paraId="156FDF94" w14:textId="77777777" w:rsidR="00C90E60" w:rsidRDefault="00000000">
      <w:pPr>
        <w:spacing w:line="360" w:lineRule="auto"/>
        <w:ind w:firstLineChars="200" w:firstLine="480"/>
        <w:rPr>
          <w:rFonts w:cs="宋体"/>
          <w:sz w:val="24"/>
        </w:rPr>
      </w:pPr>
      <w:r>
        <w:rPr>
          <w:rFonts w:cs="宋体"/>
          <w:sz w:val="24"/>
        </w:rPr>
        <w:t>公司向前款规定的关联参股公司提供财务资助的，除应当经全体非关联董事的过半数审议通过外，还应当经出席董事会会议的非关联董事的三分之二以上董事审议通过，并提交股东会审议。</w:t>
      </w:r>
    </w:p>
    <w:p w14:paraId="7FE0F7DE" w14:textId="77777777" w:rsidR="00C90E60" w:rsidRDefault="00000000">
      <w:pPr>
        <w:spacing w:line="360" w:lineRule="auto"/>
        <w:ind w:firstLineChars="200" w:firstLine="480"/>
        <w:rPr>
          <w:rFonts w:cs="宋体"/>
          <w:sz w:val="24"/>
        </w:rPr>
      </w:pPr>
      <w:r>
        <w:rPr>
          <w:rFonts w:cs="宋体"/>
          <w:sz w:val="24"/>
        </w:rPr>
        <w:t>本条所称关联参股公司，是指由公司</w:t>
      </w:r>
      <w:proofErr w:type="gramStart"/>
      <w:r>
        <w:rPr>
          <w:rFonts w:cs="宋体"/>
          <w:sz w:val="24"/>
        </w:rPr>
        <w:t>参股且</w:t>
      </w:r>
      <w:proofErr w:type="gramEnd"/>
      <w:r>
        <w:rPr>
          <w:rFonts w:cs="宋体"/>
          <w:sz w:val="24"/>
        </w:rPr>
        <w:t>属于本</w:t>
      </w:r>
      <w:r>
        <w:rPr>
          <w:rFonts w:cs="宋体" w:hint="eastAsia"/>
          <w:sz w:val="24"/>
        </w:rPr>
        <w:t>制度第五、六、七</w:t>
      </w:r>
      <w:r>
        <w:rPr>
          <w:rFonts w:cs="宋体"/>
          <w:sz w:val="24"/>
        </w:rPr>
        <w:t>条规定的公司的关联法人（或者其他组织）。</w:t>
      </w:r>
    </w:p>
    <w:p w14:paraId="74920E4F" w14:textId="77777777" w:rsidR="00C90E60" w:rsidRDefault="00000000">
      <w:pPr>
        <w:spacing w:line="360" w:lineRule="auto"/>
        <w:ind w:firstLineChars="200" w:firstLine="480"/>
        <w:rPr>
          <w:rFonts w:cs="宋体"/>
          <w:sz w:val="24"/>
        </w:rPr>
      </w:pPr>
      <w:r>
        <w:rPr>
          <w:rFonts w:cs="宋体" w:hint="eastAsia"/>
          <w:sz w:val="24"/>
        </w:rPr>
        <w:lastRenderedPageBreak/>
        <w:t>第十七条</w:t>
      </w:r>
      <w:r>
        <w:rPr>
          <w:rFonts w:cs="宋体" w:hint="eastAsia"/>
          <w:sz w:val="24"/>
        </w:rPr>
        <w:t xml:space="preserve"> </w:t>
      </w:r>
      <w:r>
        <w:rPr>
          <w:rFonts w:cs="宋体"/>
          <w:sz w:val="24"/>
        </w:rPr>
        <w:t xml:space="preserve"> </w:t>
      </w:r>
      <w:r>
        <w:rPr>
          <w:rFonts w:cs="宋体"/>
          <w:sz w:val="24"/>
        </w:rPr>
        <w:t>公司为关联人提供担保的，除应当经全体非关联董事的过半数审议通过外，还应当经出席董事会会议的非关联董事的三分之二以上董事审议同意并</w:t>
      </w:r>
      <w:proofErr w:type="gramStart"/>
      <w:r>
        <w:rPr>
          <w:rFonts w:cs="宋体"/>
          <w:sz w:val="24"/>
        </w:rPr>
        <w:t>作出</w:t>
      </w:r>
      <w:proofErr w:type="gramEnd"/>
      <w:r>
        <w:rPr>
          <w:rFonts w:cs="宋体"/>
          <w:sz w:val="24"/>
        </w:rPr>
        <w:t>决议，并提交股东会审议。公司为控股股东、实际控制人及其关联人提供担保的，控股股东、实际控制人及其关联人应当提供反担保。</w:t>
      </w:r>
    </w:p>
    <w:p w14:paraId="223BE6E9" w14:textId="77777777" w:rsidR="00C90E60" w:rsidRDefault="00000000">
      <w:pPr>
        <w:spacing w:line="360" w:lineRule="auto"/>
        <w:ind w:firstLineChars="200" w:firstLine="480"/>
        <w:rPr>
          <w:rFonts w:cs="宋体"/>
          <w:sz w:val="24"/>
        </w:rPr>
      </w:pPr>
      <w:r>
        <w:rPr>
          <w:rFonts w:cs="宋体"/>
          <w:sz w:val="24"/>
        </w:rPr>
        <w:t>公司因交易导致被担保方成为公司的关联人的，在实施该交易或者关联交易的同时，应当就存续的关联担保履行相应审议程序和信息披露义务。</w:t>
      </w:r>
    </w:p>
    <w:p w14:paraId="6F163602" w14:textId="77777777" w:rsidR="00C90E60" w:rsidRDefault="00000000">
      <w:pPr>
        <w:spacing w:line="360" w:lineRule="auto"/>
        <w:ind w:firstLineChars="200" w:firstLine="480"/>
        <w:rPr>
          <w:rFonts w:cs="宋体"/>
          <w:sz w:val="24"/>
        </w:rPr>
      </w:pPr>
      <w:r>
        <w:rPr>
          <w:rFonts w:cs="宋体"/>
          <w:sz w:val="24"/>
        </w:rPr>
        <w:t>董事会或者股东会</w:t>
      </w:r>
      <w:proofErr w:type="gramStart"/>
      <w:r>
        <w:rPr>
          <w:rFonts w:cs="宋体"/>
          <w:sz w:val="24"/>
        </w:rPr>
        <w:t>未审议</w:t>
      </w:r>
      <w:proofErr w:type="gramEnd"/>
      <w:r>
        <w:rPr>
          <w:rFonts w:cs="宋体"/>
          <w:sz w:val="24"/>
        </w:rPr>
        <w:t>通过前款规定的关联担保事项的，交易各方应当采取提前终止担保等有效措施。</w:t>
      </w:r>
    </w:p>
    <w:p w14:paraId="4222E1DD" w14:textId="77777777" w:rsidR="00C90E60" w:rsidRDefault="00000000" w:rsidP="00175AB1">
      <w:pPr>
        <w:pStyle w:val="ab"/>
        <w:spacing w:beforeLines="100" w:before="312" w:afterLines="100" w:after="312"/>
        <w:rPr>
          <w:rFonts w:ascii="Times New Roman" w:hAnsi="Times New Roman"/>
        </w:rPr>
      </w:pPr>
      <w:r>
        <w:rPr>
          <w:rFonts w:ascii="Times New Roman" w:hAnsi="Times New Roman"/>
        </w:rPr>
        <w:t>第四章</w:t>
      </w:r>
      <w:r>
        <w:rPr>
          <w:rFonts w:ascii="Times New Roman" w:hAnsi="Times New Roman"/>
        </w:rPr>
        <w:t xml:space="preserve">  </w:t>
      </w:r>
      <w:r>
        <w:rPr>
          <w:rFonts w:ascii="Times New Roman" w:hAnsi="Times New Roman"/>
        </w:rPr>
        <w:t>关联交易的程序与披露</w:t>
      </w:r>
    </w:p>
    <w:p w14:paraId="4F3FADEE" w14:textId="77777777" w:rsidR="00C90E60" w:rsidRDefault="00000000">
      <w:pPr>
        <w:spacing w:line="360" w:lineRule="auto"/>
        <w:ind w:firstLineChars="200" w:firstLine="480"/>
        <w:rPr>
          <w:sz w:val="24"/>
        </w:rPr>
      </w:pPr>
      <w:r>
        <w:rPr>
          <w:rFonts w:hint="eastAsia"/>
          <w:sz w:val="24"/>
        </w:rPr>
        <w:t>第十八条</w:t>
      </w:r>
      <w:r>
        <w:rPr>
          <w:rFonts w:hint="eastAsia"/>
          <w:sz w:val="24"/>
        </w:rPr>
        <w:t xml:space="preserve">  </w:t>
      </w:r>
      <w:r>
        <w:rPr>
          <w:rFonts w:hint="eastAsia"/>
          <w:sz w:val="24"/>
        </w:rPr>
        <w:t>公司董事会审议关联交易事项时，关联董事应当回避表决，也不得代理其他董事行使表决权，其表决权不计入表决权总数。该董事会会议由过半数的非关联董事出席即可举行，董事会会议所做决议须经非关联董事过半数通过。出席董事会的非关联董事人数不足三人的，公司应当将该交易提请股东会审议。</w:t>
      </w:r>
    </w:p>
    <w:p w14:paraId="59006AB6" w14:textId="77777777" w:rsidR="00C90E60" w:rsidRDefault="00000000">
      <w:pPr>
        <w:spacing w:line="360" w:lineRule="auto"/>
        <w:ind w:firstLineChars="200" w:firstLine="480"/>
        <w:rPr>
          <w:sz w:val="24"/>
        </w:rPr>
      </w:pPr>
      <w:r>
        <w:rPr>
          <w:rFonts w:hint="eastAsia"/>
          <w:sz w:val="24"/>
        </w:rPr>
        <w:t>前款所称关联董事包括下列董事或者具有下列情形之一的董事：</w:t>
      </w:r>
    </w:p>
    <w:p w14:paraId="000AAD80" w14:textId="77777777" w:rsidR="00C90E60" w:rsidRDefault="00000000">
      <w:pPr>
        <w:spacing w:line="360" w:lineRule="auto"/>
        <w:ind w:firstLineChars="200" w:firstLine="480"/>
        <w:rPr>
          <w:sz w:val="24"/>
        </w:rPr>
      </w:pPr>
      <w:r>
        <w:rPr>
          <w:rFonts w:hint="eastAsia"/>
          <w:sz w:val="24"/>
        </w:rPr>
        <w:t>（一）交易对方；</w:t>
      </w:r>
    </w:p>
    <w:p w14:paraId="34AEB1C3" w14:textId="77777777" w:rsidR="00C90E60" w:rsidRDefault="00000000">
      <w:pPr>
        <w:spacing w:line="360" w:lineRule="auto"/>
        <w:ind w:firstLineChars="200" w:firstLine="480"/>
        <w:rPr>
          <w:sz w:val="24"/>
        </w:rPr>
      </w:pPr>
      <w:r>
        <w:rPr>
          <w:rFonts w:hint="eastAsia"/>
          <w:sz w:val="24"/>
        </w:rPr>
        <w:t>（二）在交易对方任职，或在能直接或间接控制该交易对方的法人或其他组织、该交易对方直接或间接控制的法人或者其他组织任职；</w:t>
      </w:r>
    </w:p>
    <w:p w14:paraId="2CE64A67" w14:textId="77777777" w:rsidR="00C90E60" w:rsidRDefault="00000000">
      <w:pPr>
        <w:spacing w:line="360" w:lineRule="auto"/>
        <w:ind w:firstLineChars="200" w:firstLine="480"/>
        <w:rPr>
          <w:sz w:val="24"/>
        </w:rPr>
      </w:pPr>
      <w:r>
        <w:rPr>
          <w:rFonts w:hint="eastAsia"/>
          <w:sz w:val="24"/>
        </w:rPr>
        <w:t>（三）拥有交易对方的直接或间接控制权的；</w:t>
      </w:r>
    </w:p>
    <w:p w14:paraId="19C11A40" w14:textId="77777777" w:rsidR="00C90E60" w:rsidRDefault="00000000">
      <w:pPr>
        <w:spacing w:line="360" w:lineRule="auto"/>
        <w:ind w:firstLineChars="200" w:firstLine="480"/>
        <w:rPr>
          <w:sz w:val="24"/>
        </w:rPr>
      </w:pPr>
      <w:r>
        <w:rPr>
          <w:rFonts w:hint="eastAsia"/>
          <w:sz w:val="24"/>
        </w:rPr>
        <w:t>（四）交易对方或者其直接或间接控制人的关系密切的家庭成员（具体范围参见本制度第六条第（四）项的规定）；</w:t>
      </w:r>
    </w:p>
    <w:p w14:paraId="2018D202" w14:textId="77777777" w:rsidR="00C90E60" w:rsidRDefault="00000000">
      <w:pPr>
        <w:spacing w:line="360" w:lineRule="auto"/>
        <w:ind w:firstLineChars="200" w:firstLine="480"/>
        <w:rPr>
          <w:sz w:val="24"/>
        </w:rPr>
      </w:pPr>
      <w:r>
        <w:rPr>
          <w:rFonts w:hint="eastAsia"/>
          <w:sz w:val="24"/>
        </w:rPr>
        <w:t>（五）交易对方或者其直接或间接控制人的董事、高级管理人员的关系密切的家庭成员（具体范围参见本制度第六条第（四）项的规定）；</w:t>
      </w:r>
    </w:p>
    <w:p w14:paraId="733D5883" w14:textId="77777777" w:rsidR="00C90E60" w:rsidRDefault="00000000">
      <w:pPr>
        <w:spacing w:line="360" w:lineRule="auto"/>
        <w:ind w:firstLineChars="200" w:firstLine="480"/>
        <w:rPr>
          <w:sz w:val="24"/>
        </w:rPr>
      </w:pPr>
      <w:r>
        <w:rPr>
          <w:rFonts w:hint="eastAsia"/>
          <w:sz w:val="24"/>
        </w:rPr>
        <w:t>（六）中国证监会、深圳证券交易所或者公司认定的因其他原因使其独立的商业判断可能受到影响的人士。</w:t>
      </w:r>
    </w:p>
    <w:p w14:paraId="137985DD" w14:textId="77777777" w:rsidR="00C90E60" w:rsidRDefault="00000000">
      <w:pPr>
        <w:spacing w:line="360" w:lineRule="auto"/>
        <w:ind w:firstLineChars="200" w:firstLine="480"/>
        <w:rPr>
          <w:sz w:val="24"/>
        </w:rPr>
      </w:pPr>
      <w:r>
        <w:rPr>
          <w:rFonts w:hint="eastAsia"/>
          <w:sz w:val="24"/>
        </w:rPr>
        <w:t>第十九条</w:t>
      </w:r>
      <w:r>
        <w:rPr>
          <w:sz w:val="24"/>
        </w:rPr>
        <w:t xml:space="preserve">  </w:t>
      </w:r>
      <w:r>
        <w:rPr>
          <w:rFonts w:hint="eastAsia"/>
          <w:sz w:val="24"/>
        </w:rPr>
        <w:t>公司股东会审议关联交易事项时，下列股东应当回避表决，并且不得代理其他股东行使表决权：</w:t>
      </w:r>
    </w:p>
    <w:p w14:paraId="381134E5" w14:textId="77777777" w:rsidR="00C90E60" w:rsidRDefault="00000000">
      <w:pPr>
        <w:spacing w:line="360" w:lineRule="auto"/>
        <w:ind w:firstLineChars="200" w:firstLine="480"/>
        <w:rPr>
          <w:sz w:val="24"/>
        </w:rPr>
      </w:pPr>
      <w:r>
        <w:rPr>
          <w:rFonts w:hint="eastAsia"/>
          <w:sz w:val="24"/>
        </w:rPr>
        <w:t>（一）交易对方；</w:t>
      </w:r>
    </w:p>
    <w:p w14:paraId="07270538" w14:textId="77777777" w:rsidR="00C90E60" w:rsidRDefault="00000000">
      <w:pPr>
        <w:spacing w:line="360" w:lineRule="auto"/>
        <w:ind w:firstLineChars="200" w:firstLine="480"/>
        <w:rPr>
          <w:sz w:val="24"/>
        </w:rPr>
      </w:pPr>
      <w:r>
        <w:rPr>
          <w:rFonts w:hint="eastAsia"/>
          <w:sz w:val="24"/>
        </w:rPr>
        <w:lastRenderedPageBreak/>
        <w:t>（二）拥有交易对方直接或间接控制权的；</w:t>
      </w:r>
    </w:p>
    <w:p w14:paraId="7EFFE884" w14:textId="77777777" w:rsidR="00C90E60" w:rsidRDefault="00000000">
      <w:pPr>
        <w:spacing w:line="360" w:lineRule="auto"/>
        <w:ind w:firstLineChars="200" w:firstLine="480"/>
        <w:rPr>
          <w:sz w:val="24"/>
        </w:rPr>
      </w:pPr>
      <w:r>
        <w:rPr>
          <w:rFonts w:hint="eastAsia"/>
          <w:sz w:val="24"/>
        </w:rPr>
        <w:t>（三）被交易对方直接或间接控制的；</w:t>
      </w:r>
    </w:p>
    <w:p w14:paraId="3A88127B" w14:textId="77777777" w:rsidR="00C90E60" w:rsidRDefault="00000000">
      <w:pPr>
        <w:spacing w:line="360" w:lineRule="auto"/>
        <w:ind w:firstLineChars="200" w:firstLine="480"/>
        <w:rPr>
          <w:sz w:val="24"/>
        </w:rPr>
      </w:pPr>
      <w:r>
        <w:rPr>
          <w:rFonts w:hint="eastAsia"/>
          <w:sz w:val="24"/>
        </w:rPr>
        <w:t>（四）与交易对方受同一法人（或者其他组织）或自然人直接或间接控制的；</w:t>
      </w:r>
    </w:p>
    <w:p w14:paraId="1139BC59" w14:textId="77777777" w:rsidR="00C90E60" w:rsidRDefault="00000000">
      <w:pPr>
        <w:spacing w:line="360" w:lineRule="auto"/>
        <w:ind w:firstLineChars="200" w:firstLine="480"/>
        <w:rPr>
          <w:sz w:val="24"/>
        </w:rPr>
      </w:pPr>
      <w:r>
        <w:rPr>
          <w:rFonts w:hint="eastAsia"/>
          <w:sz w:val="24"/>
        </w:rPr>
        <w:t>（五）在交易对方任职，或者在能直接或间接控制该交易对方的法人单位或者该交易对方直接或间接控制的法人（或者其他组织）任职的（适用于股东为自然人的）；</w:t>
      </w:r>
    </w:p>
    <w:p w14:paraId="6EFB56A1" w14:textId="77777777" w:rsidR="00C90E60" w:rsidRDefault="00000000">
      <w:pPr>
        <w:spacing w:line="360" w:lineRule="auto"/>
        <w:ind w:firstLineChars="200" w:firstLine="480"/>
        <w:rPr>
          <w:sz w:val="24"/>
        </w:rPr>
      </w:pPr>
      <w:r>
        <w:rPr>
          <w:rFonts w:hint="eastAsia"/>
          <w:sz w:val="24"/>
        </w:rPr>
        <w:t>（六）交易对方及其直接、间接控制人的关系密切的家庭成员；</w:t>
      </w:r>
    </w:p>
    <w:p w14:paraId="3B375673" w14:textId="77777777" w:rsidR="00C90E60" w:rsidRDefault="00000000">
      <w:pPr>
        <w:spacing w:line="360" w:lineRule="auto"/>
        <w:ind w:firstLineChars="200" w:firstLine="480"/>
        <w:rPr>
          <w:sz w:val="24"/>
        </w:rPr>
      </w:pPr>
      <w:r>
        <w:rPr>
          <w:rFonts w:hint="eastAsia"/>
          <w:sz w:val="24"/>
        </w:rPr>
        <w:t>（七）因与交易对方或者其关联人存在尚未履行完毕的股权转让协议或者其他协议而使其表决权受到限制或者影响的；</w:t>
      </w:r>
    </w:p>
    <w:p w14:paraId="54FC4C46" w14:textId="77777777" w:rsidR="00C90E60" w:rsidRDefault="00000000">
      <w:pPr>
        <w:spacing w:line="360" w:lineRule="auto"/>
        <w:ind w:firstLineChars="200" w:firstLine="480"/>
        <w:rPr>
          <w:sz w:val="24"/>
        </w:rPr>
      </w:pPr>
      <w:r>
        <w:rPr>
          <w:rFonts w:hint="eastAsia"/>
          <w:sz w:val="24"/>
        </w:rPr>
        <w:t>（八）中国证监会、深圳证券交易所认定的可能造成公司对其利益倾斜的股东。</w:t>
      </w:r>
    </w:p>
    <w:p w14:paraId="6E06F2BE" w14:textId="77777777" w:rsidR="00C90E60" w:rsidRDefault="00000000">
      <w:pPr>
        <w:spacing w:line="360" w:lineRule="auto"/>
        <w:ind w:firstLineChars="200" w:firstLine="480"/>
        <w:rPr>
          <w:sz w:val="24"/>
        </w:rPr>
      </w:pPr>
      <w:r>
        <w:rPr>
          <w:rFonts w:hint="eastAsia"/>
          <w:sz w:val="24"/>
        </w:rPr>
        <w:t>第二十条</w:t>
      </w:r>
      <w:r>
        <w:rPr>
          <w:sz w:val="24"/>
        </w:rPr>
        <w:t xml:space="preserve">  </w:t>
      </w:r>
      <w:r>
        <w:rPr>
          <w:rFonts w:hint="eastAsia"/>
          <w:sz w:val="24"/>
        </w:rPr>
        <w:t>股东会审议关联交易事项，须经出席股东会的非关联股东所持表决权的</w:t>
      </w:r>
      <w:r>
        <w:rPr>
          <w:sz w:val="24"/>
        </w:rPr>
        <w:t>1/2</w:t>
      </w:r>
      <w:r>
        <w:rPr>
          <w:rFonts w:hint="eastAsia"/>
          <w:sz w:val="24"/>
        </w:rPr>
        <w:t>以上通过，但若该关联交易事项涉及《公司章程》中规定的特别决议事项时，股东会决议须经出席股东会的非关联股东所持表决权的</w:t>
      </w:r>
      <w:r>
        <w:rPr>
          <w:sz w:val="24"/>
        </w:rPr>
        <w:t>2/3</w:t>
      </w:r>
      <w:r>
        <w:rPr>
          <w:rFonts w:hint="eastAsia"/>
          <w:sz w:val="24"/>
        </w:rPr>
        <w:t>以上通过。</w:t>
      </w:r>
    </w:p>
    <w:p w14:paraId="1B9B50A5" w14:textId="77777777" w:rsidR="00C90E60" w:rsidRDefault="00000000">
      <w:pPr>
        <w:spacing w:line="360" w:lineRule="auto"/>
        <w:ind w:firstLineChars="200" w:firstLine="480"/>
        <w:rPr>
          <w:sz w:val="24"/>
        </w:rPr>
      </w:pPr>
      <w:r>
        <w:rPr>
          <w:rFonts w:hint="eastAsia"/>
          <w:sz w:val="24"/>
        </w:rPr>
        <w:t>第二十一条</w:t>
      </w:r>
      <w:r>
        <w:rPr>
          <w:rFonts w:hint="eastAsia"/>
          <w:sz w:val="24"/>
        </w:rPr>
        <w:t xml:space="preserve"> </w:t>
      </w:r>
      <w:r>
        <w:rPr>
          <w:sz w:val="24"/>
        </w:rPr>
        <w:t xml:space="preserve"> </w:t>
      </w:r>
      <w:r>
        <w:rPr>
          <w:rFonts w:hint="eastAsia"/>
          <w:sz w:val="24"/>
        </w:rPr>
        <w:t>公司不得以下列方式将资金直接或间接地提供给控股股东及其他关联方使用：</w:t>
      </w:r>
    </w:p>
    <w:p w14:paraId="307199E4" w14:textId="77777777" w:rsidR="00C90E60" w:rsidRDefault="00000000">
      <w:pPr>
        <w:spacing w:line="360" w:lineRule="auto"/>
        <w:ind w:firstLineChars="200" w:firstLine="480"/>
        <w:rPr>
          <w:sz w:val="24"/>
        </w:rPr>
      </w:pPr>
      <w:r>
        <w:rPr>
          <w:rFonts w:hint="eastAsia"/>
          <w:sz w:val="24"/>
        </w:rPr>
        <w:t>（一）有偿或无偿地拆借公司的资金给控股股东及其他关联方使用；</w:t>
      </w:r>
    </w:p>
    <w:p w14:paraId="11299267" w14:textId="77777777" w:rsidR="00C90E60" w:rsidRDefault="00000000">
      <w:pPr>
        <w:spacing w:line="360" w:lineRule="auto"/>
        <w:ind w:firstLineChars="200" w:firstLine="480"/>
        <w:rPr>
          <w:sz w:val="24"/>
        </w:rPr>
      </w:pPr>
      <w:r>
        <w:rPr>
          <w:rFonts w:hint="eastAsia"/>
          <w:sz w:val="24"/>
        </w:rPr>
        <w:t>（二）通过银行或非银行金融机构向控股股东及其他关联方提供委托贷款；</w:t>
      </w:r>
    </w:p>
    <w:p w14:paraId="02E23357" w14:textId="77777777" w:rsidR="00C90E60" w:rsidRDefault="00000000">
      <w:pPr>
        <w:spacing w:line="360" w:lineRule="auto"/>
        <w:ind w:firstLineChars="200" w:firstLine="480"/>
        <w:rPr>
          <w:sz w:val="24"/>
        </w:rPr>
      </w:pPr>
      <w:r>
        <w:rPr>
          <w:rFonts w:hint="eastAsia"/>
          <w:sz w:val="24"/>
        </w:rPr>
        <w:t>（三）委托控股股东及其他关联方进行投资活动；</w:t>
      </w:r>
    </w:p>
    <w:p w14:paraId="3AD853BE" w14:textId="77777777" w:rsidR="00C90E60" w:rsidRDefault="00000000">
      <w:pPr>
        <w:spacing w:line="360" w:lineRule="auto"/>
        <w:ind w:firstLineChars="200" w:firstLine="480"/>
        <w:rPr>
          <w:sz w:val="24"/>
        </w:rPr>
      </w:pPr>
      <w:r>
        <w:rPr>
          <w:rFonts w:hint="eastAsia"/>
          <w:sz w:val="24"/>
        </w:rPr>
        <w:t>（四）为控股股东及其他关联方开具没有真实交易背景的商业承兑汇票；</w:t>
      </w:r>
    </w:p>
    <w:p w14:paraId="18117047" w14:textId="77777777" w:rsidR="00C90E60" w:rsidRDefault="00000000">
      <w:pPr>
        <w:spacing w:line="360" w:lineRule="auto"/>
        <w:ind w:firstLineChars="200" w:firstLine="480"/>
        <w:rPr>
          <w:sz w:val="24"/>
        </w:rPr>
      </w:pPr>
      <w:r>
        <w:rPr>
          <w:rFonts w:hint="eastAsia"/>
          <w:sz w:val="24"/>
        </w:rPr>
        <w:t>（五）代控股股东及其他关联方偿还债务；</w:t>
      </w:r>
    </w:p>
    <w:p w14:paraId="700D0C83" w14:textId="77777777" w:rsidR="00C90E60" w:rsidRDefault="00000000">
      <w:pPr>
        <w:spacing w:line="360" w:lineRule="auto"/>
        <w:ind w:firstLineChars="200" w:firstLine="480"/>
        <w:rPr>
          <w:sz w:val="24"/>
        </w:rPr>
      </w:pPr>
      <w:r>
        <w:rPr>
          <w:rFonts w:hint="eastAsia"/>
          <w:sz w:val="24"/>
        </w:rPr>
        <w:t>（六）相关监管机构认定的其他方式。</w:t>
      </w:r>
    </w:p>
    <w:p w14:paraId="3FA5EAB0" w14:textId="77777777" w:rsidR="00C90E60" w:rsidRDefault="00000000">
      <w:pPr>
        <w:spacing w:line="360" w:lineRule="auto"/>
        <w:ind w:firstLineChars="200" w:firstLine="480"/>
        <w:rPr>
          <w:sz w:val="24"/>
        </w:rPr>
      </w:pPr>
      <w:r>
        <w:rPr>
          <w:rFonts w:hint="eastAsia"/>
          <w:sz w:val="24"/>
        </w:rPr>
        <w:t>第二十二条</w:t>
      </w:r>
      <w:r>
        <w:rPr>
          <w:sz w:val="24"/>
        </w:rPr>
        <w:t xml:space="preserve">  </w:t>
      </w:r>
      <w:r>
        <w:rPr>
          <w:rFonts w:hint="eastAsia"/>
          <w:sz w:val="24"/>
        </w:rPr>
        <w:t>公司披露关联交易事项时，应当按照《上市规则》等有关规定，向深圳证券交易所提交文件并公告。</w:t>
      </w:r>
    </w:p>
    <w:p w14:paraId="5B292765" w14:textId="77777777" w:rsidR="00C90E60" w:rsidRDefault="00000000">
      <w:pPr>
        <w:spacing w:line="360" w:lineRule="auto"/>
        <w:ind w:firstLineChars="200" w:firstLine="480"/>
        <w:rPr>
          <w:sz w:val="24"/>
        </w:rPr>
      </w:pPr>
      <w:r>
        <w:rPr>
          <w:rFonts w:hint="eastAsia"/>
          <w:sz w:val="24"/>
        </w:rPr>
        <w:t>第二十三条</w:t>
      </w:r>
      <w:r>
        <w:rPr>
          <w:sz w:val="24"/>
        </w:rPr>
        <w:t xml:space="preserve">  </w:t>
      </w:r>
      <w:r>
        <w:rPr>
          <w:rFonts w:hint="eastAsia"/>
          <w:sz w:val="24"/>
        </w:rPr>
        <w:t>公司与关联人进行本制度第三条第（十二）至第（十六）项所列的与日常经营相关的关联交易事项，应当按照下述规定进行披露并履行相应审议程序：</w:t>
      </w:r>
    </w:p>
    <w:p w14:paraId="54D93624" w14:textId="77777777" w:rsidR="00C90E60" w:rsidRDefault="00000000">
      <w:pPr>
        <w:spacing w:line="360" w:lineRule="auto"/>
        <w:ind w:firstLineChars="200" w:firstLine="480"/>
        <w:rPr>
          <w:sz w:val="24"/>
        </w:rPr>
      </w:pPr>
      <w:r>
        <w:rPr>
          <w:rFonts w:hint="eastAsia"/>
          <w:sz w:val="24"/>
        </w:rPr>
        <w:t>（一）首次发生的日常关联交易，公司应当根据协议涉及的交易金额，履行审议程序并及时披露；协议没有具体交易金额的，应当提交股东会审议。</w:t>
      </w:r>
    </w:p>
    <w:p w14:paraId="2BFEE4DC" w14:textId="77777777" w:rsidR="00C90E60" w:rsidRDefault="00000000">
      <w:pPr>
        <w:spacing w:line="360" w:lineRule="auto"/>
        <w:ind w:firstLineChars="200" w:firstLine="480"/>
        <w:rPr>
          <w:sz w:val="24"/>
        </w:rPr>
      </w:pPr>
      <w:r>
        <w:rPr>
          <w:rFonts w:hint="eastAsia"/>
          <w:sz w:val="24"/>
        </w:rPr>
        <w:t>（二）实际执行</w:t>
      </w:r>
      <w:proofErr w:type="gramStart"/>
      <w:r>
        <w:rPr>
          <w:rFonts w:hint="eastAsia"/>
          <w:sz w:val="24"/>
        </w:rPr>
        <w:t>时协议</w:t>
      </w:r>
      <w:proofErr w:type="gramEnd"/>
      <w:r>
        <w:rPr>
          <w:rFonts w:hint="eastAsia"/>
          <w:sz w:val="24"/>
        </w:rPr>
        <w:t>主要条款发生重大变化或者协议期满需要续签的，公司应当根据新修订或者续签协议涉及交易金额为准，履行审议程序并及时披露。</w:t>
      </w:r>
    </w:p>
    <w:p w14:paraId="6C9EA755" w14:textId="77777777" w:rsidR="00C90E60" w:rsidRDefault="00000000">
      <w:pPr>
        <w:spacing w:line="360" w:lineRule="auto"/>
        <w:ind w:firstLineChars="200" w:firstLine="480"/>
        <w:rPr>
          <w:sz w:val="24"/>
        </w:rPr>
      </w:pPr>
      <w:r>
        <w:rPr>
          <w:rFonts w:hint="eastAsia"/>
          <w:sz w:val="24"/>
        </w:rPr>
        <w:t>（三）对于每年发生的数量众多的日常关联交易，因需要经常订立新的日常关联交</w:t>
      </w:r>
      <w:r>
        <w:rPr>
          <w:rFonts w:hint="eastAsia"/>
          <w:sz w:val="24"/>
        </w:rPr>
        <w:lastRenderedPageBreak/>
        <w:t>易协议而难以按照本条第（一）项规定将每份协议提交董事会或者股东会审议的，公司可以按类别合理预计日常关联交易年度金额，履行审议程序并及时披露；实际执行超出预计金额的，公司应当以超出金额为准及时履行审议程序并披露。</w:t>
      </w:r>
    </w:p>
    <w:p w14:paraId="1D8658CC" w14:textId="77777777" w:rsidR="00C90E60" w:rsidRDefault="00000000">
      <w:pPr>
        <w:spacing w:line="360" w:lineRule="auto"/>
        <w:ind w:firstLineChars="200" w:firstLine="480"/>
        <w:rPr>
          <w:sz w:val="24"/>
        </w:rPr>
      </w:pPr>
      <w:r>
        <w:rPr>
          <w:rFonts w:hint="eastAsia"/>
          <w:sz w:val="24"/>
        </w:rPr>
        <w:t>公司应当在年度报告和半年度报告中分类汇总披露日常关联交易的实际履行情况。</w:t>
      </w:r>
    </w:p>
    <w:p w14:paraId="460959C2" w14:textId="77777777" w:rsidR="00C90E60" w:rsidRDefault="00000000">
      <w:pPr>
        <w:spacing w:line="360" w:lineRule="auto"/>
        <w:ind w:firstLineChars="200" w:firstLine="480"/>
        <w:rPr>
          <w:sz w:val="24"/>
        </w:rPr>
      </w:pPr>
      <w:r>
        <w:rPr>
          <w:rFonts w:hint="eastAsia"/>
          <w:sz w:val="24"/>
        </w:rPr>
        <w:t>第二十四条</w:t>
      </w:r>
      <w:r>
        <w:rPr>
          <w:sz w:val="24"/>
        </w:rPr>
        <w:t xml:space="preserve">  </w:t>
      </w:r>
      <w:r>
        <w:rPr>
          <w:rFonts w:hint="eastAsia"/>
          <w:sz w:val="24"/>
        </w:rPr>
        <w:t>日常关联交易协议至少应包括交易价格、定价原则和依据、交易总量或其确定方法、付款方式等主要条款。</w:t>
      </w:r>
    </w:p>
    <w:p w14:paraId="6FC54489" w14:textId="77777777" w:rsidR="00C90E60" w:rsidRDefault="00000000">
      <w:pPr>
        <w:spacing w:line="360" w:lineRule="auto"/>
        <w:ind w:firstLineChars="200" w:firstLine="480"/>
        <w:rPr>
          <w:sz w:val="24"/>
        </w:rPr>
      </w:pPr>
      <w:r>
        <w:rPr>
          <w:rFonts w:hint="eastAsia"/>
          <w:sz w:val="24"/>
        </w:rPr>
        <w:t>协议未确定具体交易价格而仅说明参考市场价格的，公司在按照本制度第十二条规定履行披露义务时，应当同时披露实际交易价格、市场价格及其确定方法、两种价格存在差异的原因。</w:t>
      </w:r>
    </w:p>
    <w:p w14:paraId="7DE32C88" w14:textId="77777777" w:rsidR="00C90E60" w:rsidRDefault="00000000">
      <w:pPr>
        <w:spacing w:line="360" w:lineRule="auto"/>
        <w:ind w:firstLineChars="200" w:firstLine="480"/>
        <w:rPr>
          <w:sz w:val="24"/>
        </w:rPr>
      </w:pPr>
      <w:r>
        <w:rPr>
          <w:rFonts w:hint="eastAsia"/>
          <w:sz w:val="24"/>
        </w:rPr>
        <w:t>第二十五条</w:t>
      </w:r>
      <w:r>
        <w:rPr>
          <w:sz w:val="24"/>
        </w:rPr>
        <w:t xml:space="preserve">  </w:t>
      </w:r>
      <w:r>
        <w:rPr>
          <w:rFonts w:hint="eastAsia"/>
          <w:sz w:val="24"/>
        </w:rPr>
        <w:t>公司与关联人签订日常关联交易协议的期限超过三年的，应当每三年根据本制度规定重新履行审议程序及披露义务。</w:t>
      </w:r>
    </w:p>
    <w:p w14:paraId="0F306BD9" w14:textId="77777777" w:rsidR="00C90E60" w:rsidRDefault="00000000">
      <w:pPr>
        <w:spacing w:line="360" w:lineRule="auto"/>
        <w:ind w:firstLineChars="200" w:firstLine="480"/>
        <w:rPr>
          <w:sz w:val="24"/>
        </w:rPr>
      </w:pPr>
      <w:r>
        <w:rPr>
          <w:rFonts w:hint="eastAsia"/>
          <w:sz w:val="24"/>
        </w:rPr>
        <w:t>第二十六条</w:t>
      </w:r>
      <w:r>
        <w:rPr>
          <w:rFonts w:hint="eastAsia"/>
          <w:sz w:val="24"/>
        </w:rPr>
        <w:t xml:space="preserve"> </w:t>
      </w:r>
      <w:r>
        <w:rPr>
          <w:sz w:val="24"/>
        </w:rPr>
        <w:t xml:space="preserve"> </w:t>
      </w:r>
      <w:r>
        <w:rPr>
          <w:rFonts w:hint="eastAsia"/>
          <w:sz w:val="24"/>
        </w:rPr>
        <w:t>公司与关联人发生的下列交易，应当按照本制度规定履行关联交易信息披露义务及审议程序，可以向深圳证券交易所申请豁免按照《上市规则》第</w:t>
      </w:r>
      <w:r>
        <w:rPr>
          <w:rFonts w:hint="eastAsia"/>
          <w:sz w:val="24"/>
        </w:rPr>
        <w:t>6.3.7</w:t>
      </w:r>
      <w:r>
        <w:rPr>
          <w:rFonts w:hint="eastAsia"/>
          <w:sz w:val="24"/>
        </w:rPr>
        <w:t>条的规定提交股东会审议：</w:t>
      </w:r>
    </w:p>
    <w:p w14:paraId="4FA622D9" w14:textId="77777777" w:rsidR="00C90E60" w:rsidRDefault="00000000">
      <w:pPr>
        <w:spacing w:line="360" w:lineRule="auto"/>
        <w:ind w:firstLineChars="200" w:firstLine="480"/>
        <w:rPr>
          <w:sz w:val="24"/>
        </w:rPr>
      </w:pPr>
      <w:r>
        <w:rPr>
          <w:rFonts w:hint="eastAsia"/>
          <w:sz w:val="24"/>
        </w:rPr>
        <w:t>（一）面向不特定对象的公开招标、公开拍卖或者挂牌的（不含邀标等受限方式），但招标、拍卖等难以形成公允价格的除外；</w:t>
      </w:r>
    </w:p>
    <w:p w14:paraId="3393AF75" w14:textId="77777777" w:rsidR="00C90E60" w:rsidRDefault="00000000">
      <w:pPr>
        <w:spacing w:line="360" w:lineRule="auto"/>
        <w:ind w:firstLineChars="200" w:firstLine="480"/>
        <w:rPr>
          <w:sz w:val="24"/>
        </w:rPr>
      </w:pPr>
      <w:r>
        <w:rPr>
          <w:rFonts w:hint="eastAsia"/>
          <w:sz w:val="24"/>
        </w:rPr>
        <w:t>（二）公司单方面获得利益且不支付对价、不附任何义务的交易，包括受赠现金资产、获得债务减免等；</w:t>
      </w:r>
    </w:p>
    <w:p w14:paraId="43BEE010" w14:textId="77777777" w:rsidR="00C90E60" w:rsidRDefault="00000000">
      <w:pPr>
        <w:spacing w:line="360" w:lineRule="auto"/>
        <w:ind w:firstLineChars="200" w:firstLine="480"/>
        <w:rPr>
          <w:sz w:val="24"/>
        </w:rPr>
      </w:pPr>
      <w:r>
        <w:rPr>
          <w:rFonts w:hint="eastAsia"/>
          <w:sz w:val="24"/>
        </w:rPr>
        <w:t>（三）关联交易定价由国家规定；</w:t>
      </w:r>
    </w:p>
    <w:p w14:paraId="0CA6A75F" w14:textId="77777777" w:rsidR="00C90E60" w:rsidRDefault="00000000">
      <w:pPr>
        <w:spacing w:line="360" w:lineRule="auto"/>
        <w:ind w:firstLineChars="200" w:firstLine="480"/>
        <w:rPr>
          <w:sz w:val="24"/>
        </w:rPr>
      </w:pPr>
      <w:r>
        <w:rPr>
          <w:rFonts w:hint="eastAsia"/>
          <w:sz w:val="24"/>
        </w:rPr>
        <w:t>（四）关联人向公司提供资金，利率不高于贷款市场报价利率，且公司无相应担保。</w:t>
      </w:r>
    </w:p>
    <w:p w14:paraId="706FAE04" w14:textId="77777777" w:rsidR="00C90E60" w:rsidRDefault="00000000">
      <w:pPr>
        <w:spacing w:line="360" w:lineRule="auto"/>
        <w:ind w:firstLineChars="200" w:firstLine="480"/>
        <w:rPr>
          <w:sz w:val="24"/>
        </w:rPr>
      </w:pPr>
      <w:r>
        <w:rPr>
          <w:rFonts w:hint="eastAsia"/>
          <w:sz w:val="24"/>
        </w:rPr>
        <w:t>第二十七条</w:t>
      </w:r>
      <w:r>
        <w:rPr>
          <w:sz w:val="24"/>
        </w:rPr>
        <w:t xml:space="preserve">  </w:t>
      </w:r>
      <w:r>
        <w:rPr>
          <w:rFonts w:hint="eastAsia"/>
          <w:sz w:val="24"/>
        </w:rPr>
        <w:t>公司与关联人达成以下关联交易时，可以免于按照本制度履行相关义务，但属于《上市规则》第六章第一节规定的应当履行披露义务和审议程序情形的仍应履行相关义务：</w:t>
      </w:r>
    </w:p>
    <w:p w14:paraId="0773CCBD" w14:textId="77777777" w:rsidR="00C90E60" w:rsidRDefault="00000000">
      <w:pPr>
        <w:spacing w:line="360" w:lineRule="auto"/>
        <w:ind w:firstLineChars="200" w:firstLine="480"/>
        <w:rPr>
          <w:sz w:val="24"/>
        </w:rPr>
      </w:pPr>
      <w:r>
        <w:rPr>
          <w:rFonts w:hint="eastAsia"/>
          <w:sz w:val="24"/>
        </w:rPr>
        <w:t>（一）一方以现金方式认购另一方向不特定对象发行的股票及其衍生品种、公司债券或企业债券，但提前确定的发行对象包含关联人的除外；</w:t>
      </w:r>
    </w:p>
    <w:p w14:paraId="008216C0" w14:textId="77777777" w:rsidR="00C90E60" w:rsidRDefault="00000000">
      <w:pPr>
        <w:spacing w:line="360" w:lineRule="auto"/>
        <w:ind w:firstLineChars="200" w:firstLine="480"/>
        <w:rPr>
          <w:sz w:val="24"/>
        </w:rPr>
      </w:pPr>
      <w:r>
        <w:rPr>
          <w:rFonts w:hint="eastAsia"/>
          <w:sz w:val="24"/>
        </w:rPr>
        <w:t>（二）一方作为承销团成员承销另一方向不特定对象发行的股票及其衍生品种、公司债券或企业债券；</w:t>
      </w:r>
    </w:p>
    <w:p w14:paraId="19AF7E0C" w14:textId="77777777" w:rsidR="00C90E60" w:rsidRDefault="00000000">
      <w:pPr>
        <w:spacing w:line="360" w:lineRule="auto"/>
        <w:ind w:firstLineChars="200" w:firstLine="480"/>
        <w:rPr>
          <w:sz w:val="24"/>
        </w:rPr>
      </w:pPr>
      <w:r>
        <w:rPr>
          <w:rFonts w:hint="eastAsia"/>
          <w:sz w:val="24"/>
        </w:rPr>
        <w:t>（三）一方依据另一方股东会决议领取股息、红利或者报酬；</w:t>
      </w:r>
    </w:p>
    <w:p w14:paraId="7C8351F9" w14:textId="77777777" w:rsidR="00C90E60" w:rsidRDefault="00000000">
      <w:pPr>
        <w:spacing w:line="360" w:lineRule="auto"/>
        <w:ind w:firstLineChars="200" w:firstLine="480"/>
        <w:rPr>
          <w:sz w:val="24"/>
        </w:rPr>
      </w:pPr>
      <w:r>
        <w:rPr>
          <w:rFonts w:hint="eastAsia"/>
          <w:sz w:val="24"/>
        </w:rPr>
        <w:t>（四）公司按与非关联人同等交易条件，向本制度第六条第（二）项至第（四）项</w:t>
      </w:r>
      <w:r>
        <w:rPr>
          <w:rFonts w:hint="eastAsia"/>
          <w:sz w:val="24"/>
        </w:rPr>
        <w:lastRenderedPageBreak/>
        <w:t>规定的关联自然人提供产品或服务。</w:t>
      </w:r>
    </w:p>
    <w:p w14:paraId="54ECAAF7" w14:textId="77777777" w:rsidR="00C90E60" w:rsidRDefault="00000000">
      <w:pPr>
        <w:spacing w:line="360" w:lineRule="auto"/>
        <w:ind w:firstLineChars="200" w:firstLine="480"/>
        <w:rPr>
          <w:sz w:val="24"/>
        </w:rPr>
      </w:pPr>
      <w:r>
        <w:rPr>
          <w:rFonts w:hint="eastAsia"/>
          <w:sz w:val="24"/>
        </w:rPr>
        <w:t>（五）深圳证券交易所认定的其他情况。</w:t>
      </w:r>
    </w:p>
    <w:p w14:paraId="16679E60" w14:textId="77777777" w:rsidR="00C90E60" w:rsidRDefault="00000000">
      <w:pPr>
        <w:spacing w:line="360" w:lineRule="auto"/>
        <w:ind w:firstLineChars="200" w:firstLine="480"/>
        <w:rPr>
          <w:sz w:val="24"/>
        </w:rPr>
      </w:pPr>
      <w:r>
        <w:rPr>
          <w:rFonts w:hint="eastAsia"/>
          <w:sz w:val="24"/>
        </w:rPr>
        <w:t>第二十八条</w:t>
      </w:r>
      <w:r>
        <w:rPr>
          <w:rFonts w:hint="eastAsia"/>
          <w:sz w:val="24"/>
        </w:rPr>
        <w:t xml:space="preserve"> </w:t>
      </w:r>
      <w:r>
        <w:rPr>
          <w:sz w:val="24"/>
        </w:rPr>
        <w:t xml:space="preserve"> </w:t>
      </w:r>
      <w:r>
        <w:rPr>
          <w:rFonts w:cs="宋体"/>
          <w:sz w:val="24"/>
        </w:rPr>
        <w:t>公司应当根据关联交易事项的类型披露关联交易的有关内容，包括交易对方、交易标的、交易各方的关联关系说明和关联人基本情况、交易协议的主要内容、交易定价及依据、有关部门审批文件（如有）、中介机构意见（如适用）等。</w:t>
      </w:r>
    </w:p>
    <w:p w14:paraId="203377C8" w14:textId="77777777" w:rsidR="00C90E60" w:rsidRDefault="00000000" w:rsidP="00175AB1">
      <w:pPr>
        <w:pStyle w:val="ab"/>
        <w:spacing w:beforeLines="100" w:before="312" w:afterLines="100" w:after="312"/>
        <w:rPr>
          <w:rFonts w:ascii="Times New Roman" w:hAnsi="Times New Roman"/>
        </w:rPr>
      </w:pPr>
      <w:r>
        <w:rPr>
          <w:rFonts w:ascii="Times New Roman" w:hAnsi="Times New Roman"/>
        </w:rPr>
        <w:t>第</w:t>
      </w:r>
      <w:r>
        <w:rPr>
          <w:rFonts w:ascii="Times New Roman" w:hAnsi="Times New Roman" w:hint="eastAsia"/>
        </w:rPr>
        <w:t>五</w:t>
      </w:r>
      <w:r>
        <w:rPr>
          <w:rFonts w:ascii="Times New Roman" w:hAnsi="Times New Roman"/>
        </w:rPr>
        <w:t>章</w:t>
      </w:r>
      <w:r>
        <w:rPr>
          <w:rFonts w:ascii="Times New Roman" w:hAnsi="Times New Roman" w:hint="eastAsia"/>
        </w:rPr>
        <w:t xml:space="preserve"> </w:t>
      </w:r>
      <w:r>
        <w:rPr>
          <w:rFonts w:ascii="Times New Roman" w:hAnsi="Times New Roman"/>
        </w:rPr>
        <w:t xml:space="preserve"> </w:t>
      </w:r>
      <w:r>
        <w:rPr>
          <w:rFonts w:ascii="Times New Roman" w:hAnsi="Times New Roman"/>
        </w:rPr>
        <w:t>附</w:t>
      </w:r>
      <w:r>
        <w:rPr>
          <w:rFonts w:ascii="Times New Roman" w:hAnsi="Times New Roman"/>
        </w:rPr>
        <w:t xml:space="preserve"> </w:t>
      </w:r>
      <w:r>
        <w:rPr>
          <w:rFonts w:ascii="Times New Roman" w:hAnsi="Times New Roman"/>
        </w:rPr>
        <w:t>则</w:t>
      </w:r>
    </w:p>
    <w:p w14:paraId="71870241" w14:textId="77777777" w:rsidR="00C90E60" w:rsidRDefault="00000000">
      <w:pPr>
        <w:spacing w:line="360" w:lineRule="auto"/>
        <w:ind w:firstLineChars="200" w:firstLine="480"/>
        <w:rPr>
          <w:sz w:val="24"/>
        </w:rPr>
      </w:pPr>
      <w:r>
        <w:rPr>
          <w:sz w:val="24"/>
        </w:rPr>
        <w:t>第二十</w:t>
      </w:r>
      <w:r>
        <w:rPr>
          <w:rFonts w:hint="eastAsia"/>
          <w:sz w:val="24"/>
        </w:rPr>
        <w:t>九</w:t>
      </w:r>
      <w:r>
        <w:rPr>
          <w:sz w:val="24"/>
        </w:rPr>
        <w:t>条</w:t>
      </w:r>
      <w:r>
        <w:rPr>
          <w:sz w:val="24"/>
        </w:rPr>
        <w:t xml:space="preserve">  </w:t>
      </w:r>
      <w:r>
        <w:rPr>
          <w:sz w:val="24"/>
        </w:rPr>
        <w:t>本制度由公司董事会负责解释。本制度未尽事宜，依照所适用的有关法律、法规、规范性文件以及</w:t>
      </w:r>
      <w:r>
        <w:rPr>
          <w:rFonts w:hint="eastAsia"/>
          <w:sz w:val="24"/>
        </w:rPr>
        <w:t>《</w:t>
      </w:r>
      <w:r>
        <w:rPr>
          <w:sz w:val="24"/>
        </w:rPr>
        <w:t>公司章程</w:t>
      </w:r>
      <w:r>
        <w:rPr>
          <w:rFonts w:hint="eastAsia"/>
          <w:sz w:val="24"/>
        </w:rPr>
        <w:t>》</w:t>
      </w:r>
      <w:r>
        <w:rPr>
          <w:sz w:val="24"/>
        </w:rPr>
        <w:t>的有关规定执行。中国证监会、深圳证券交易所就关联方、关联交易的界定及关联交易的决策、回避、披露有特别规定时，适用该特别规定。</w:t>
      </w:r>
    </w:p>
    <w:p w14:paraId="636E6635" w14:textId="77777777" w:rsidR="00C90E60" w:rsidRDefault="00000000">
      <w:pPr>
        <w:spacing w:line="360" w:lineRule="auto"/>
        <w:ind w:firstLineChars="200" w:firstLine="480"/>
        <w:rPr>
          <w:sz w:val="24"/>
        </w:rPr>
      </w:pPr>
      <w:r>
        <w:rPr>
          <w:sz w:val="24"/>
        </w:rPr>
        <w:t>第</w:t>
      </w:r>
      <w:r>
        <w:rPr>
          <w:rFonts w:hint="eastAsia"/>
          <w:sz w:val="24"/>
        </w:rPr>
        <w:t>三十</w:t>
      </w:r>
      <w:r>
        <w:rPr>
          <w:sz w:val="24"/>
        </w:rPr>
        <w:t>条</w:t>
      </w:r>
      <w:r>
        <w:rPr>
          <w:sz w:val="24"/>
        </w:rPr>
        <w:t xml:space="preserve">  </w:t>
      </w:r>
      <w:r>
        <w:rPr>
          <w:sz w:val="24"/>
        </w:rPr>
        <w:t>本制度与相关法律、法规、规范性文件的规定及</w:t>
      </w:r>
      <w:r>
        <w:rPr>
          <w:rFonts w:hint="eastAsia"/>
          <w:sz w:val="24"/>
        </w:rPr>
        <w:t>《</w:t>
      </w:r>
      <w:r>
        <w:rPr>
          <w:sz w:val="24"/>
        </w:rPr>
        <w:t>公司章程</w:t>
      </w:r>
      <w:r>
        <w:rPr>
          <w:rFonts w:hint="eastAsia"/>
          <w:sz w:val="24"/>
        </w:rPr>
        <w:t>》</w:t>
      </w:r>
      <w:r>
        <w:rPr>
          <w:sz w:val="24"/>
        </w:rPr>
        <w:t>相悖时，应按后者规定内容执行，并应及时对本制度进行修订。</w:t>
      </w:r>
    </w:p>
    <w:p w14:paraId="1D53DCFE" w14:textId="77777777" w:rsidR="00C90E60" w:rsidRDefault="00000000">
      <w:pPr>
        <w:spacing w:line="360" w:lineRule="auto"/>
        <w:ind w:firstLineChars="200" w:firstLine="480"/>
        <w:rPr>
          <w:sz w:val="24"/>
        </w:rPr>
      </w:pPr>
      <w:r>
        <w:rPr>
          <w:sz w:val="24"/>
        </w:rPr>
        <w:t>第</w:t>
      </w:r>
      <w:r>
        <w:rPr>
          <w:rFonts w:hint="eastAsia"/>
          <w:sz w:val="24"/>
        </w:rPr>
        <w:t>三十一</w:t>
      </w:r>
      <w:r>
        <w:rPr>
          <w:sz w:val="24"/>
        </w:rPr>
        <w:t>条</w:t>
      </w:r>
      <w:r>
        <w:rPr>
          <w:sz w:val="24"/>
        </w:rPr>
        <w:t xml:space="preserve">  </w:t>
      </w:r>
      <w:r>
        <w:rPr>
          <w:sz w:val="24"/>
        </w:rPr>
        <w:t>本制度由公司董事会负责制定、</w:t>
      </w:r>
      <w:r>
        <w:rPr>
          <w:rFonts w:hint="eastAsia"/>
          <w:sz w:val="24"/>
        </w:rPr>
        <w:t>修订</w:t>
      </w:r>
      <w:r>
        <w:rPr>
          <w:sz w:val="24"/>
        </w:rPr>
        <w:t>和解释。</w:t>
      </w:r>
    </w:p>
    <w:p w14:paraId="3551B8AB" w14:textId="77777777" w:rsidR="00C90E60" w:rsidRDefault="00000000">
      <w:pPr>
        <w:spacing w:line="360" w:lineRule="auto"/>
        <w:ind w:firstLineChars="200" w:firstLine="480"/>
        <w:rPr>
          <w:sz w:val="24"/>
        </w:rPr>
      </w:pPr>
      <w:r>
        <w:rPr>
          <w:sz w:val="24"/>
        </w:rPr>
        <w:t>第</w:t>
      </w:r>
      <w:r>
        <w:rPr>
          <w:rFonts w:hint="eastAsia"/>
          <w:sz w:val="24"/>
        </w:rPr>
        <w:t>三十二</w:t>
      </w:r>
      <w:r>
        <w:rPr>
          <w:sz w:val="24"/>
        </w:rPr>
        <w:t>条</w:t>
      </w:r>
      <w:r>
        <w:rPr>
          <w:sz w:val="24"/>
        </w:rPr>
        <w:t xml:space="preserve">  </w:t>
      </w:r>
      <w:r>
        <w:rPr>
          <w:sz w:val="24"/>
        </w:rPr>
        <w:t>本制度自公司股东会审议通过之日起实施。</w:t>
      </w:r>
    </w:p>
    <w:p w14:paraId="1B263B09" w14:textId="77777777" w:rsidR="00C90E60" w:rsidRDefault="00C90E60">
      <w:pPr>
        <w:spacing w:line="360" w:lineRule="auto"/>
        <w:ind w:firstLineChars="200" w:firstLine="480"/>
        <w:rPr>
          <w:sz w:val="24"/>
        </w:rPr>
      </w:pPr>
    </w:p>
    <w:p w14:paraId="24B3839D" w14:textId="77777777" w:rsidR="00C90E60" w:rsidRDefault="00000000">
      <w:pPr>
        <w:spacing w:line="360" w:lineRule="auto"/>
        <w:jc w:val="right"/>
        <w:rPr>
          <w:b/>
          <w:bCs/>
          <w:sz w:val="24"/>
        </w:rPr>
      </w:pPr>
      <w:r>
        <w:rPr>
          <w:rFonts w:hint="eastAsia"/>
          <w:b/>
          <w:bCs/>
          <w:sz w:val="24"/>
        </w:rPr>
        <w:t>山东龙大美食股份有限公司</w:t>
      </w:r>
    </w:p>
    <w:p w14:paraId="15CCF27B" w14:textId="77777777" w:rsidR="00C90E60" w:rsidRDefault="00000000">
      <w:pPr>
        <w:wordWrap w:val="0"/>
        <w:spacing w:line="360" w:lineRule="auto"/>
        <w:jc w:val="right"/>
        <w:rPr>
          <w:sz w:val="24"/>
        </w:rPr>
      </w:pPr>
      <w:r>
        <w:rPr>
          <w:rFonts w:hint="eastAsia"/>
          <w:b/>
          <w:bCs/>
          <w:sz w:val="24"/>
        </w:rPr>
        <w:t>20</w:t>
      </w:r>
      <w:r>
        <w:rPr>
          <w:b/>
          <w:bCs/>
          <w:sz w:val="24"/>
        </w:rPr>
        <w:t>2</w:t>
      </w:r>
      <w:r>
        <w:rPr>
          <w:rFonts w:hint="eastAsia"/>
          <w:b/>
          <w:bCs/>
          <w:sz w:val="24"/>
        </w:rPr>
        <w:t>5</w:t>
      </w:r>
      <w:r>
        <w:rPr>
          <w:rFonts w:hint="eastAsia"/>
          <w:b/>
          <w:bCs/>
          <w:sz w:val="24"/>
        </w:rPr>
        <w:t>年</w:t>
      </w:r>
      <w:r>
        <w:rPr>
          <w:rFonts w:hint="eastAsia"/>
          <w:b/>
          <w:bCs/>
          <w:sz w:val="24"/>
        </w:rPr>
        <w:t>7</w:t>
      </w:r>
      <w:r>
        <w:rPr>
          <w:rFonts w:hint="eastAsia"/>
          <w:b/>
          <w:bCs/>
          <w:sz w:val="24"/>
        </w:rPr>
        <w:t>月</w:t>
      </w:r>
    </w:p>
    <w:sectPr w:rsidR="00C90E60">
      <w:headerReference w:type="even" r:id="rId6"/>
      <w:headerReference w:type="default" r:id="rId7"/>
      <w:footerReference w:type="even" r:id="rId8"/>
      <w:footerReference w:type="default" r:id="rId9"/>
      <w:headerReference w:type="first" r:id="rId10"/>
      <w:footerReference w:type="first" r:id="rId11"/>
      <w:pgSz w:w="11906" w:h="16838"/>
      <w:pgMar w:top="1359" w:right="1466" w:bottom="1558" w:left="1440" w:header="935" w:footer="14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D5984" w14:textId="77777777" w:rsidR="005575D4" w:rsidRDefault="005575D4">
      <w:r>
        <w:separator/>
      </w:r>
    </w:p>
  </w:endnote>
  <w:endnote w:type="continuationSeparator" w:id="0">
    <w:p w14:paraId="3D1615EB" w14:textId="77777777" w:rsidR="005575D4" w:rsidRDefault="0055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9D16" w14:textId="77777777" w:rsidR="00C90E60" w:rsidRDefault="00000000">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BC64BC1" w14:textId="77777777" w:rsidR="00C90E60" w:rsidRDefault="00C90E6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1CC8" w14:textId="77777777" w:rsidR="00C90E60" w:rsidRDefault="00000000">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7</w:t>
    </w:r>
    <w:r>
      <w:rPr>
        <w:rStyle w:val="af"/>
      </w:rPr>
      <w:fldChar w:fldCharType="end"/>
    </w:r>
  </w:p>
  <w:p w14:paraId="7288E5EB" w14:textId="77777777" w:rsidR="00C90E60" w:rsidRDefault="00C90E60">
    <w:pPr>
      <w:pStyle w:val="a8"/>
      <w:spacing w:line="300" w:lineRule="exac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202D" w14:textId="77777777" w:rsidR="00072C4E" w:rsidRDefault="00072C4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86228" w14:textId="77777777" w:rsidR="005575D4" w:rsidRDefault="005575D4">
      <w:r>
        <w:separator/>
      </w:r>
    </w:p>
  </w:footnote>
  <w:footnote w:type="continuationSeparator" w:id="0">
    <w:p w14:paraId="1595DA96" w14:textId="77777777" w:rsidR="005575D4" w:rsidRDefault="00557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CC05" w14:textId="77777777" w:rsidR="00072C4E" w:rsidRDefault="00072C4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6464" w14:textId="77777777" w:rsidR="00C90E60" w:rsidRDefault="00000000" w:rsidP="00072C4E">
    <w:pPr>
      <w:pStyle w:val="a9"/>
      <w:pBdr>
        <w:bottom w:val="single" w:sz="4" w:space="1" w:color="auto"/>
      </w:pBdr>
      <w:ind w:firstLineChars="500" w:firstLine="900"/>
      <w:jc w:val="both"/>
    </w:pPr>
    <w:bookmarkStart w:id="0" w:name="_Hlk110445577"/>
    <w:bookmarkStart w:id="1" w:name="_Hlk110445576"/>
    <w:bookmarkStart w:id="2" w:name="_Hlk110445482"/>
    <w:bookmarkStart w:id="3" w:name="_Hlk110445483"/>
    <w:r>
      <w:rPr>
        <w:noProof/>
      </w:rPr>
      <w:drawing>
        <wp:anchor distT="0" distB="0" distL="114300" distR="114300" simplePos="0" relativeHeight="251658240" behindDoc="0" locked="0" layoutInCell="1" allowOverlap="1" wp14:anchorId="16996951" wp14:editId="166A1049">
          <wp:simplePos x="0" y="0"/>
          <wp:positionH relativeFrom="column">
            <wp:posOffset>15240</wp:posOffset>
          </wp:positionH>
          <wp:positionV relativeFrom="paragraph">
            <wp:posOffset>-93345</wp:posOffset>
          </wp:positionV>
          <wp:extent cx="561975" cy="248920"/>
          <wp:effectExtent l="0" t="0" r="9525" b="508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
                  <a:stretch>
                    <a:fillRect/>
                  </a:stretch>
                </pic:blipFill>
                <pic:spPr>
                  <a:xfrm>
                    <a:off x="0" y="0"/>
                    <a:ext cx="561975" cy="248920"/>
                  </a:xfrm>
                  <a:prstGeom prst="rect">
                    <a:avLst/>
                  </a:prstGeom>
                  <a:noFill/>
                  <a:ln>
                    <a:noFill/>
                  </a:ln>
                </pic:spPr>
              </pic:pic>
            </a:graphicData>
          </a:graphic>
        </wp:anchor>
      </w:drawing>
    </w:r>
    <w:bookmarkStart w:id="4" w:name="_Hlk110445608"/>
    <w:r>
      <w:rPr>
        <w:rFonts w:hint="eastAsia"/>
      </w:rPr>
      <w:t>山东龙大美食股份有限公司</w:t>
    </w:r>
    <w:r>
      <w:t xml:space="preserve">        </w:t>
    </w:r>
    <w:bookmarkEnd w:id="4"/>
    <w:r>
      <w:t xml:space="preserve">                                        </w:t>
    </w:r>
    <w:bookmarkEnd w:id="0"/>
    <w:bookmarkEnd w:id="1"/>
    <w:bookmarkEnd w:id="2"/>
    <w:bookmarkEnd w:id="3"/>
    <w:r>
      <w:rPr>
        <w:rFonts w:hint="eastAsia"/>
      </w:rPr>
      <w:t>关联交易管理制度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849E" w14:textId="77777777" w:rsidR="00072C4E" w:rsidRDefault="00072C4E">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E4NDQxYWE1MjIyYzhmNmRmNzI3MGE3YWM5YTc0NDkifQ=="/>
  </w:docVars>
  <w:rsids>
    <w:rsidRoot w:val="0092456E"/>
    <w:rsid w:val="000137C7"/>
    <w:rsid w:val="000139CC"/>
    <w:rsid w:val="00015B31"/>
    <w:rsid w:val="00020075"/>
    <w:rsid w:val="00036C33"/>
    <w:rsid w:val="00061FC2"/>
    <w:rsid w:val="00066306"/>
    <w:rsid w:val="00070DFC"/>
    <w:rsid w:val="00072C4E"/>
    <w:rsid w:val="0007506F"/>
    <w:rsid w:val="00085B97"/>
    <w:rsid w:val="00092C19"/>
    <w:rsid w:val="00093655"/>
    <w:rsid w:val="000B5643"/>
    <w:rsid w:val="000C0146"/>
    <w:rsid w:val="000C3FC5"/>
    <w:rsid w:val="000D0B96"/>
    <w:rsid w:val="000D74AD"/>
    <w:rsid w:val="000E2DBC"/>
    <w:rsid w:val="000E7854"/>
    <w:rsid w:val="000F7971"/>
    <w:rsid w:val="00101B3D"/>
    <w:rsid w:val="001136C3"/>
    <w:rsid w:val="00115F34"/>
    <w:rsid w:val="001174BC"/>
    <w:rsid w:val="001266AA"/>
    <w:rsid w:val="00134113"/>
    <w:rsid w:val="00152614"/>
    <w:rsid w:val="0015760E"/>
    <w:rsid w:val="001706E8"/>
    <w:rsid w:val="00175AA0"/>
    <w:rsid w:val="00175AB1"/>
    <w:rsid w:val="00183510"/>
    <w:rsid w:val="00187CC3"/>
    <w:rsid w:val="001923FD"/>
    <w:rsid w:val="001945C7"/>
    <w:rsid w:val="00195C03"/>
    <w:rsid w:val="001C689D"/>
    <w:rsid w:val="001D07D7"/>
    <w:rsid w:val="001E314B"/>
    <w:rsid w:val="001E3DA5"/>
    <w:rsid w:val="001F13B6"/>
    <w:rsid w:val="001F25F7"/>
    <w:rsid w:val="002027CA"/>
    <w:rsid w:val="00203BBF"/>
    <w:rsid w:val="002047B0"/>
    <w:rsid w:val="00211654"/>
    <w:rsid w:val="002277A7"/>
    <w:rsid w:val="0023774A"/>
    <w:rsid w:val="00240F47"/>
    <w:rsid w:val="00241660"/>
    <w:rsid w:val="00243D59"/>
    <w:rsid w:val="00247DA6"/>
    <w:rsid w:val="00254FBA"/>
    <w:rsid w:val="00256D94"/>
    <w:rsid w:val="002639B1"/>
    <w:rsid w:val="002663CC"/>
    <w:rsid w:val="00271220"/>
    <w:rsid w:val="002716F2"/>
    <w:rsid w:val="0027254B"/>
    <w:rsid w:val="0027267E"/>
    <w:rsid w:val="0027671C"/>
    <w:rsid w:val="0028352D"/>
    <w:rsid w:val="00291646"/>
    <w:rsid w:val="002979EB"/>
    <w:rsid w:val="002A0BCB"/>
    <w:rsid w:val="002B2D0C"/>
    <w:rsid w:val="002B328A"/>
    <w:rsid w:val="002B53C3"/>
    <w:rsid w:val="002C1555"/>
    <w:rsid w:val="002D076A"/>
    <w:rsid w:val="002D7E7D"/>
    <w:rsid w:val="002F1891"/>
    <w:rsid w:val="002F4663"/>
    <w:rsid w:val="0031280E"/>
    <w:rsid w:val="003159C7"/>
    <w:rsid w:val="003222BE"/>
    <w:rsid w:val="003408EF"/>
    <w:rsid w:val="00342CAD"/>
    <w:rsid w:val="003545C6"/>
    <w:rsid w:val="003575AA"/>
    <w:rsid w:val="003614D0"/>
    <w:rsid w:val="00366556"/>
    <w:rsid w:val="003714AE"/>
    <w:rsid w:val="00371733"/>
    <w:rsid w:val="0037540B"/>
    <w:rsid w:val="003756A8"/>
    <w:rsid w:val="00390AE0"/>
    <w:rsid w:val="00391166"/>
    <w:rsid w:val="00396898"/>
    <w:rsid w:val="003969A7"/>
    <w:rsid w:val="003A2E1A"/>
    <w:rsid w:val="003A3217"/>
    <w:rsid w:val="003A63ED"/>
    <w:rsid w:val="003B115A"/>
    <w:rsid w:val="003B6DF1"/>
    <w:rsid w:val="003C2721"/>
    <w:rsid w:val="003C4209"/>
    <w:rsid w:val="003C7B3F"/>
    <w:rsid w:val="003C7CFB"/>
    <w:rsid w:val="003E72E8"/>
    <w:rsid w:val="003F16CF"/>
    <w:rsid w:val="00400C80"/>
    <w:rsid w:val="0040512C"/>
    <w:rsid w:val="004129A0"/>
    <w:rsid w:val="004158E4"/>
    <w:rsid w:val="00422D2C"/>
    <w:rsid w:val="0042670F"/>
    <w:rsid w:val="00431B8C"/>
    <w:rsid w:val="00431E0C"/>
    <w:rsid w:val="004350E8"/>
    <w:rsid w:val="00436530"/>
    <w:rsid w:val="00446740"/>
    <w:rsid w:val="004471F9"/>
    <w:rsid w:val="00451949"/>
    <w:rsid w:val="00451A5F"/>
    <w:rsid w:val="00452B2A"/>
    <w:rsid w:val="0045623A"/>
    <w:rsid w:val="004642B5"/>
    <w:rsid w:val="00475E75"/>
    <w:rsid w:val="00476270"/>
    <w:rsid w:val="00476CA3"/>
    <w:rsid w:val="00480215"/>
    <w:rsid w:val="00483DA6"/>
    <w:rsid w:val="00485722"/>
    <w:rsid w:val="00487238"/>
    <w:rsid w:val="00493557"/>
    <w:rsid w:val="00493B9B"/>
    <w:rsid w:val="004A4155"/>
    <w:rsid w:val="004A6D68"/>
    <w:rsid w:val="004B7F15"/>
    <w:rsid w:val="004C2192"/>
    <w:rsid w:val="004E0A43"/>
    <w:rsid w:val="004F3A45"/>
    <w:rsid w:val="00501BFC"/>
    <w:rsid w:val="00532133"/>
    <w:rsid w:val="005365DD"/>
    <w:rsid w:val="00543D01"/>
    <w:rsid w:val="005453D2"/>
    <w:rsid w:val="00545E55"/>
    <w:rsid w:val="00546B57"/>
    <w:rsid w:val="005575D4"/>
    <w:rsid w:val="00561F66"/>
    <w:rsid w:val="00564AFC"/>
    <w:rsid w:val="005749DE"/>
    <w:rsid w:val="00574D2A"/>
    <w:rsid w:val="00583D71"/>
    <w:rsid w:val="00593EEF"/>
    <w:rsid w:val="005B028D"/>
    <w:rsid w:val="005C00B9"/>
    <w:rsid w:val="005D142B"/>
    <w:rsid w:val="005E0FB6"/>
    <w:rsid w:val="005F040F"/>
    <w:rsid w:val="005F3A08"/>
    <w:rsid w:val="0061597E"/>
    <w:rsid w:val="0062451B"/>
    <w:rsid w:val="006322C4"/>
    <w:rsid w:val="00636558"/>
    <w:rsid w:val="00642F20"/>
    <w:rsid w:val="006431A4"/>
    <w:rsid w:val="0065309A"/>
    <w:rsid w:val="00654EA8"/>
    <w:rsid w:val="00663FCB"/>
    <w:rsid w:val="0066627D"/>
    <w:rsid w:val="006713F7"/>
    <w:rsid w:val="00683BE3"/>
    <w:rsid w:val="00687E7E"/>
    <w:rsid w:val="0069164F"/>
    <w:rsid w:val="006A2027"/>
    <w:rsid w:val="006A5F7D"/>
    <w:rsid w:val="006B59DA"/>
    <w:rsid w:val="006B6666"/>
    <w:rsid w:val="006B743E"/>
    <w:rsid w:val="006C628A"/>
    <w:rsid w:val="006E2B44"/>
    <w:rsid w:val="00722E0D"/>
    <w:rsid w:val="00726718"/>
    <w:rsid w:val="007441B2"/>
    <w:rsid w:val="00751C34"/>
    <w:rsid w:val="007605E2"/>
    <w:rsid w:val="007729D2"/>
    <w:rsid w:val="0077797C"/>
    <w:rsid w:val="007A6480"/>
    <w:rsid w:val="007A79FE"/>
    <w:rsid w:val="007B3F81"/>
    <w:rsid w:val="007B43AA"/>
    <w:rsid w:val="007B7356"/>
    <w:rsid w:val="007C17D4"/>
    <w:rsid w:val="007C1EDA"/>
    <w:rsid w:val="007C4801"/>
    <w:rsid w:val="007C5EDC"/>
    <w:rsid w:val="007D6740"/>
    <w:rsid w:val="007E2832"/>
    <w:rsid w:val="007E3174"/>
    <w:rsid w:val="007E6DD6"/>
    <w:rsid w:val="007F1C79"/>
    <w:rsid w:val="007F6F4D"/>
    <w:rsid w:val="00803191"/>
    <w:rsid w:val="00806149"/>
    <w:rsid w:val="00807868"/>
    <w:rsid w:val="008234CC"/>
    <w:rsid w:val="0084559F"/>
    <w:rsid w:val="00847B66"/>
    <w:rsid w:val="00847E80"/>
    <w:rsid w:val="00854BD7"/>
    <w:rsid w:val="008678BE"/>
    <w:rsid w:val="00872897"/>
    <w:rsid w:val="00883A28"/>
    <w:rsid w:val="0089415C"/>
    <w:rsid w:val="008945D3"/>
    <w:rsid w:val="008A1700"/>
    <w:rsid w:val="008B2531"/>
    <w:rsid w:val="008D5D53"/>
    <w:rsid w:val="008D7203"/>
    <w:rsid w:val="008D7F4A"/>
    <w:rsid w:val="008E6CA7"/>
    <w:rsid w:val="008F016B"/>
    <w:rsid w:val="008F0C8B"/>
    <w:rsid w:val="008F1B62"/>
    <w:rsid w:val="008F46FE"/>
    <w:rsid w:val="00903F7B"/>
    <w:rsid w:val="00922B80"/>
    <w:rsid w:val="00924154"/>
    <w:rsid w:val="0092456E"/>
    <w:rsid w:val="00925421"/>
    <w:rsid w:val="0092715C"/>
    <w:rsid w:val="00936923"/>
    <w:rsid w:val="009452D3"/>
    <w:rsid w:val="00945655"/>
    <w:rsid w:val="009512C7"/>
    <w:rsid w:val="00972326"/>
    <w:rsid w:val="00972376"/>
    <w:rsid w:val="00985372"/>
    <w:rsid w:val="00990D8F"/>
    <w:rsid w:val="009A6876"/>
    <w:rsid w:val="009A798C"/>
    <w:rsid w:val="009B5A40"/>
    <w:rsid w:val="009B7405"/>
    <w:rsid w:val="009C533C"/>
    <w:rsid w:val="009C77C1"/>
    <w:rsid w:val="009D4A4C"/>
    <w:rsid w:val="009E074C"/>
    <w:rsid w:val="009E213D"/>
    <w:rsid w:val="009F5DCC"/>
    <w:rsid w:val="00A048E6"/>
    <w:rsid w:val="00A2406B"/>
    <w:rsid w:val="00A324C1"/>
    <w:rsid w:val="00A35447"/>
    <w:rsid w:val="00A4534B"/>
    <w:rsid w:val="00A55AD9"/>
    <w:rsid w:val="00A56C42"/>
    <w:rsid w:val="00A84F2A"/>
    <w:rsid w:val="00A9538B"/>
    <w:rsid w:val="00A976B7"/>
    <w:rsid w:val="00AA3B1A"/>
    <w:rsid w:val="00AB125E"/>
    <w:rsid w:val="00AC1C52"/>
    <w:rsid w:val="00AC28CB"/>
    <w:rsid w:val="00AD39B5"/>
    <w:rsid w:val="00AD5052"/>
    <w:rsid w:val="00AE18A3"/>
    <w:rsid w:val="00AE4F2C"/>
    <w:rsid w:val="00AE774E"/>
    <w:rsid w:val="00AF779A"/>
    <w:rsid w:val="00B14022"/>
    <w:rsid w:val="00B16C0F"/>
    <w:rsid w:val="00B236B9"/>
    <w:rsid w:val="00B3437D"/>
    <w:rsid w:val="00B43790"/>
    <w:rsid w:val="00B4577E"/>
    <w:rsid w:val="00B505BE"/>
    <w:rsid w:val="00B507B4"/>
    <w:rsid w:val="00B61C85"/>
    <w:rsid w:val="00B66BF9"/>
    <w:rsid w:val="00B6776B"/>
    <w:rsid w:val="00B718A1"/>
    <w:rsid w:val="00B72080"/>
    <w:rsid w:val="00B72166"/>
    <w:rsid w:val="00B7698C"/>
    <w:rsid w:val="00BA656F"/>
    <w:rsid w:val="00BB68A7"/>
    <w:rsid w:val="00BC6275"/>
    <w:rsid w:val="00BC6CB1"/>
    <w:rsid w:val="00BD1877"/>
    <w:rsid w:val="00BD418F"/>
    <w:rsid w:val="00BD4EEB"/>
    <w:rsid w:val="00BE0F04"/>
    <w:rsid w:val="00BE224E"/>
    <w:rsid w:val="00BE2415"/>
    <w:rsid w:val="00BE4A0F"/>
    <w:rsid w:val="00BF015F"/>
    <w:rsid w:val="00BF2BDB"/>
    <w:rsid w:val="00C20364"/>
    <w:rsid w:val="00C21795"/>
    <w:rsid w:val="00C22DE4"/>
    <w:rsid w:val="00C31866"/>
    <w:rsid w:val="00C33BA5"/>
    <w:rsid w:val="00C4410E"/>
    <w:rsid w:val="00C47C44"/>
    <w:rsid w:val="00C50B9D"/>
    <w:rsid w:val="00C5597D"/>
    <w:rsid w:val="00C605AF"/>
    <w:rsid w:val="00C661EC"/>
    <w:rsid w:val="00C80E6F"/>
    <w:rsid w:val="00C90CF0"/>
    <w:rsid w:val="00C90E3A"/>
    <w:rsid w:val="00C90E60"/>
    <w:rsid w:val="00C92BC6"/>
    <w:rsid w:val="00CA42E6"/>
    <w:rsid w:val="00CA49E3"/>
    <w:rsid w:val="00CA59A9"/>
    <w:rsid w:val="00CA620B"/>
    <w:rsid w:val="00CA6327"/>
    <w:rsid w:val="00CC095B"/>
    <w:rsid w:val="00CC30AB"/>
    <w:rsid w:val="00CD7883"/>
    <w:rsid w:val="00CE73EB"/>
    <w:rsid w:val="00CF1160"/>
    <w:rsid w:val="00D01125"/>
    <w:rsid w:val="00D10A25"/>
    <w:rsid w:val="00D1141D"/>
    <w:rsid w:val="00D11745"/>
    <w:rsid w:val="00D13427"/>
    <w:rsid w:val="00D41469"/>
    <w:rsid w:val="00D45C51"/>
    <w:rsid w:val="00D70536"/>
    <w:rsid w:val="00D7186F"/>
    <w:rsid w:val="00D754AF"/>
    <w:rsid w:val="00D7733C"/>
    <w:rsid w:val="00D82B80"/>
    <w:rsid w:val="00D848B4"/>
    <w:rsid w:val="00D9494B"/>
    <w:rsid w:val="00DA1D87"/>
    <w:rsid w:val="00DA2CB8"/>
    <w:rsid w:val="00DA46A5"/>
    <w:rsid w:val="00DB019D"/>
    <w:rsid w:val="00DB1512"/>
    <w:rsid w:val="00DB429C"/>
    <w:rsid w:val="00DB66C5"/>
    <w:rsid w:val="00DB7465"/>
    <w:rsid w:val="00DD5937"/>
    <w:rsid w:val="00DF12CF"/>
    <w:rsid w:val="00DF1ABF"/>
    <w:rsid w:val="00DF2129"/>
    <w:rsid w:val="00E046B7"/>
    <w:rsid w:val="00E470F7"/>
    <w:rsid w:val="00E6257B"/>
    <w:rsid w:val="00E67B5F"/>
    <w:rsid w:val="00E7261A"/>
    <w:rsid w:val="00E76DD4"/>
    <w:rsid w:val="00E77A1C"/>
    <w:rsid w:val="00E91AFC"/>
    <w:rsid w:val="00E9375E"/>
    <w:rsid w:val="00E93BBE"/>
    <w:rsid w:val="00EA3F9A"/>
    <w:rsid w:val="00ED17F2"/>
    <w:rsid w:val="00EF370C"/>
    <w:rsid w:val="00F00473"/>
    <w:rsid w:val="00F04E96"/>
    <w:rsid w:val="00F113CE"/>
    <w:rsid w:val="00F11A3F"/>
    <w:rsid w:val="00F16C21"/>
    <w:rsid w:val="00F251FA"/>
    <w:rsid w:val="00F3034E"/>
    <w:rsid w:val="00F36D82"/>
    <w:rsid w:val="00F377A1"/>
    <w:rsid w:val="00F4533B"/>
    <w:rsid w:val="00F52BF0"/>
    <w:rsid w:val="00F544E7"/>
    <w:rsid w:val="00F57A20"/>
    <w:rsid w:val="00F600F3"/>
    <w:rsid w:val="00F639FF"/>
    <w:rsid w:val="00F64DBA"/>
    <w:rsid w:val="00F6545C"/>
    <w:rsid w:val="00F66CA0"/>
    <w:rsid w:val="00F74CFA"/>
    <w:rsid w:val="00FA6D1A"/>
    <w:rsid w:val="00FA7F91"/>
    <w:rsid w:val="00FB29F6"/>
    <w:rsid w:val="00FB4304"/>
    <w:rsid w:val="00FC08BB"/>
    <w:rsid w:val="00FD10D2"/>
    <w:rsid w:val="00FD5C4E"/>
    <w:rsid w:val="00FD67C7"/>
    <w:rsid w:val="00FD6AD7"/>
    <w:rsid w:val="00FE198D"/>
    <w:rsid w:val="00FE4383"/>
    <w:rsid w:val="03DC2506"/>
    <w:rsid w:val="04F2307A"/>
    <w:rsid w:val="0BA602DA"/>
    <w:rsid w:val="0CF602B9"/>
    <w:rsid w:val="0DC52D99"/>
    <w:rsid w:val="10DB3A4D"/>
    <w:rsid w:val="135D622B"/>
    <w:rsid w:val="177679C9"/>
    <w:rsid w:val="1D6B4AE2"/>
    <w:rsid w:val="1DC23269"/>
    <w:rsid w:val="252C75C2"/>
    <w:rsid w:val="2701599F"/>
    <w:rsid w:val="2D4242A5"/>
    <w:rsid w:val="2DA42835"/>
    <w:rsid w:val="31A36958"/>
    <w:rsid w:val="34635A4B"/>
    <w:rsid w:val="365064FE"/>
    <w:rsid w:val="3A1124F6"/>
    <w:rsid w:val="3D6E5CC0"/>
    <w:rsid w:val="40A45AC6"/>
    <w:rsid w:val="419502F2"/>
    <w:rsid w:val="42380FDF"/>
    <w:rsid w:val="427A364D"/>
    <w:rsid w:val="43B34D58"/>
    <w:rsid w:val="43E64A3B"/>
    <w:rsid w:val="45C00BAB"/>
    <w:rsid w:val="48C25ABC"/>
    <w:rsid w:val="4C295EC8"/>
    <w:rsid w:val="4C341E21"/>
    <w:rsid w:val="558A38DC"/>
    <w:rsid w:val="56D0631A"/>
    <w:rsid w:val="57541431"/>
    <w:rsid w:val="5A8722D4"/>
    <w:rsid w:val="5B322A36"/>
    <w:rsid w:val="5DC7527B"/>
    <w:rsid w:val="5E453A8F"/>
    <w:rsid w:val="5E626F19"/>
    <w:rsid w:val="5E6E75B3"/>
    <w:rsid w:val="67A0564D"/>
    <w:rsid w:val="6C44648B"/>
    <w:rsid w:val="6D2A21C8"/>
    <w:rsid w:val="6E775C11"/>
    <w:rsid w:val="74AD4BA1"/>
    <w:rsid w:val="7AC1208A"/>
    <w:rsid w:val="7B6F0DAB"/>
    <w:rsid w:val="7D8D4E8B"/>
    <w:rsid w:val="7EA33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C9B87"/>
  <w15:docId w15:val="{C66B177F-CBA2-4F1C-90AB-5B3EF279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440" w:lineRule="exact"/>
      <w:jc w:val="center"/>
      <w:outlineLvl w:val="0"/>
    </w:pPr>
    <w:rPr>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Indent"/>
    <w:basedOn w:val="a"/>
    <w:pPr>
      <w:spacing w:after="120"/>
      <w:ind w:leftChars="200" w:left="420"/>
    </w:pPr>
  </w:style>
  <w:style w:type="paragraph" w:styleId="a6">
    <w:name w:val="Plain Text"/>
    <w:basedOn w:val="a"/>
    <w:rPr>
      <w:rFonts w:ascii="宋体" w:hAnsi="Courier New" w:cs="Courier New"/>
      <w:szCs w:val="21"/>
    </w:rPr>
  </w:style>
  <w:style w:type="paragraph" w:styleId="2">
    <w:name w:val="Body Text Indent 2"/>
    <w:basedOn w:val="a"/>
    <w:pPr>
      <w:spacing w:line="460" w:lineRule="exact"/>
      <w:ind w:firstLineChars="200" w:firstLine="560"/>
    </w:pPr>
    <w:rPr>
      <w:rFonts w:hAnsi="宋体"/>
      <w:sz w:val="28"/>
    </w:rPr>
  </w:style>
  <w:style w:type="paragraph" w:styleId="a7">
    <w:name w:val="Balloon Text"/>
    <w:basedOn w:val="a"/>
    <w:semiHidden/>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qFormat/>
    <w:pPr>
      <w:spacing w:before="240" w:after="60"/>
      <w:jc w:val="center"/>
      <w:outlineLvl w:val="0"/>
    </w:pPr>
    <w:rPr>
      <w:rFonts w:ascii="等线 Light" w:hAnsi="等线 Light"/>
      <w:b/>
      <w:bCs/>
      <w:sz w:val="28"/>
      <w:szCs w:val="32"/>
    </w:rPr>
  </w:style>
  <w:style w:type="paragraph" w:styleId="ad">
    <w:name w:val="annotation subject"/>
    <w:basedOn w:val="a3"/>
    <w:next w:val="a3"/>
    <w:link w:val="ae"/>
    <w:rPr>
      <w:b/>
      <w:bCs/>
    </w:rPr>
  </w:style>
  <w:style w:type="character" w:styleId="af">
    <w:name w:val="page number"/>
  </w:style>
  <w:style w:type="character" w:styleId="af0">
    <w:name w:val="Hyperlink"/>
    <w:uiPriority w:val="99"/>
    <w:unhideWhenUsed/>
    <w:rPr>
      <w:color w:val="864654"/>
      <w:u w:val="single"/>
    </w:rPr>
  </w:style>
  <w:style w:type="character" w:styleId="af1">
    <w:name w:val="annotation reference"/>
    <w:rPr>
      <w:sz w:val="21"/>
      <w:szCs w:val="21"/>
    </w:rPr>
  </w:style>
  <w:style w:type="character" w:customStyle="1" w:styleId="a4">
    <w:name w:val="批注文字 字符"/>
    <w:link w:val="a3"/>
    <w:rPr>
      <w:kern w:val="2"/>
      <w:sz w:val="21"/>
      <w:szCs w:val="24"/>
    </w:rPr>
  </w:style>
  <w:style w:type="character" w:customStyle="1" w:styleId="aa">
    <w:name w:val="页眉 字符"/>
    <w:link w:val="a9"/>
    <w:rPr>
      <w:kern w:val="2"/>
      <w:sz w:val="18"/>
      <w:szCs w:val="18"/>
    </w:rPr>
  </w:style>
  <w:style w:type="character" w:customStyle="1" w:styleId="ac">
    <w:name w:val="标题 字符"/>
    <w:link w:val="ab"/>
    <w:rPr>
      <w:rFonts w:ascii="等线 Light" w:hAnsi="等线 Light" w:cs="Times New Roman"/>
      <w:b/>
      <w:bCs/>
      <w:kern w:val="2"/>
      <w:sz w:val="28"/>
      <w:szCs w:val="32"/>
    </w:rPr>
  </w:style>
  <w:style w:type="character" w:customStyle="1" w:styleId="ae">
    <w:name w:val="批注主题 字符"/>
    <w:link w:val="ad"/>
    <w:rPr>
      <w:b/>
      <w:bCs/>
      <w:kern w:val="2"/>
      <w:sz w:val="21"/>
      <w:szCs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af2">
    <w:uiPriority w:val="99"/>
    <w:unhideWhenUsed/>
    <w:rPr>
      <w:kern w:val="2"/>
      <w:sz w:val="21"/>
      <w:szCs w:val="24"/>
    </w:rPr>
  </w:style>
  <w:style w:type="paragraph" w:styleId="af3">
    <w:name w:val="Revision"/>
    <w:hidden/>
    <w:uiPriority w:val="99"/>
    <w:unhideWhenUsed/>
    <w:rsid w:val="00092C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2890</Words>
  <Characters>2891</Characters>
  <Application>Microsoft Office Word</Application>
  <DocSecurity>0</DocSecurity>
  <Lines>111</Lines>
  <Paragraphs>128</Paragraphs>
  <ScaleCrop>false</ScaleCrop>
  <Company>微软中国</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山东龙大肉食品股份有限公司</dc:title>
  <dc:creator>微软用户</dc:creator>
  <cp:lastModifiedBy>WJ 王静</cp:lastModifiedBy>
  <cp:revision>7</cp:revision>
  <cp:lastPrinted>2014-07-17T13:37:00Z</cp:lastPrinted>
  <dcterms:created xsi:type="dcterms:W3CDTF">2025-07-23T05:55:00Z</dcterms:created>
  <dcterms:modified xsi:type="dcterms:W3CDTF">2025-07-25T07:00:00Z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8D86B63A570C47C891714969F112E82B_13</vt:lpwstr>
  </property>
  <property fmtid="{D5CDD505-2E9C-101B-9397-08002B2CF9AE}" pid="4" name="KSOTemplateDocerSaveRecord">
    <vt:lpwstr>eyJoZGlkIjoiZjc1MjhkNmEzZGFkYTQ2MWU3ZGNjZWEzMjhiMGUyZjMiLCJ1c2VySWQiOiI0MzA4NzAyNjQifQ==</vt:lpwstr>
  </property>
</Properties>
</file>